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61" w:rsidRPr="00D90778" w:rsidRDefault="006F1CBD" w:rsidP="00D90778">
      <w:pPr>
        <w:pStyle w:val="a5"/>
        <w:jc w:val="center"/>
        <w:rPr>
          <w:rFonts w:cs="Times New Roman"/>
          <w:b/>
          <w:sz w:val="28"/>
          <w:szCs w:val="24"/>
        </w:rPr>
      </w:pPr>
      <w:r w:rsidRPr="00D90778">
        <w:rPr>
          <w:rFonts w:cs="Times New Roman"/>
          <w:b/>
          <w:sz w:val="28"/>
          <w:szCs w:val="24"/>
        </w:rPr>
        <w:t>Portfolio Performance Evaluation with Generalized Sharpe Ratios:</w:t>
      </w:r>
    </w:p>
    <w:p w:rsidR="000A2D61" w:rsidRPr="00D90778" w:rsidRDefault="006F1CBD" w:rsidP="00D90778">
      <w:pPr>
        <w:spacing w:line="360" w:lineRule="auto"/>
        <w:jc w:val="center"/>
        <w:rPr>
          <w:rFonts w:ascii="Times New Roman" w:eastAsia="標楷體" w:hAnsi="Times New Roman" w:cs="Times New Roman"/>
          <w:b/>
          <w:sz w:val="28"/>
          <w:szCs w:val="24"/>
        </w:rPr>
      </w:pPr>
      <w:r w:rsidRPr="00D90778">
        <w:rPr>
          <w:rFonts w:ascii="Times New Roman" w:eastAsia="標楷體" w:hAnsi="Times New Roman" w:cs="Times New Roman"/>
          <w:b/>
          <w:sz w:val="28"/>
          <w:szCs w:val="24"/>
        </w:rPr>
        <w:t>Beyond the Mean and Variance</w:t>
      </w:r>
    </w:p>
    <w:p w:rsidR="00064EE7" w:rsidRPr="00064EE7" w:rsidRDefault="00064EE7" w:rsidP="00D90778">
      <w:pPr>
        <w:pStyle w:val="a5"/>
        <w:rPr>
          <w:rFonts w:cs="Times New Roman"/>
          <w:szCs w:val="24"/>
        </w:rPr>
      </w:pPr>
      <w:r w:rsidRPr="00064EE7">
        <w:rPr>
          <w:rFonts w:cs="Times New Roman"/>
          <w:szCs w:val="24"/>
        </w:rPr>
        <w:t>來源</w:t>
      </w:r>
      <w:r w:rsidR="001F2C41">
        <w:rPr>
          <w:rFonts w:cs="Times New Roman" w:hint="eastAsia"/>
          <w:szCs w:val="24"/>
        </w:rPr>
        <w:t>期刊</w:t>
      </w:r>
      <w:r w:rsidRPr="00064EE7">
        <w:rPr>
          <w:rFonts w:cs="Times New Roman"/>
          <w:szCs w:val="24"/>
        </w:rPr>
        <w:t>: Journal of Banking &amp; Finance, Volume 33, Issue 7, July 2009, Pages 1242-1254.</w:t>
      </w:r>
    </w:p>
    <w:p w:rsidR="00064EE7" w:rsidRDefault="004901B4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來源</w:t>
      </w:r>
      <w:r w:rsidR="00064EE7" w:rsidRPr="00064EE7">
        <w:rPr>
          <w:rFonts w:cs="Times New Roman"/>
          <w:szCs w:val="24"/>
        </w:rPr>
        <w:t>作者</w:t>
      </w:r>
      <w:r w:rsidR="00064EE7" w:rsidRPr="00064EE7">
        <w:rPr>
          <w:rFonts w:cs="Times New Roman"/>
          <w:szCs w:val="24"/>
        </w:rPr>
        <w:t xml:space="preserve">: </w:t>
      </w:r>
      <w:proofErr w:type="spellStart"/>
      <w:r w:rsidR="00064EE7" w:rsidRPr="00064EE7">
        <w:rPr>
          <w:rFonts w:cs="Times New Roman"/>
          <w:szCs w:val="24"/>
        </w:rPr>
        <w:t>Valeri</w:t>
      </w:r>
      <w:proofErr w:type="spellEnd"/>
      <w:r w:rsidR="00064EE7" w:rsidRPr="00064EE7">
        <w:rPr>
          <w:rFonts w:cs="Times New Roman"/>
          <w:szCs w:val="24"/>
        </w:rPr>
        <w:t xml:space="preserve"> </w:t>
      </w:r>
      <w:proofErr w:type="spellStart"/>
      <w:r w:rsidR="00064EE7" w:rsidRPr="00064EE7">
        <w:rPr>
          <w:rFonts w:cs="Times New Roman"/>
          <w:szCs w:val="24"/>
        </w:rPr>
        <w:t>Zakamouline</w:t>
      </w:r>
      <w:proofErr w:type="spellEnd"/>
      <w:r w:rsidR="00064EE7" w:rsidRPr="00064EE7">
        <w:rPr>
          <w:rFonts w:cs="Times New Roman"/>
          <w:szCs w:val="24"/>
        </w:rPr>
        <w:t xml:space="preserve"> and Steen </w:t>
      </w:r>
      <w:proofErr w:type="spellStart"/>
      <w:r w:rsidR="00064EE7" w:rsidRPr="00064EE7">
        <w:rPr>
          <w:rFonts w:cs="Times New Roman"/>
          <w:szCs w:val="24"/>
        </w:rPr>
        <w:t>Koekebakker</w:t>
      </w:r>
      <w:proofErr w:type="spellEnd"/>
    </w:p>
    <w:p w:rsidR="0006417D" w:rsidRPr="00064EE7" w:rsidRDefault="0006417D" w:rsidP="00D90778">
      <w:pPr>
        <w:pStyle w:val="a5"/>
        <w:rPr>
          <w:rFonts w:cs="Times New Roman"/>
          <w:szCs w:val="24"/>
        </w:rPr>
      </w:pPr>
    </w:p>
    <w:p w:rsidR="00064EE7" w:rsidRDefault="00064EE7" w:rsidP="00D90778">
      <w:pPr>
        <w:pStyle w:val="a5"/>
        <w:numPr>
          <w:ilvl w:val="0"/>
          <w:numId w:val="1"/>
        </w:numPr>
        <w:ind w:left="389" w:hangingChars="162" w:hanging="389"/>
        <w:rPr>
          <w:rFonts w:cs="Times New Roman"/>
          <w:szCs w:val="24"/>
        </w:rPr>
      </w:pPr>
      <w:r w:rsidRPr="00064EE7">
        <w:rPr>
          <w:rFonts w:cs="Times New Roman"/>
          <w:szCs w:val="24"/>
        </w:rPr>
        <w:t>指標的創立動機</w:t>
      </w:r>
      <w:r>
        <w:rPr>
          <w:rFonts w:cs="Times New Roman" w:hint="eastAsia"/>
          <w:szCs w:val="24"/>
        </w:rPr>
        <w:t>與理論依據</w:t>
      </w:r>
    </w:p>
    <w:p w:rsidR="00064EE7" w:rsidRDefault="005D7572" w:rsidP="00D90778">
      <w:pPr>
        <w:pStyle w:val="a5"/>
        <w:rPr>
          <w:rFonts w:ascii="CMR10" w:hAnsi="CMR10" w:cs="CMR10"/>
          <w:lang w:val="en-US"/>
        </w:rPr>
      </w:pPr>
      <w:r>
        <w:rPr>
          <w:rFonts w:cs="Times New Roman" w:hint="eastAsia"/>
          <w:szCs w:val="24"/>
        </w:rPr>
        <w:t xml:space="preserve">　　</w:t>
      </w:r>
      <w:r w:rsidR="00064EE7">
        <w:rPr>
          <w:rFonts w:cs="Times New Roman" w:hint="eastAsia"/>
          <w:szCs w:val="24"/>
        </w:rPr>
        <w:t>雖然</w:t>
      </w:r>
      <w:r w:rsidR="00064EE7">
        <w:rPr>
          <w:rFonts w:cs="Times New Roman" w:hint="eastAsia"/>
          <w:szCs w:val="24"/>
        </w:rPr>
        <w:t>sharp ratio</w:t>
      </w:r>
      <w:r w:rsidR="00064EE7">
        <w:rPr>
          <w:rFonts w:cs="Times New Roman" w:hint="eastAsia"/>
          <w:szCs w:val="24"/>
        </w:rPr>
        <w:t>是主要評估投資績效的指標，但是由於該指標只考慮前兩</w:t>
      </w:r>
      <w:proofErr w:type="gramStart"/>
      <w:r w:rsidR="00064EE7">
        <w:rPr>
          <w:rFonts w:cs="Times New Roman" w:hint="eastAsia"/>
          <w:szCs w:val="24"/>
        </w:rPr>
        <w:t>個動差</w:t>
      </w:r>
      <w:proofErr w:type="gramEnd"/>
      <w:r w:rsidR="00064EE7">
        <w:rPr>
          <w:rFonts w:cs="Times New Roman" w:hint="eastAsia"/>
          <w:szCs w:val="24"/>
        </w:rPr>
        <w:t>，所以只適用於常態分配且投資人偏好為二次效用函數。並且該篇作者們反對許多投資績效只是單單的回報風險比，並沒有期望效用等理論上的依據；更何況</w:t>
      </w:r>
      <w:r>
        <w:rPr>
          <w:rFonts w:cs="Times New Roman" w:hint="eastAsia"/>
          <w:szCs w:val="24"/>
        </w:rPr>
        <w:t>投資人百百種，不是單一績效指標就能適用所有的人</w:t>
      </w:r>
      <w:r w:rsidR="00064EE7">
        <w:rPr>
          <w:rFonts w:cs="Times New Roman" w:hint="eastAsia"/>
          <w:szCs w:val="24"/>
        </w:rPr>
        <w:t>。所以作者們依據</w:t>
      </w:r>
      <w:r w:rsidR="009C7D1A">
        <w:rPr>
          <w:rFonts w:cs="Times New Roman" w:hint="eastAsia"/>
          <w:szCs w:val="24"/>
        </w:rPr>
        <w:t>期望效用</w:t>
      </w:r>
      <w:r w:rsidR="00064EE7">
        <w:rPr>
          <w:rFonts w:cs="Times New Roman" w:hint="eastAsia"/>
          <w:szCs w:val="24"/>
        </w:rPr>
        <w:t>理論推</w:t>
      </w:r>
      <w:r>
        <w:rPr>
          <w:rFonts w:cs="Times New Roman" w:hint="eastAsia"/>
          <w:szCs w:val="24"/>
        </w:rPr>
        <w:t>導以及</w:t>
      </w:r>
      <w:r w:rsidR="00903238">
        <w:rPr>
          <w:rFonts w:cs="Times New Roman" w:hint="eastAsia"/>
          <w:szCs w:val="24"/>
        </w:rPr>
        <w:t>參考</w:t>
      </w:r>
      <w:proofErr w:type="gramStart"/>
      <w:r>
        <w:rPr>
          <w:rFonts w:cs="Times New Roman" w:hint="eastAsia"/>
          <w:szCs w:val="24"/>
        </w:rPr>
        <w:t>其他篇</w:t>
      </w:r>
      <w:proofErr w:type="gramEnd"/>
      <w:r>
        <w:rPr>
          <w:rFonts w:cs="Times New Roman" w:hint="eastAsia"/>
          <w:szCs w:val="24"/>
        </w:rPr>
        <w:t>學術文章</w:t>
      </w:r>
      <w:r>
        <w:rPr>
          <w:rFonts w:cs="Times New Roman" w:hint="eastAsia"/>
          <w:szCs w:val="24"/>
        </w:rPr>
        <w:t>(</w:t>
      </w:r>
      <w:r>
        <w:rPr>
          <w:rFonts w:ascii="CMR10" w:hAnsi="CMR10" w:cs="CMR10"/>
          <w:lang w:val="en-US"/>
        </w:rPr>
        <w:t xml:space="preserve">Ingersoll et al. </w:t>
      </w:r>
      <w:r>
        <w:rPr>
          <w:rFonts w:ascii="CMR10" w:hAnsi="CMR10" w:cs="CMR10" w:hint="eastAsia"/>
          <w:lang w:val="en-US"/>
        </w:rPr>
        <w:t xml:space="preserve"> </w:t>
      </w:r>
      <w:r>
        <w:rPr>
          <w:rFonts w:ascii="CMR10" w:hAnsi="CMR10" w:cs="CMR10"/>
          <w:lang w:val="en-US"/>
        </w:rPr>
        <w:t>2007</w:t>
      </w:r>
      <w:r>
        <w:rPr>
          <w:rFonts w:ascii="CMR10" w:hAnsi="CMR10" w:cs="CMR10" w:hint="eastAsia"/>
          <w:lang w:val="en-US"/>
        </w:rPr>
        <w:t>、</w:t>
      </w:r>
      <w:r w:rsidRPr="005D7572">
        <w:rPr>
          <w:rFonts w:ascii="CMR10" w:hAnsi="CMR10" w:cs="CMR10"/>
          <w:lang w:val="en-US"/>
        </w:rPr>
        <w:t>Rubinstein</w:t>
      </w:r>
      <w:r>
        <w:rPr>
          <w:rFonts w:ascii="CMR10" w:hAnsi="CMR10" w:cs="CMR10" w:hint="eastAsia"/>
          <w:lang w:val="en-US"/>
        </w:rPr>
        <w:t xml:space="preserve"> </w:t>
      </w:r>
      <w:r>
        <w:rPr>
          <w:rFonts w:ascii="CMR10" w:hAnsi="CMR10" w:cs="CMR10"/>
          <w:lang w:val="en-US"/>
        </w:rPr>
        <w:t>1976</w:t>
      </w:r>
      <w:r w:rsidRPr="005D7572">
        <w:rPr>
          <w:rFonts w:ascii="CMR10" w:hAnsi="CMR10" w:cs="CMR10"/>
          <w:lang w:val="en-US"/>
        </w:rPr>
        <w:t xml:space="preserve"> </w:t>
      </w:r>
      <w:r>
        <w:rPr>
          <w:rFonts w:ascii="CMR10" w:hAnsi="CMR10" w:cs="CMR10" w:hint="eastAsia"/>
          <w:lang w:val="en-US"/>
        </w:rPr>
        <w:t>及</w:t>
      </w:r>
      <w:r>
        <w:rPr>
          <w:rFonts w:ascii="CMR10" w:hAnsi="CMR10" w:cs="CMR10"/>
          <w:lang w:val="en-US"/>
        </w:rPr>
        <w:t xml:space="preserve"> He and Leland </w:t>
      </w:r>
      <w:r w:rsidRPr="005D7572">
        <w:rPr>
          <w:rFonts w:ascii="CMR10" w:hAnsi="CMR10" w:cs="CMR10"/>
          <w:lang w:val="en-US"/>
        </w:rPr>
        <w:t>1993)</w:t>
      </w:r>
      <w:r w:rsidR="00DC647D">
        <w:rPr>
          <w:rFonts w:ascii="CMR10" w:hAnsi="CMR10" w:cs="CMR10" w:hint="eastAsia"/>
          <w:lang w:val="en-US"/>
        </w:rPr>
        <w:t>來滿足一些假設</w:t>
      </w:r>
      <w:r>
        <w:rPr>
          <w:rFonts w:ascii="CMR10" w:hAnsi="CMR10" w:cs="CMR10" w:hint="eastAsia"/>
          <w:lang w:val="en-US"/>
        </w:rPr>
        <w:t>，</w:t>
      </w:r>
      <w:r w:rsidR="00A85107">
        <w:rPr>
          <w:rFonts w:ascii="CMR10" w:hAnsi="CMR10" w:cs="CMR10" w:hint="eastAsia"/>
          <w:lang w:val="en-US"/>
        </w:rPr>
        <w:t>之後</w:t>
      </w:r>
      <w:r>
        <w:rPr>
          <w:rFonts w:ascii="CMR10" w:hAnsi="CMR10" w:cs="CMR10" w:hint="eastAsia"/>
          <w:lang w:val="en-US"/>
        </w:rPr>
        <w:t>給出一個結論</w:t>
      </w:r>
      <w:proofErr w:type="gramStart"/>
      <w:r>
        <w:rPr>
          <w:rFonts w:ascii="CMR10" w:hAnsi="CMR10" w:cs="CMR10"/>
          <w:lang w:val="en-US"/>
        </w:rPr>
        <w:t>—</w:t>
      </w:r>
      <w:proofErr w:type="gramEnd"/>
      <w:r>
        <w:rPr>
          <w:rFonts w:ascii="CMR10" w:hAnsi="CMR10" w:cs="CMR10" w:hint="eastAsia"/>
          <w:lang w:val="en-US"/>
        </w:rPr>
        <w:t>我們可以用一個有</w:t>
      </w:r>
      <w:r>
        <w:rPr>
          <w:rFonts w:ascii="CMR10" w:hAnsi="CMR10" w:cs="CMR10" w:hint="eastAsia"/>
          <w:lang w:val="en-US"/>
        </w:rPr>
        <w:t>CARA</w:t>
      </w:r>
      <w:r>
        <w:rPr>
          <w:rFonts w:ascii="CMR10" w:hAnsi="CMR10" w:cs="CMR10" w:hint="eastAsia"/>
          <w:lang w:val="en-US"/>
        </w:rPr>
        <w:t>效用函數的代表性個人來計算</w:t>
      </w:r>
      <w:r>
        <w:rPr>
          <w:rFonts w:ascii="CMR10" w:hAnsi="CMR10" w:cs="CMR10" w:hint="eastAsia"/>
          <w:lang w:val="en-US"/>
        </w:rPr>
        <w:t>GSR(</w:t>
      </w:r>
      <w:r>
        <w:rPr>
          <w:rFonts w:ascii="CMR10" w:hAnsi="CMR10" w:cs="CMR10" w:hint="eastAsia"/>
          <w:lang w:val="en-US"/>
        </w:rPr>
        <w:t>一般化</w:t>
      </w:r>
      <w:r>
        <w:rPr>
          <w:rFonts w:ascii="CMR10" w:hAnsi="CMR10" w:cs="CMR10" w:hint="eastAsia"/>
          <w:lang w:val="en-US"/>
        </w:rPr>
        <w:t>Sharp Ratio)</w:t>
      </w:r>
      <w:r>
        <w:rPr>
          <w:rFonts w:ascii="CMR10" w:hAnsi="CMR10" w:cs="CMR10" w:hint="eastAsia"/>
          <w:lang w:val="en-US"/>
        </w:rPr>
        <w:t>，那麼該</w:t>
      </w:r>
      <w:r>
        <w:rPr>
          <w:rFonts w:ascii="CMR10" w:hAnsi="CMR10" w:cs="CMR10" w:hint="eastAsia"/>
          <w:lang w:val="en-US"/>
        </w:rPr>
        <w:t>GSR</w:t>
      </w:r>
      <w:r>
        <w:rPr>
          <w:rFonts w:ascii="CMR10" w:hAnsi="CMR10" w:cs="CMR10" w:hint="eastAsia"/>
          <w:lang w:val="en-US"/>
        </w:rPr>
        <w:t>將</w:t>
      </w:r>
      <w:r w:rsidR="00AE626D">
        <w:rPr>
          <w:rFonts w:ascii="CMR10" w:hAnsi="CMR10" w:cs="CMR10" w:hint="eastAsia"/>
          <w:lang w:val="en-US"/>
        </w:rPr>
        <w:t>不只計算方便</w:t>
      </w:r>
      <w:r w:rsidR="000E2F04">
        <w:rPr>
          <w:rFonts w:ascii="CMR10" w:hAnsi="CMR10" w:cs="CMR10" w:hint="eastAsia"/>
          <w:lang w:val="en-US"/>
        </w:rPr>
        <w:t>、考慮到不只前兩</w:t>
      </w:r>
      <w:proofErr w:type="gramStart"/>
      <w:r w:rsidR="000E2F04">
        <w:rPr>
          <w:rFonts w:ascii="CMR10" w:hAnsi="CMR10" w:cs="CMR10" w:hint="eastAsia"/>
          <w:lang w:val="en-US"/>
        </w:rPr>
        <w:t>個的動差</w:t>
      </w:r>
      <w:proofErr w:type="gramEnd"/>
      <w:r w:rsidR="00E00737">
        <w:rPr>
          <w:rFonts w:ascii="CMR10" w:hAnsi="CMR10" w:cs="CMR10" w:hint="eastAsia"/>
          <w:lang w:val="en-US"/>
        </w:rPr>
        <w:t>，</w:t>
      </w:r>
      <w:r w:rsidR="00AE626D">
        <w:rPr>
          <w:rFonts w:ascii="CMR10" w:hAnsi="CMR10" w:cs="CMR10" w:hint="eastAsia"/>
          <w:lang w:val="en-US"/>
        </w:rPr>
        <w:t>還</w:t>
      </w:r>
      <w:r w:rsidR="00420BBA">
        <w:rPr>
          <w:rFonts w:ascii="CMR10" w:hAnsi="CMR10" w:cs="CMR10" w:hint="eastAsia"/>
          <w:lang w:val="en-US"/>
        </w:rPr>
        <w:t>具</w:t>
      </w:r>
      <w:r w:rsidR="00AE626D">
        <w:rPr>
          <w:rFonts w:ascii="CMR10" w:hAnsi="CMR10" w:cs="CMR10" w:hint="eastAsia"/>
          <w:lang w:val="en-US"/>
        </w:rPr>
        <w:t>有通用性。</w:t>
      </w:r>
    </w:p>
    <w:p w:rsidR="0006417D" w:rsidRDefault="0006417D" w:rsidP="00D90778">
      <w:pPr>
        <w:pStyle w:val="a5"/>
        <w:rPr>
          <w:rFonts w:ascii="CMR10" w:hAnsi="CMR10" w:cs="CMR10"/>
          <w:lang w:val="en-US"/>
        </w:rPr>
      </w:pPr>
    </w:p>
    <w:p w:rsidR="00453FD6" w:rsidRPr="00453FD6" w:rsidRDefault="007F56BA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　　至於為何</w:t>
      </w:r>
      <w:r w:rsidR="00453FD6">
        <w:rPr>
          <w:rFonts w:cs="Times New Roman" w:hint="eastAsia"/>
          <w:szCs w:val="24"/>
        </w:rPr>
        <w:t>要利用</w:t>
      </w:r>
      <w:r w:rsidR="00453FD6">
        <w:rPr>
          <w:rFonts w:ascii="CMR10" w:hAnsi="CMR10" w:cs="CMR10" w:hint="eastAsia"/>
          <w:lang w:val="en-US"/>
        </w:rPr>
        <w:t>一個有</w:t>
      </w:r>
      <w:r w:rsidR="00453FD6">
        <w:rPr>
          <w:rFonts w:ascii="CMR10" w:hAnsi="CMR10" w:cs="CMR10" w:hint="eastAsia"/>
          <w:lang w:val="en-US"/>
        </w:rPr>
        <w:t>CARA</w:t>
      </w:r>
      <w:r w:rsidR="00453FD6">
        <w:rPr>
          <w:rFonts w:ascii="CMR10" w:hAnsi="CMR10" w:cs="CMR10" w:hint="eastAsia"/>
          <w:lang w:val="en-US"/>
        </w:rPr>
        <w:t>效用函數的代表性投資人算出績效</w:t>
      </w:r>
      <w:r>
        <w:rPr>
          <w:rFonts w:cs="Times New Roman" w:hint="eastAsia"/>
          <w:szCs w:val="24"/>
        </w:rPr>
        <w:t>指標，作者</w:t>
      </w:r>
      <w:r w:rsidR="00453FD6">
        <w:rPr>
          <w:rFonts w:cs="Times New Roman" w:hint="eastAsia"/>
          <w:szCs w:val="24"/>
        </w:rPr>
        <w:t>指出</w:t>
      </w:r>
      <w:proofErr w:type="gramStart"/>
      <w:r w:rsidR="00453FD6">
        <w:rPr>
          <w:rFonts w:ascii="CMR10" w:hAnsi="CMR10" w:cs="CMR10"/>
          <w:lang w:val="en-US"/>
        </w:rPr>
        <w:t>—</w:t>
      </w:r>
      <w:proofErr w:type="gramEnd"/>
      <w:r w:rsidR="00453FD6">
        <w:rPr>
          <w:rFonts w:cs="Times New Roman" w:hint="eastAsia"/>
          <w:szCs w:val="24"/>
        </w:rPr>
        <w:t>若市場完美且市場報酬為</w:t>
      </w:r>
      <w:proofErr w:type="spellStart"/>
      <w:r w:rsidR="00453FD6">
        <w:rPr>
          <w:rFonts w:cs="Times New Roman" w:hint="eastAsia"/>
          <w:szCs w:val="24"/>
        </w:rPr>
        <w:t>iid</w:t>
      </w:r>
      <w:proofErr w:type="spellEnd"/>
      <w:r w:rsidR="00453FD6">
        <w:rPr>
          <w:rFonts w:cs="Times New Roman" w:hint="eastAsia"/>
          <w:szCs w:val="24"/>
        </w:rPr>
        <w:t>分配，那所有投資人為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效用函數；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效用函數的風險趨避係數必須很高，否則不能解釋</w:t>
      </w:r>
      <w:r w:rsidR="00453FD6">
        <w:rPr>
          <w:rFonts w:cs="Times New Roman" w:hint="eastAsia"/>
          <w:szCs w:val="24"/>
        </w:rPr>
        <w:t>equity premium puzzle</w:t>
      </w:r>
      <w:r w:rsidR="00453FD6">
        <w:rPr>
          <w:rFonts w:cs="Times New Roman" w:hint="eastAsia"/>
          <w:szCs w:val="24"/>
        </w:rPr>
        <w:t>；風險趨避係數高的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投資人對於</w:t>
      </w:r>
      <w:proofErr w:type="gramStart"/>
      <w:r w:rsidR="00453FD6">
        <w:rPr>
          <w:rFonts w:cs="Times New Roman" w:hint="eastAsia"/>
          <w:szCs w:val="24"/>
        </w:rPr>
        <w:t>高階動差的</w:t>
      </w:r>
      <w:proofErr w:type="gramEnd"/>
      <w:r w:rsidR="00453FD6">
        <w:rPr>
          <w:rFonts w:cs="Times New Roman" w:hint="eastAsia"/>
          <w:szCs w:val="24"/>
        </w:rPr>
        <w:t>風險偏好將非常接近於</w:t>
      </w:r>
      <w:r w:rsidR="00453FD6">
        <w:rPr>
          <w:rFonts w:ascii="CMR10" w:hAnsi="CMR10" w:cs="CMR10" w:hint="eastAsia"/>
          <w:lang w:val="en-US"/>
        </w:rPr>
        <w:t>CARA</w:t>
      </w:r>
      <w:r w:rsidR="00453FD6">
        <w:rPr>
          <w:rFonts w:ascii="CMR10" w:hAnsi="CMR10" w:cs="CMR10" w:hint="eastAsia"/>
          <w:lang w:val="en-US"/>
        </w:rPr>
        <w:t>投資人；而</w:t>
      </w:r>
      <w:r w:rsidR="00453FD6">
        <w:rPr>
          <w:rFonts w:cs="Times New Roman" w:hint="eastAsia"/>
          <w:szCs w:val="24"/>
        </w:rPr>
        <w:t>CRRA</w:t>
      </w:r>
      <w:r w:rsidR="00453FD6">
        <w:rPr>
          <w:rFonts w:cs="Times New Roman" w:hint="eastAsia"/>
          <w:szCs w:val="24"/>
        </w:rPr>
        <w:t>以及</w:t>
      </w:r>
      <w:r w:rsidR="00453FD6">
        <w:rPr>
          <w:rFonts w:cs="Times New Roman" w:hint="eastAsia"/>
          <w:szCs w:val="24"/>
        </w:rPr>
        <w:t>CARA</w:t>
      </w:r>
      <w:r w:rsidR="00453FD6">
        <w:rPr>
          <w:rFonts w:ascii="CMR10" w:hAnsi="CMR10" w:cs="CMR10" w:hint="eastAsia"/>
          <w:lang w:val="en-US"/>
        </w:rPr>
        <w:t>為</w:t>
      </w:r>
      <w:r w:rsidR="00453FD6">
        <w:rPr>
          <w:rFonts w:ascii="CMR10" w:hAnsi="CMR10" w:cs="CMR10" w:hint="eastAsia"/>
          <w:lang w:val="en-US"/>
        </w:rPr>
        <w:t>HARA</w:t>
      </w:r>
      <w:r w:rsidR="00453FD6">
        <w:rPr>
          <w:rFonts w:ascii="CMR10" w:hAnsi="CMR10" w:cs="CMR10" w:hint="eastAsia"/>
          <w:lang w:val="en-US"/>
        </w:rPr>
        <w:t>的</w:t>
      </w:r>
      <w:proofErr w:type="gramStart"/>
      <w:r w:rsidR="00453FD6">
        <w:rPr>
          <w:rFonts w:ascii="CMR10" w:hAnsi="CMR10" w:cs="CMR10" w:hint="eastAsia"/>
          <w:lang w:val="en-US"/>
        </w:rPr>
        <w:t>一</w:t>
      </w:r>
      <w:proofErr w:type="gramEnd"/>
      <w:r w:rsidR="00453FD6">
        <w:rPr>
          <w:rFonts w:ascii="CMR10" w:hAnsi="CMR10" w:cs="CMR10" w:hint="eastAsia"/>
          <w:lang w:val="en-US"/>
        </w:rPr>
        <w:t>族，任</w:t>
      </w:r>
      <w:proofErr w:type="gramStart"/>
      <w:r w:rsidR="00453FD6">
        <w:rPr>
          <w:rFonts w:ascii="CMR10" w:hAnsi="CMR10" w:cs="CMR10" w:hint="eastAsia"/>
          <w:lang w:val="en-US"/>
        </w:rPr>
        <w:t>一</w:t>
      </w:r>
      <w:proofErr w:type="gramEnd"/>
      <w:r w:rsidR="00453FD6">
        <w:rPr>
          <w:rFonts w:ascii="CMR10" w:hAnsi="CMR10" w:cs="CMR10" w:hint="eastAsia"/>
          <w:lang w:val="en-US"/>
        </w:rPr>
        <w:t>合理的績效指標將對所有</w:t>
      </w:r>
      <w:r w:rsidR="009337F2">
        <w:rPr>
          <w:rFonts w:ascii="CMR10" w:hAnsi="CMR10" w:cs="CMR10" w:hint="eastAsia"/>
          <w:lang w:val="en-US"/>
        </w:rPr>
        <w:t>HARA</w:t>
      </w:r>
      <w:r w:rsidR="009337F2">
        <w:rPr>
          <w:rFonts w:ascii="CMR10" w:hAnsi="CMR10" w:cs="CMR10" w:hint="eastAsia"/>
          <w:lang w:val="en-US"/>
        </w:rPr>
        <w:t>投資人通用且獨立於投資人的原始財富水位；</w:t>
      </w:r>
      <w:proofErr w:type="gramStart"/>
      <w:r w:rsidR="00093D33">
        <w:rPr>
          <w:rFonts w:ascii="CMR10" w:hAnsi="CMR10" w:cs="CMR10" w:hint="eastAsia"/>
          <w:lang w:val="en-US"/>
        </w:rPr>
        <w:t>故</w:t>
      </w:r>
      <w:r w:rsidR="009337F2">
        <w:rPr>
          <w:rFonts w:ascii="CMR10" w:hAnsi="CMR10" w:cs="CMR10" w:hint="eastAsia"/>
          <w:lang w:val="en-US"/>
        </w:rPr>
        <w:t>用</w:t>
      </w:r>
      <w:proofErr w:type="gramEnd"/>
      <w:r w:rsidR="009337F2">
        <w:rPr>
          <w:rFonts w:ascii="CMR10" w:hAnsi="CMR10" w:cs="CMR10" w:hint="eastAsia"/>
          <w:lang w:val="en-US"/>
        </w:rPr>
        <w:t>CARA</w:t>
      </w:r>
      <w:r w:rsidR="009337F2">
        <w:rPr>
          <w:rFonts w:ascii="CMR10" w:hAnsi="CMR10" w:cs="CMR10" w:hint="eastAsia"/>
          <w:lang w:val="en-US"/>
        </w:rPr>
        <w:t>代表性投資人將能合理且快速的算出</w:t>
      </w:r>
      <w:r w:rsidR="00697EBE">
        <w:rPr>
          <w:rFonts w:ascii="CMR10" w:hAnsi="CMR10" w:cs="CMR10" w:hint="eastAsia"/>
          <w:lang w:val="en-US"/>
        </w:rPr>
        <w:t>通用的</w:t>
      </w:r>
      <w:r w:rsidR="009337F2">
        <w:rPr>
          <w:rFonts w:ascii="CMR10" w:hAnsi="CMR10" w:cs="CMR10" w:hint="eastAsia"/>
          <w:lang w:val="en-US"/>
        </w:rPr>
        <w:t>績效指標。</w:t>
      </w:r>
    </w:p>
    <w:p w:rsidR="005D7572" w:rsidRDefault="005D7572" w:rsidP="00D90778">
      <w:pPr>
        <w:pStyle w:val="a5"/>
        <w:rPr>
          <w:rFonts w:cs="Times New Roman"/>
          <w:szCs w:val="24"/>
        </w:rPr>
      </w:pPr>
    </w:p>
    <w:p w:rsidR="009C4910" w:rsidRDefault="009C4910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GSR</w:t>
      </w:r>
      <w:r w:rsidR="000819D2">
        <w:rPr>
          <w:rFonts w:cs="Times New Roman" w:hint="eastAsia"/>
          <w:szCs w:val="24"/>
        </w:rPr>
        <w:t>績效</w:t>
      </w:r>
      <w:r w:rsidRPr="00064EE7">
        <w:rPr>
          <w:rFonts w:cs="Times New Roman"/>
          <w:szCs w:val="24"/>
        </w:rPr>
        <w:t>指標的</w:t>
      </w:r>
      <w:r>
        <w:rPr>
          <w:rFonts w:cs="Times New Roman" w:hint="eastAsia"/>
          <w:szCs w:val="24"/>
        </w:rPr>
        <w:t>歷史</w:t>
      </w:r>
    </w:p>
    <w:p w:rsidR="009C4910" w:rsidRDefault="009C4910" w:rsidP="00D90778">
      <w:pPr>
        <w:pStyle w:val="a5"/>
        <w:rPr>
          <w:rFonts w:ascii="CMR10" w:hAnsi="CMR10" w:cs="CMR10"/>
          <w:lang w:val="en-US"/>
        </w:rPr>
      </w:pPr>
      <w:r>
        <w:rPr>
          <w:rFonts w:cs="Times New Roman" w:hint="eastAsia"/>
          <w:szCs w:val="24"/>
        </w:rPr>
        <w:t xml:space="preserve">　　</w:t>
      </w:r>
      <w:r>
        <w:rPr>
          <w:rFonts w:cs="Times New Roman"/>
          <w:szCs w:val="24"/>
        </w:rPr>
        <w:t>Generalized Sharpe Ratio(GSR)</w:t>
      </w:r>
      <w:r>
        <w:rPr>
          <w:rFonts w:cs="Times New Roman" w:hint="eastAsia"/>
          <w:szCs w:val="24"/>
        </w:rPr>
        <w:t>是源自於</w:t>
      </w:r>
      <w:r w:rsidRPr="009C4910">
        <w:rPr>
          <w:rFonts w:cs="Times New Roman"/>
          <w:szCs w:val="24"/>
        </w:rPr>
        <w:t>Hodges (1998)</w:t>
      </w:r>
      <w:r>
        <w:rPr>
          <w:rFonts w:cs="Times New Roman" w:hint="eastAsia"/>
          <w:szCs w:val="24"/>
        </w:rPr>
        <w:t>，其目的是為了</w:t>
      </w:r>
      <w:r w:rsidR="00730083">
        <w:rPr>
          <w:rFonts w:cs="Times New Roman" w:hint="eastAsia"/>
          <w:szCs w:val="24"/>
        </w:rPr>
        <w:t>解決</w:t>
      </w:r>
      <w:r>
        <w:rPr>
          <w:rFonts w:cs="Times New Roman" w:hint="eastAsia"/>
          <w:szCs w:val="24"/>
        </w:rPr>
        <w:t>所謂的</w:t>
      </w:r>
      <w:r>
        <w:rPr>
          <w:rFonts w:cs="Times New Roman" w:hint="eastAsia"/>
          <w:szCs w:val="24"/>
        </w:rPr>
        <w:t>SR</w:t>
      </w:r>
      <w:r>
        <w:rPr>
          <w:rFonts w:cs="Times New Roman" w:hint="eastAsia"/>
          <w:szCs w:val="24"/>
        </w:rPr>
        <w:t>問題</w:t>
      </w:r>
      <w:r w:rsidR="00010E75">
        <w:rPr>
          <w:rStyle w:val="af"/>
          <w:rFonts w:cs="Times New Roman"/>
          <w:szCs w:val="24"/>
        </w:rPr>
        <w:footnoteReference w:id="1"/>
      </w:r>
      <w:proofErr w:type="gramStart"/>
      <w:r>
        <w:rPr>
          <w:rFonts w:ascii="CMR10" w:hAnsi="CMR10" w:cs="CMR10"/>
          <w:lang w:val="en-US"/>
        </w:rPr>
        <w:t>—</w:t>
      </w:r>
      <w:proofErr w:type="gramEnd"/>
      <w:r>
        <w:rPr>
          <w:rFonts w:ascii="CMR10" w:hAnsi="CMR10" w:cs="CMR10" w:hint="eastAsia"/>
          <w:lang w:val="en-US"/>
        </w:rPr>
        <w:t>Sharp Ratio</w:t>
      </w:r>
      <w:r>
        <w:rPr>
          <w:rFonts w:ascii="CMR10" w:hAnsi="CMR10" w:cs="CMR10" w:hint="eastAsia"/>
          <w:lang w:val="en-US"/>
        </w:rPr>
        <w:t>將忽略第三</w:t>
      </w:r>
      <w:proofErr w:type="gramStart"/>
      <w:r>
        <w:rPr>
          <w:rFonts w:ascii="CMR10" w:hAnsi="CMR10" w:cs="CMR10" w:hint="eastAsia"/>
          <w:lang w:val="en-US"/>
        </w:rPr>
        <w:t>個</w:t>
      </w:r>
      <w:proofErr w:type="gramEnd"/>
      <w:r>
        <w:rPr>
          <w:rFonts w:ascii="CMR10" w:hAnsi="CMR10" w:cs="CMR10" w:hint="eastAsia"/>
          <w:lang w:val="en-US"/>
        </w:rPr>
        <w:t>以上</w:t>
      </w:r>
      <w:proofErr w:type="gramStart"/>
      <w:r>
        <w:rPr>
          <w:rFonts w:ascii="CMR10" w:hAnsi="CMR10" w:cs="CMR10" w:hint="eastAsia"/>
          <w:lang w:val="en-US"/>
        </w:rPr>
        <w:t>的動差且易受操弄</w:t>
      </w:r>
      <w:proofErr w:type="gramEnd"/>
      <w:r>
        <w:rPr>
          <w:rFonts w:ascii="CMR10" w:hAnsi="CMR10" w:cs="CMR10" w:hint="eastAsia"/>
          <w:lang w:val="en-US"/>
        </w:rPr>
        <w:t>。</w:t>
      </w:r>
      <w:r w:rsidR="000819D2">
        <w:rPr>
          <w:rFonts w:ascii="CMR10" w:hAnsi="CMR10" w:cs="CMR10" w:hint="eastAsia"/>
          <w:lang w:val="en-US"/>
        </w:rPr>
        <w:t>GSR</w:t>
      </w:r>
      <w:r w:rsidR="000819D2">
        <w:rPr>
          <w:rFonts w:ascii="CMR10" w:hAnsi="CMR10" w:cs="CMR10" w:hint="eastAsia"/>
          <w:lang w:val="en-US"/>
        </w:rPr>
        <w:t>的特性是，當風險性資產的機率分配收斂成常態分配則</w:t>
      </w:r>
      <w:r w:rsidR="000819D2">
        <w:rPr>
          <w:rFonts w:ascii="CMR10" w:hAnsi="CMR10" w:cs="CMR10" w:hint="eastAsia"/>
          <w:lang w:val="en-US"/>
        </w:rPr>
        <w:t>GSR</w:t>
      </w:r>
      <w:r w:rsidR="000819D2">
        <w:rPr>
          <w:rFonts w:ascii="CMR10" w:hAnsi="CMR10" w:cs="CMR10" w:hint="eastAsia"/>
          <w:lang w:val="en-US"/>
        </w:rPr>
        <w:t>同時收斂成</w:t>
      </w:r>
      <w:r w:rsidR="000819D2">
        <w:rPr>
          <w:rFonts w:ascii="CMR10" w:hAnsi="CMR10" w:cs="CMR10" w:hint="eastAsia"/>
          <w:lang w:val="en-US"/>
        </w:rPr>
        <w:t>SR</w:t>
      </w:r>
      <w:r w:rsidR="00337706">
        <w:rPr>
          <w:rFonts w:ascii="CMR10" w:hAnsi="CMR10" w:cs="CMR10" w:hint="eastAsia"/>
          <w:lang w:val="en-US"/>
        </w:rPr>
        <w:t>，故被稱為一般化夏普比率</w:t>
      </w:r>
    </w:p>
    <w:p w:rsidR="0006417D" w:rsidRDefault="0006417D" w:rsidP="00D90778">
      <w:pPr>
        <w:pStyle w:val="a5"/>
        <w:rPr>
          <w:rFonts w:ascii="CMR10" w:hAnsi="CMR10" w:cs="CMR10"/>
          <w:lang w:val="en-US"/>
        </w:rPr>
      </w:pPr>
    </w:p>
    <w:p w:rsidR="00010E75" w:rsidRDefault="00010E75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  <w:sectPr w:rsidR="00010E7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6F1CBD" w:rsidRDefault="006F1CBD" w:rsidP="00D90778">
      <w:pPr>
        <w:pStyle w:val="a5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GSR</w:t>
      </w:r>
      <w:r>
        <w:rPr>
          <w:rFonts w:cs="Times New Roman" w:hint="eastAsia"/>
          <w:szCs w:val="24"/>
        </w:rPr>
        <w:t>績效</w:t>
      </w:r>
      <w:r w:rsidRPr="00064EE7">
        <w:rPr>
          <w:rFonts w:cs="Times New Roman"/>
          <w:szCs w:val="24"/>
        </w:rPr>
        <w:t>指標的</w:t>
      </w:r>
      <w:r>
        <w:rPr>
          <w:rFonts w:cs="Times New Roman" w:hint="eastAsia"/>
          <w:szCs w:val="24"/>
        </w:rPr>
        <w:t>計算</w:t>
      </w:r>
    </w:p>
    <w:p w:rsidR="006F1CBD" w:rsidRDefault="006F1CBD" w:rsidP="00D90778">
      <w:pPr>
        <w:pStyle w:val="a5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無參數計算方法</w:t>
      </w:r>
    </w:p>
    <w:p w:rsidR="006F1CBD" w:rsidRDefault="006F1CBD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計算依據：</w:t>
      </w:r>
      <w:r>
        <w:rPr>
          <w:rFonts w:cs="Times New Roman" w:hint="eastAsia"/>
          <w:color w:val="FF0000"/>
          <w:szCs w:val="24"/>
        </w:rPr>
        <w:t>負指數效用函數</w:t>
      </w:r>
      <w:r w:rsidR="00634866">
        <w:rPr>
          <w:rFonts w:cs="Times New Roman" w:hint="eastAsia"/>
          <w:color w:val="FF0000"/>
          <w:szCs w:val="24"/>
        </w:rPr>
        <w:t>、投資人沒有初始財富、</w:t>
      </w:r>
      <w:r>
        <w:rPr>
          <w:rFonts w:cs="Times New Roman" w:hint="eastAsia"/>
          <w:color w:val="FF0000"/>
          <w:szCs w:val="24"/>
        </w:rPr>
        <w:t>對投資標的</w:t>
      </w:r>
      <w:proofErr w:type="gramStart"/>
      <w:r>
        <w:rPr>
          <w:rFonts w:cs="Times New Roman" w:hint="eastAsia"/>
          <w:color w:val="FF0000"/>
          <w:szCs w:val="24"/>
        </w:rPr>
        <w:t>的</w:t>
      </w:r>
      <w:proofErr w:type="gramEnd"/>
      <w:r>
        <w:rPr>
          <w:rFonts w:cs="Times New Roman" w:hint="eastAsia"/>
          <w:color w:val="FF0000"/>
          <w:szCs w:val="24"/>
        </w:rPr>
        <w:t>報酬分配沒有</w:t>
      </w:r>
      <w:r w:rsidR="00634866">
        <w:rPr>
          <w:rFonts w:cs="Times New Roman" w:hint="eastAsia"/>
          <w:color w:val="FF0000"/>
          <w:szCs w:val="24"/>
        </w:rPr>
        <w:t>假設</w:t>
      </w:r>
    </w:p>
    <w:p w:rsidR="006F1CBD" w:rsidRDefault="00634866" w:rsidP="00D90778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hAnsi="Cambria Math" w:cs="Times New Roman" w:hint="eastAsia"/>
            <w:szCs w:val="24"/>
          </w:rPr>
          <m:t xml:space="preserve">GSR= 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-2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log⁡</m:t>
            </m:r>
            <m:r>
              <w:rPr>
                <w:rFonts w:ascii="Cambria Math" w:hAnsi="Cambria Math" w:cs="Times New Roman"/>
                <w:szCs w:val="24"/>
              </w:rPr>
              <m:t>(-E[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MS Gothic" w:eastAsia="MS Gothic" w:hAnsi="MS Gothic" w:cs="MS Gothic" w:hint="eastAsia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 w:hint="eastAsia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>)]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="00C4572F">
        <w:rPr>
          <w:rFonts w:cs="Times New Roman" w:hint="eastAsia"/>
          <w:szCs w:val="24"/>
        </w:rPr>
        <w:t>，其中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U</m:t>
                </m:r>
              </m:e>
              <m:sup>
                <m:r>
                  <w:rPr>
                    <w:rFonts w:ascii="MS Gothic" w:eastAsia="MS Gothic" w:hAnsi="MS Gothic" w:cs="MS Gothic" w:hint="eastAsia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max</m:t>
            </m:r>
          </m:e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Cs w:val="24"/>
          </w:rPr>
          <m:t>E[-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λ(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 w:cs="Times New Roman"/>
            <w:szCs w:val="24"/>
          </w:rPr>
          <m:t>]</m:t>
        </m:r>
      </m:oMath>
    </w:p>
    <w:p w:rsidR="008014EE" w:rsidRDefault="008014EE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0A2D61" w:rsidRDefault="00470C7A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優缺點；優點是沒有對機率分配有任何假設，但是</w:t>
      </w:r>
      <w:r w:rsidR="00434A96">
        <w:rPr>
          <w:rFonts w:ascii="Times New Roman" w:eastAsia="標楷體" w:hAnsi="Times New Roman" w:cs="Times New Roman" w:hint="eastAsia"/>
          <w:sz w:val="24"/>
          <w:szCs w:val="24"/>
        </w:rPr>
        <w:t>由於要計算期望效用，</w:t>
      </w:r>
      <w:r w:rsidR="006748BA">
        <w:rPr>
          <w:rFonts w:ascii="Times New Roman" w:eastAsia="標楷體" w:hAnsi="Times New Roman" w:cs="Times New Roman" w:hint="eastAsia"/>
          <w:sz w:val="24"/>
          <w:szCs w:val="24"/>
        </w:rPr>
        <w:t>缺點為在</w:t>
      </w:r>
      <w:r>
        <w:rPr>
          <w:rFonts w:ascii="Times New Roman" w:eastAsia="標楷體" w:hAnsi="Times New Roman" w:cs="Times New Roman" w:hint="eastAsia"/>
          <w:sz w:val="24"/>
          <w:szCs w:val="24"/>
        </w:rPr>
        <w:t>計算上</w:t>
      </w:r>
      <w:r w:rsidR="006748BA">
        <w:rPr>
          <w:rFonts w:ascii="Times New Roman" w:eastAsia="標楷體" w:hAnsi="Times New Roman" w:cs="Times New Roman" w:hint="eastAsia"/>
          <w:sz w:val="24"/>
          <w:szCs w:val="24"/>
        </w:rPr>
        <w:t>相當</w:t>
      </w:r>
      <w:r>
        <w:rPr>
          <w:rFonts w:ascii="Times New Roman" w:eastAsia="標楷體" w:hAnsi="Times New Roman" w:cs="Times New Roman" w:hint="eastAsia"/>
          <w:sz w:val="24"/>
          <w:szCs w:val="24"/>
        </w:rPr>
        <w:t>複雜。</w:t>
      </w:r>
    </w:p>
    <w:p w:rsidR="0006417D" w:rsidRDefault="0006417D" w:rsidP="00D90778">
      <w:pPr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</w:p>
    <w:p w:rsidR="00470C7A" w:rsidRDefault="00470C7A" w:rsidP="00470C7A">
      <w:pPr>
        <w:pStyle w:val="a5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有參數計算方法</w:t>
      </w:r>
      <w:r>
        <w:rPr>
          <w:rFonts w:cs="Times New Roman" w:hint="eastAsia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–</w:t>
      </w:r>
      <w:proofErr w:type="gramEnd"/>
      <w:r>
        <w:rPr>
          <w:rFonts w:cs="Times New Roman" w:hint="eastAsia"/>
          <w:szCs w:val="24"/>
        </w:rPr>
        <w:t xml:space="preserve"> ASKSR(</w:t>
      </w:r>
      <w:r w:rsidRPr="00470C7A">
        <w:rPr>
          <w:rFonts w:cs="Times New Roman"/>
          <w:szCs w:val="24"/>
        </w:rPr>
        <w:t xml:space="preserve">Adjusted for </w:t>
      </w:r>
      <w:proofErr w:type="spellStart"/>
      <w:r w:rsidRPr="00470C7A">
        <w:rPr>
          <w:rFonts w:cs="Times New Roman"/>
          <w:szCs w:val="24"/>
        </w:rPr>
        <w:t>Skewness</w:t>
      </w:r>
      <w:proofErr w:type="spellEnd"/>
      <w:r w:rsidRPr="00470C7A">
        <w:rPr>
          <w:rFonts w:cs="Times New Roman"/>
          <w:szCs w:val="24"/>
        </w:rPr>
        <w:t xml:space="preserve"> and Kurtosis Sharpe ratio</w:t>
      </w:r>
      <w:r>
        <w:rPr>
          <w:rFonts w:cs="Times New Roman" w:hint="eastAsia"/>
          <w:szCs w:val="24"/>
        </w:rPr>
        <w:t>)</w:t>
      </w:r>
    </w:p>
    <w:p w:rsidR="00470C7A" w:rsidRPr="00470C7A" w:rsidRDefault="00470C7A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計算依據：</w:t>
      </w:r>
      <w:r>
        <w:rPr>
          <w:rFonts w:cs="Times New Roman" w:hint="eastAsia"/>
          <w:color w:val="FF0000"/>
          <w:szCs w:val="24"/>
        </w:rPr>
        <w:t>負指數效用函數、投資人沒有初始財富、報酬分配假設為</w:t>
      </w:r>
      <w:r>
        <w:rPr>
          <w:rFonts w:cs="Times New Roman" w:hint="eastAsia"/>
          <w:color w:val="FF0000"/>
          <w:szCs w:val="24"/>
        </w:rPr>
        <w:t>NIG</w:t>
      </w:r>
      <w:r>
        <w:rPr>
          <w:rFonts w:cs="Times New Roman" w:hint="eastAsia"/>
          <w:color w:val="FF0000"/>
          <w:szCs w:val="24"/>
        </w:rPr>
        <w:t>分配</w:t>
      </w:r>
    </w:p>
    <w:p w:rsidR="00FB729B" w:rsidRPr="00FB729B" w:rsidRDefault="00470C7A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公式：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ASK</m:t>
        </m:r>
        <m:r>
          <m:rPr>
            <m:sty m:val="p"/>
          </m:rPr>
          <w:rPr>
            <w:rFonts w:ascii="Cambria Math" w:hAnsi="Cambria Math" w:cs="Times New Roman" w:hint="eastAsia"/>
            <w:szCs w:val="24"/>
          </w:rPr>
          <m:t>SR=</m:t>
        </m:r>
        <m:rad>
          <m:radPr>
            <m:degHide m:val="1"/>
            <m:ctrlPr>
              <w:rPr>
                <w:rFonts w:ascii="Cambria Math" w:hAnsi="Cambria Math" w:cs="Times New Roman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-δ(φ-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(β-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 w:cs="Times New Roman"/>
            <w:szCs w:val="24"/>
          </w:rPr>
          <m:t>]</m:t>
        </m:r>
      </m:oMath>
      <w:r w:rsidR="00FB729B">
        <w:rPr>
          <w:rFonts w:cs="Times New Roman" w:hint="eastAsia"/>
          <w:szCs w:val="24"/>
        </w:rPr>
        <w:t>，其中</w:t>
      </w:r>
    </w:p>
    <w:p w:rsidR="00470C7A" w:rsidRPr="00367650" w:rsidRDefault="00D6052E" w:rsidP="00470C7A">
      <w:pPr>
        <w:pStyle w:val="a5"/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/>
            </w:rPr>
            <m:t>β+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(η-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:rsidR="001D2F63" w:rsidRPr="00FB729B" w:rsidRDefault="001D2F63" w:rsidP="00470C7A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FB729B" w:rsidRPr="00FB729B" w:rsidRDefault="00FB729B" w:rsidP="00470C7A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3K-4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(3K-5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-9)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3S</m:t>
              </m:r>
            </m:num>
            <m:den>
              <m:r>
                <w:rPr>
                  <w:rFonts w:ascii="Cambria Math" w:hAnsi="Cambria Math"/>
                </w:rPr>
                <m:t>σ(3K-5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-9)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η=μ-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3σS</m:t>
              </m:r>
            </m:num>
            <m:den>
              <m:r>
                <w:rPr>
                  <w:rFonts w:ascii="Cambria Math" w:hAnsi="Cambria Math"/>
                </w:rPr>
                <m:t>3K-4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den>
          </m:f>
        </m:oMath>
      </m:oMathPara>
    </w:p>
    <w:p w:rsidR="00FB729B" w:rsidRPr="00FB729B" w:rsidRDefault="00FB729B" w:rsidP="00FB729B">
      <w:pPr>
        <w:pStyle w:val="a5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3K-5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3K-4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den>
          </m:f>
        </m:oMath>
      </m:oMathPara>
    </w:p>
    <w:p w:rsidR="00FB729B" w:rsidRDefault="00FB729B" w:rsidP="00FB729B">
      <w:pPr>
        <w:pStyle w:val="a5"/>
        <w:rPr>
          <w:rFonts w:cs="Times New Roman"/>
        </w:rPr>
      </w:pPr>
      <w:r>
        <w:rPr>
          <w:rFonts w:cs="Times New Roman" w:hint="eastAsia"/>
        </w:rPr>
        <w:t>裡面</w:t>
      </w:r>
      <m:oMath>
        <m:r>
          <w:rPr>
            <w:rFonts w:ascii="Cambria Math" w:hAnsi="Cambria Math"/>
          </w:rPr>
          <m:t>μ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σ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S</m:t>
        </m:r>
      </m:oMath>
      <w:r>
        <w:rPr>
          <w:rFonts w:cs="Times New Roman" w:hint="eastAsia"/>
        </w:rPr>
        <w:t>、</w:t>
      </w:r>
      <m:oMath>
        <m:r>
          <w:rPr>
            <w:rFonts w:ascii="Cambria Math" w:hAnsi="Cambria Math"/>
          </w:rPr>
          <m:t>K</m:t>
        </m:r>
      </m:oMath>
      <w:r>
        <w:rPr>
          <w:rFonts w:cs="Times New Roman" w:hint="eastAsia"/>
        </w:rPr>
        <w:t>分別代表一到四</w:t>
      </w:r>
      <w:proofErr w:type="gramStart"/>
      <w:r>
        <w:rPr>
          <w:rFonts w:cs="Times New Roman" w:hint="eastAsia"/>
        </w:rPr>
        <w:t>的動差</w:t>
      </w:r>
      <w:proofErr w:type="gramEnd"/>
      <w:r>
        <w:rPr>
          <w:rFonts w:cs="Times New Roman" w:hint="eastAsia"/>
        </w:rPr>
        <w:t>(</w:t>
      </w:r>
      <w:r>
        <w:rPr>
          <w:rFonts w:cs="Times New Roman" w:hint="eastAsia"/>
        </w:rPr>
        <w:t>平均數、標準差、偏態、</w:t>
      </w:r>
      <w:proofErr w:type="gramStart"/>
      <w:r>
        <w:rPr>
          <w:rFonts w:cs="Times New Roman" w:hint="eastAsia"/>
        </w:rPr>
        <w:t>峰態</w:t>
      </w:r>
      <w:proofErr w:type="gramEnd"/>
      <w:r>
        <w:rPr>
          <w:rFonts w:cs="Times New Roman" w:hint="eastAsia"/>
        </w:rPr>
        <w:t>)</w:t>
      </w:r>
      <w:r w:rsidR="00CE7332">
        <w:rPr>
          <w:rFonts w:cs="Times New Roman" w:hint="eastAsia"/>
        </w:rPr>
        <w:t>。</w:t>
      </w:r>
    </w:p>
    <w:p w:rsidR="004D324F" w:rsidRDefault="004D324F" w:rsidP="00FB729B">
      <w:pPr>
        <w:pStyle w:val="a5"/>
        <w:rPr>
          <w:rFonts w:cs="Times New Roman"/>
        </w:rPr>
      </w:pPr>
    </w:p>
    <w:p w:rsidR="00367650" w:rsidRDefault="00CE7332" w:rsidP="00470C7A">
      <w:pPr>
        <w:pStyle w:val="a5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優缺點；</w:t>
      </w:r>
      <w:r w:rsidR="00C01DDF">
        <w:rPr>
          <w:rFonts w:cs="Times New Roman" w:hint="eastAsia"/>
          <w:szCs w:val="24"/>
        </w:rPr>
        <w:t>因為</w:t>
      </w:r>
      <w:r w:rsidR="00A56448">
        <w:rPr>
          <w:rFonts w:cs="Times New Roman" w:hint="eastAsia"/>
          <w:szCs w:val="24"/>
        </w:rPr>
        <w:t>公式中</w:t>
      </w:r>
      <w:bookmarkStart w:id="0" w:name="_GoBack"/>
      <w:bookmarkEnd w:id="0"/>
      <w:r w:rsidR="00C01DDF">
        <w:rPr>
          <w:rFonts w:cs="Times New Roman" w:hint="eastAsia"/>
          <w:szCs w:val="24"/>
        </w:rPr>
        <w:t>只需要</w:t>
      </w:r>
      <w:r w:rsidR="00A56448">
        <w:rPr>
          <w:rFonts w:cs="Times New Roman" w:hint="eastAsia"/>
          <w:szCs w:val="24"/>
        </w:rPr>
        <w:t>用到</w:t>
      </w:r>
      <w:r w:rsidR="00C01DDF">
        <w:rPr>
          <w:rFonts w:cs="Times New Roman" w:hint="eastAsia"/>
          <w:szCs w:val="24"/>
        </w:rPr>
        <w:t>前四個動差，所以</w:t>
      </w:r>
      <w:r>
        <w:rPr>
          <w:rFonts w:cs="Times New Roman" w:hint="eastAsia"/>
          <w:szCs w:val="24"/>
        </w:rPr>
        <w:t>優點為計算方便，雖說缺點是對於分配有假設以及只考慮前四個動差。但是作者</w:t>
      </w:r>
      <w:r w:rsidR="009D3DB0">
        <w:rPr>
          <w:rFonts w:cs="Times New Roman" w:hint="eastAsia"/>
          <w:szCs w:val="24"/>
        </w:rPr>
        <w:t>在文章中指</w:t>
      </w:r>
      <w:r>
        <w:rPr>
          <w:rFonts w:cs="Times New Roman" w:hint="eastAsia"/>
          <w:szCs w:val="24"/>
        </w:rPr>
        <w:t>出，無參數</w:t>
      </w:r>
      <w:r>
        <w:rPr>
          <w:rFonts w:cs="Times New Roman" w:hint="eastAsia"/>
          <w:szCs w:val="24"/>
        </w:rPr>
        <w:t>GSR</w:t>
      </w:r>
      <w:r>
        <w:rPr>
          <w:rFonts w:cs="Times New Roman" w:hint="eastAsia"/>
          <w:szCs w:val="24"/>
        </w:rPr>
        <w:t>指標與</w:t>
      </w:r>
      <w:r>
        <w:rPr>
          <w:rFonts w:cs="Times New Roman" w:hint="eastAsia"/>
          <w:szCs w:val="24"/>
        </w:rPr>
        <w:t>ASKSR</w:t>
      </w:r>
      <w:r>
        <w:rPr>
          <w:rFonts w:cs="Times New Roman" w:hint="eastAsia"/>
          <w:szCs w:val="24"/>
        </w:rPr>
        <w:t>指標</w:t>
      </w:r>
      <w:r w:rsidR="00F84FC9">
        <w:rPr>
          <w:rFonts w:cs="Times New Roman" w:hint="eastAsia"/>
          <w:szCs w:val="24"/>
        </w:rPr>
        <w:t>具</w:t>
      </w:r>
      <w:r>
        <w:rPr>
          <w:rFonts w:cs="Times New Roman" w:hint="eastAsia"/>
          <w:szCs w:val="24"/>
        </w:rPr>
        <w:t>有很高的排序相關係數</w:t>
      </w:r>
      <w:r>
        <w:rPr>
          <w:rFonts w:cs="Times New Roman" w:hint="eastAsia"/>
          <w:szCs w:val="24"/>
        </w:rPr>
        <w:t>(</w:t>
      </w:r>
      <w:r w:rsidRPr="00CE7332">
        <w:rPr>
          <w:rFonts w:cs="Times New Roman"/>
          <w:szCs w:val="24"/>
        </w:rPr>
        <w:t>rank correlation</w:t>
      </w:r>
      <w:r>
        <w:rPr>
          <w:rFonts w:cs="Times New Roman" w:hint="eastAsia"/>
          <w:szCs w:val="24"/>
        </w:rPr>
        <w:t>)</w:t>
      </w:r>
      <w:r>
        <w:rPr>
          <w:rFonts w:cs="Times New Roman" w:hint="eastAsia"/>
          <w:szCs w:val="24"/>
        </w:rPr>
        <w:t>，且</w:t>
      </w:r>
      <w:r>
        <w:rPr>
          <w:rFonts w:cs="Times New Roman" w:hint="eastAsia"/>
          <w:szCs w:val="24"/>
        </w:rPr>
        <w:t>ASKSR</w:t>
      </w:r>
      <w:r w:rsidR="00D82D37">
        <w:rPr>
          <w:rFonts w:cs="Times New Roman" w:hint="eastAsia"/>
          <w:szCs w:val="24"/>
        </w:rPr>
        <w:t>指標</w:t>
      </w:r>
      <w:r w:rsidR="005B170C">
        <w:rPr>
          <w:rFonts w:cs="Times New Roman" w:hint="eastAsia"/>
          <w:szCs w:val="24"/>
        </w:rPr>
        <w:t>對於解決</w:t>
      </w:r>
      <w:r w:rsidR="005B170C">
        <w:rPr>
          <w:rFonts w:cs="Times New Roman" w:hint="eastAsia"/>
          <w:szCs w:val="24"/>
        </w:rPr>
        <w:t>SR</w:t>
      </w:r>
      <w:r w:rsidR="005B170C">
        <w:rPr>
          <w:rFonts w:cs="Times New Roman" w:hint="eastAsia"/>
          <w:szCs w:val="24"/>
        </w:rPr>
        <w:t>問題以及評估基金的表現</w:t>
      </w:r>
      <w:r w:rsidR="004B71FD">
        <w:rPr>
          <w:rFonts w:cs="Times New Roman" w:hint="eastAsia"/>
          <w:szCs w:val="24"/>
        </w:rPr>
        <w:t>皆</w:t>
      </w:r>
      <w:r w:rsidR="005B170C">
        <w:rPr>
          <w:rFonts w:cs="Times New Roman" w:hint="eastAsia"/>
          <w:szCs w:val="24"/>
        </w:rPr>
        <w:t>不遜色於</w:t>
      </w:r>
      <w:r w:rsidR="005B170C">
        <w:rPr>
          <w:rFonts w:cs="Times New Roman" w:hint="eastAsia"/>
          <w:szCs w:val="24"/>
        </w:rPr>
        <w:t>GSR</w:t>
      </w:r>
      <w:r w:rsidR="005B170C">
        <w:rPr>
          <w:rFonts w:cs="Times New Roman" w:hint="eastAsia"/>
          <w:szCs w:val="24"/>
        </w:rPr>
        <w:t>指標。</w:t>
      </w:r>
    </w:p>
    <w:p w:rsidR="004901B4" w:rsidRDefault="004901B4" w:rsidP="00470C7A">
      <w:pPr>
        <w:pStyle w:val="a5"/>
        <w:rPr>
          <w:rFonts w:cs="Times New Roman"/>
          <w:szCs w:val="24"/>
        </w:rPr>
      </w:pPr>
    </w:p>
    <w:sectPr w:rsidR="004901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2E" w:rsidRDefault="00D6052E" w:rsidP="00010E75">
      <w:pPr>
        <w:spacing w:line="240" w:lineRule="auto"/>
      </w:pPr>
      <w:r>
        <w:separator/>
      </w:r>
    </w:p>
  </w:endnote>
  <w:endnote w:type="continuationSeparator" w:id="0">
    <w:p w:rsidR="00D6052E" w:rsidRDefault="00D6052E" w:rsidP="00010E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2E" w:rsidRDefault="00D6052E" w:rsidP="00010E75">
      <w:pPr>
        <w:spacing w:line="240" w:lineRule="auto"/>
      </w:pPr>
      <w:r>
        <w:separator/>
      </w:r>
    </w:p>
  </w:footnote>
  <w:footnote w:type="continuationSeparator" w:id="0">
    <w:p w:rsidR="00D6052E" w:rsidRDefault="00D6052E" w:rsidP="00010E75">
      <w:pPr>
        <w:spacing w:line="240" w:lineRule="auto"/>
      </w:pPr>
      <w:r>
        <w:continuationSeparator/>
      </w:r>
    </w:p>
  </w:footnote>
  <w:footnote w:id="1">
    <w:p w:rsidR="00010E75" w:rsidRDefault="00010E75" w:rsidP="001E2ACD">
      <w:pPr>
        <w:pStyle w:val="a5"/>
      </w:pPr>
      <w:r w:rsidRPr="001E2ACD">
        <w:rPr>
          <w:rStyle w:val="af"/>
          <w:sz w:val="20"/>
        </w:rPr>
        <w:footnoteRef/>
      </w:r>
      <w:r w:rsidRPr="001E2ACD">
        <w:rPr>
          <w:sz w:val="20"/>
        </w:rPr>
        <w:t xml:space="preserve"> </w:t>
      </w:r>
      <w:r w:rsidRPr="001E2ACD">
        <w:rPr>
          <w:rFonts w:hint="eastAsia"/>
          <w:sz w:val="20"/>
        </w:rPr>
        <w:t>在</w:t>
      </w:r>
      <w:r w:rsidRPr="001E2ACD">
        <w:rPr>
          <w:sz w:val="20"/>
        </w:rPr>
        <w:t>Hodges (1998)</w:t>
      </w:r>
      <w:r w:rsidRPr="001E2ACD">
        <w:rPr>
          <w:rFonts w:hint="eastAsia"/>
          <w:sz w:val="20"/>
        </w:rPr>
        <w:t>中有一例子，由於</w:t>
      </w:r>
      <w:r w:rsidRPr="001E2ACD">
        <w:rPr>
          <w:rFonts w:hint="eastAsia"/>
          <w:sz w:val="20"/>
        </w:rPr>
        <w:t>B</w:t>
      </w:r>
      <w:r w:rsidRPr="001E2ACD">
        <w:rPr>
          <w:rFonts w:hint="eastAsia"/>
          <w:sz w:val="20"/>
        </w:rPr>
        <w:t>資產一階隨機支配</w:t>
      </w:r>
      <w:r w:rsidRPr="001E2ACD">
        <w:rPr>
          <w:rFonts w:hint="eastAsia"/>
          <w:sz w:val="20"/>
        </w:rPr>
        <w:t>(FSD) A</w:t>
      </w:r>
      <w:r w:rsidRPr="001E2ACD">
        <w:rPr>
          <w:rFonts w:hint="eastAsia"/>
          <w:sz w:val="20"/>
        </w:rPr>
        <w:t>資產，理應</w:t>
      </w:r>
      <w:r w:rsidRPr="001E2ACD">
        <w:rPr>
          <w:rFonts w:hint="eastAsia"/>
          <w:sz w:val="20"/>
        </w:rPr>
        <w:t>B</w:t>
      </w:r>
      <w:r w:rsidRPr="001E2ACD">
        <w:rPr>
          <w:rFonts w:hint="eastAsia"/>
          <w:sz w:val="20"/>
        </w:rPr>
        <w:t>資產比較好，但是</w:t>
      </w:r>
      <w:r w:rsidRPr="001E2ACD">
        <w:rPr>
          <w:rFonts w:hint="eastAsia"/>
          <w:sz w:val="20"/>
        </w:rPr>
        <w:t>A</w:t>
      </w:r>
      <w:r w:rsidRPr="001E2ACD">
        <w:rPr>
          <w:rFonts w:hint="eastAsia"/>
          <w:sz w:val="20"/>
        </w:rPr>
        <w:t>資產卻有比較高的</w:t>
      </w:r>
      <w:r w:rsidRPr="001E2ACD">
        <w:rPr>
          <w:rFonts w:hint="eastAsia"/>
          <w:sz w:val="20"/>
        </w:rPr>
        <w:t>Sharp Ratio</w:t>
      </w:r>
      <w:r w:rsidRPr="001E2ACD">
        <w:rPr>
          <w:rFonts w:hint="eastAsia"/>
          <w:sz w:val="20"/>
        </w:rP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145"/>
    <w:multiLevelType w:val="hybridMultilevel"/>
    <w:tmpl w:val="7F4266A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F40542"/>
    <w:multiLevelType w:val="hybridMultilevel"/>
    <w:tmpl w:val="9BC6A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A2D61"/>
    <w:rsid w:val="00010E75"/>
    <w:rsid w:val="00023270"/>
    <w:rsid w:val="0006417D"/>
    <w:rsid w:val="00064EE7"/>
    <w:rsid w:val="000819D2"/>
    <w:rsid w:val="00093D33"/>
    <w:rsid w:val="000A2D61"/>
    <w:rsid w:val="000E2F04"/>
    <w:rsid w:val="001D2F63"/>
    <w:rsid w:val="001E2ACD"/>
    <w:rsid w:val="001F2C41"/>
    <w:rsid w:val="00337706"/>
    <w:rsid w:val="00367650"/>
    <w:rsid w:val="00420BBA"/>
    <w:rsid w:val="00434A96"/>
    <w:rsid w:val="00453FD6"/>
    <w:rsid w:val="00470C7A"/>
    <w:rsid w:val="004901B4"/>
    <w:rsid w:val="004B71FD"/>
    <w:rsid w:val="004D324F"/>
    <w:rsid w:val="005B170C"/>
    <w:rsid w:val="005D7572"/>
    <w:rsid w:val="0061508C"/>
    <w:rsid w:val="00631742"/>
    <w:rsid w:val="00634866"/>
    <w:rsid w:val="006748BA"/>
    <w:rsid w:val="00676B3B"/>
    <w:rsid w:val="00697EBE"/>
    <w:rsid w:val="006C3B21"/>
    <w:rsid w:val="006E774E"/>
    <w:rsid w:val="006F1CBD"/>
    <w:rsid w:val="00730083"/>
    <w:rsid w:val="007E1E06"/>
    <w:rsid w:val="007F56BA"/>
    <w:rsid w:val="007F7956"/>
    <w:rsid w:val="008014EE"/>
    <w:rsid w:val="008564FA"/>
    <w:rsid w:val="00903238"/>
    <w:rsid w:val="009337F2"/>
    <w:rsid w:val="00945BAB"/>
    <w:rsid w:val="009C4910"/>
    <w:rsid w:val="009C7D1A"/>
    <w:rsid w:val="009D3DB0"/>
    <w:rsid w:val="00A56448"/>
    <w:rsid w:val="00A85107"/>
    <w:rsid w:val="00AE626D"/>
    <w:rsid w:val="00C01DDF"/>
    <w:rsid w:val="00C4572F"/>
    <w:rsid w:val="00CB13E9"/>
    <w:rsid w:val="00CE7332"/>
    <w:rsid w:val="00D6052E"/>
    <w:rsid w:val="00D82D37"/>
    <w:rsid w:val="00D90778"/>
    <w:rsid w:val="00DC647D"/>
    <w:rsid w:val="00E00737"/>
    <w:rsid w:val="00ED0CDA"/>
    <w:rsid w:val="00F40A27"/>
    <w:rsid w:val="00F84FC9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90778"/>
    <w:pPr>
      <w:autoSpaceDE w:val="0"/>
      <w:autoSpaceDN w:val="0"/>
      <w:spacing w:line="360" w:lineRule="auto"/>
      <w:jc w:val="both"/>
    </w:pPr>
    <w:rPr>
      <w:rFonts w:ascii="Times New Roman" w:eastAsia="標楷體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64EE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4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7F56BA"/>
    <w:rPr>
      <w:rFonts w:ascii="Times New Roman" w:eastAsia="標楷體" w:hAnsi="Times New Roman" w:cs="Times New Roman"/>
      <w:sz w:val="24"/>
      <w:szCs w:val="24"/>
    </w:rPr>
  </w:style>
  <w:style w:type="character" w:customStyle="1" w:styleId="a9">
    <w:name w:val="問候 字元"/>
    <w:basedOn w:val="a0"/>
    <w:link w:val="a8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7F56BA"/>
    <w:pPr>
      <w:ind w:leftChars="1800" w:left="1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b">
    <w:name w:val="結語 字元"/>
    <w:basedOn w:val="a0"/>
    <w:link w:val="aa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634866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010E75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010E7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10E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90778"/>
    <w:pPr>
      <w:autoSpaceDE w:val="0"/>
      <w:autoSpaceDN w:val="0"/>
      <w:spacing w:line="360" w:lineRule="auto"/>
      <w:jc w:val="both"/>
    </w:pPr>
    <w:rPr>
      <w:rFonts w:ascii="Times New Roman" w:eastAsia="標楷體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064EE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64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Salutation"/>
    <w:basedOn w:val="a"/>
    <w:next w:val="a"/>
    <w:link w:val="a9"/>
    <w:uiPriority w:val="99"/>
    <w:unhideWhenUsed/>
    <w:rsid w:val="007F56BA"/>
    <w:rPr>
      <w:rFonts w:ascii="Times New Roman" w:eastAsia="標楷體" w:hAnsi="Times New Roman" w:cs="Times New Roman"/>
      <w:sz w:val="24"/>
      <w:szCs w:val="24"/>
    </w:rPr>
  </w:style>
  <w:style w:type="character" w:customStyle="1" w:styleId="a9">
    <w:name w:val="問候 字元"/>
    <w:basedOn w:val="a0"/>
    <w:link w:val="a8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7F56BA"/>
    <w:pPr>
      <w:ind w:leftChars="1800" w:left="1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b">
    <w:name w:val="結語 字元"/>
    <w:basedOn w:val="a0"/>
    <w:link w:val="aa"/>
    <w:uiPriority w:val="99"/>
    <w:rsid w:val="007F56BA"/>
    <w:rPr>
      <w:rFonts w:ascii="Times New Roman" w:eastAsia="標楷體" w:hAnsi="Times New Roman"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634866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010E75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010E7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010E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4BE4C-222D-4156-90E7-359F3934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52</cp:revision>
  <dcterms:created xsi:type="dcterms:W3CDTF">2019-03-14T00:44:00Z</dcterms:created>
  <dcterms:modified xsi:type="dcterms:W3CDTF">2019-03-14T02:25:00Z</dcterms:modified>
</cp:coreProperties>
</file>