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2"/>
          <w:szCs w:val="32"/>
        </w:rPr>
        <w:t xml:space="preserve">Assignment 2 — Build Your Knowledge Base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Team of 3 · Milestone 2 of 4 · Type your answers directly in the blank cells — they grow as you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1F2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Strict compliance: </w:t>
            </w:r>
            <w:r>
              <w:t xml:space="preserve">your submission ZIP must exactly match the folder/file structure on the Submission page. Automated grading rejects anything that doesn't — check before you submit.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Project name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same project name you used in Assignment 1</w:t>
            </w:r>
          </w:p>
        </w:tc>
        <w:tc>
          <w:tcPr>
            <w:tcW w:type="dxa" w:w="5860"/>
          </w:tcPr>
          <w:p>
            <w:r>
              <w:t>Pharmacological Query from Prescription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Team members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In 'Worked sections', list the sections each member led. Every section must be owned by someone; each member submits the AI-chat behind their own sections (Section 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360"/>
        <w:gridCol w:w="2300"/>
      </w:tblGrid>
      <w:tr>
        <w:trPr>
          <w:tblHeader/>
        </w:trPr>
        <w:tc>
          <w:tcPr>
            <w:tcW w:type="dxa" w:w="17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Team member</w:t>
            </w:r>
          </w:p>
        </w:tc>
        <w:tc>
          <w:tcPr>
            <w:tcW w:type="dxa" w:w="30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Full name</w:t>
            </w:r>
          </w:p>
        </w:tc>
        <w:tc>
          <w:tcPr>
            <w:tcW w:type="dxa" w:w="23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Student number</w:t>
            </w:r>
          </w:p>
        </w:tc>
        <w:tc>
          <w:tcPr>
            <w:tcW w:type="dxa" w:w="23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Worked sections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Student 1</w:t>
            </w:r>
          </w:p>
        </w:tc>
        <w:tc>
          <w:tcPr>
            <w:tcW w:type="dxa" w:w="3000"/>
          </w:tcPr>
          <w:p>
            <w:r>
              <w:t>Satak Kumar Dey</w:t>
            </w:r>
          </w:p>
        </w:tc>
        <w:tc>
          <w:tcPr>
            <w:tcW w:type="dxa" w:w="2360"/>
          </w:tcPr>
          <w:p>
            <w:r>
              <w:t>2105100</w:t>
            </w:r>
          </w:p>
        </w:tc>
        <w:tc>
          <w:tcPr>
            <w:tcW w:type="dxa" w:w="2300"/>
          </w:tcPr>
          <w:p>
            <w:r>
              <w:t>Sections 2, 3, 4 and 8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Student 2</w:t>
            </w:r>
          </w:p>
        </w:tc>
        <w:tc>
          <w:tcPr>
            <w:tcW w:type="dxa" w:w="3000"/>
          </w:tcPr>
          <w:p>
            <w:r>
              <w:t>Jannatul Ferdous Prity</w:t>
            </w:r>
          </w:p>
        </w:tc>
        <w:tc>
          <w:tcPr>
            <w:tcW w:type="dxa" w:w="2360"/>
          </w:tcPr>
          <w:p>
            <w:r>
              <w:t>2105113</w:t>
            </w:r>
          </w:p>
        </w:tc>
        <w:tc>
          <w:tcPr>
            <w:tcW w:type="dxa" w:w="2300"/>
          </w:tcPr>
          <w:p>
            <w:r>
              <w:t>Sections 1, 5, 6, 7 and 8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Student 3</w:t>
            </w:r>
          </w:p>
        </w:tc>
        <w:tc>
          <w:tcPr>
            <w:tcW w:type="dxa" w:w="3000"/>
          </w:tcPr>
          <w:p>
            <w:r>
              <w:t>Not applicable (two-member team)</w:t>
            </w:r>
          </w:p>
        </w:tc>
        <w:tc>
          <w:tcPr>
            <w:tcW w:type="dxa" w:w="2360"/>
          </w:tcPr>
          <w:p>
            <w:r>
              <w:t>—</w:t>
            </w:r>
          </w:p>
        </w:tc>
        <w:tc>
          <w:tcPr>
            <w:tcW w:type="dxa" w:w="2300"/>
          </w:tcPr>
          <w:p>
            <w:r>
              <w:t>—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1F2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What this assignment is: </w:t>
            </w:r>
            <w:r>
              <w:t xml:space="preserve">You BUILD the knowledge base — the front half of the pipeline that turns scanned pages into searchable text: ingest &amp; clean the scans, (optionally) enhance them, detect layout, run OCR, then chunk, embed, and index. You choose the models and parameters; the repo fixes where each piece goes. This milestone produces working code and evidence it reads and retrieves.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What to hand in: </w:t>
            </w:r>
            <w:r>
              <w:t xml:space="preserve">Push everything to your team's PUBLIC GitHub repo, then tag it: git add -A &amp;&amp; git commit -m "a2-submit" &amp;&amp; git tag a2-submit &amp;&amp; git push origin main --tags. The tag IS your submission (deadlines are read from GitHub's servers) — do NOT upload a ZIP. Contents: the filled form in forms/, the repo with ingest / vision / index stages implemented, the built index (or a script that builds it), notebooks/kb_demo.ipynb showing OCR quality and one retrieval example, your updated configs/design_choices.md, and one AI-chat transcript per member. ALSO CARRIED FORWARD FROM A1 — the code stub was released after A1, so these are graded here for the first time: configs/task.yaml, data/provenance.md plus your corpus (or scripts/get_data.sh), notebooks/eda.ipynb, grading_kit/manifest.yaml, and grading_kit/heldout_pages/ with labels.jsonl.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1 — Recap from Assignment 1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Copy these from A1 so this form stands alone. Do NOT change the success metric — your system in A3 is judged on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Our three choices (from A1)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domain · data speciality · primary NFR + target — one line each.</w:t>
            </w:r>
          </w:p>
        </w:tc>
        <w:tc>
          <w:tcPr>
            <w:tcW w:type="dxa" w:w="5860"/>
          </w:tcPr>
          <w:p>
            <w:r>
              <w:t>Domain: Healthcare / pharmacological information. Data speciality: handwritten medical prescriptions. Primary NFR: privacy; PII entity recall ≥0.98.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Success metric (from A1)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single answer-quality metric and target, unchanged.</w:t>
            </w:r>
          </w:p>
        </w:tc>
        <w:tc>
          <w:tcPr>
            <w:tcW w:type="dxa" w:w="5860"/>
          </w:tcPr>
          <w:p>
            <w:r>
              <w:t>Groundedness ≥0.90 (carried forward unchanged from A1).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Our corpus (from A1)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source, size (pages/words), and the one thing that makes it hard to read.</w:t>
            </w:r>
          </w:p>
        </w:tc>
        <w:tc>
          <w:tcPr>
            <w:tcW w:type="dxa" w:w="5860"/>
          </w:tcPr>
          <w:p>
            <w:r>
              <w:t>Permissioned Somatec Pharmaceuticals Ltd. handwritten prescriptions, supplied through the proper authorized project channel, with an auxiliary Bangladesh medicine corpus identified in A1. The tested working snapshot contains photographed Bangla/English prescriptions with physician handwriting, Bengali numerals, shadows, perspective and repeated printed templates. Raw clinical pages remain restricted; the delivery link is not an open redistribution licence.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2 — The Structure We Exploit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Every model choice is a bet on structure in the data. Name the structure your pipeline relies on, and the things it must ignore.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Structure in the page image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what a vision model can exploit — nearby pixels form strokes/characters; a character looks the same when shifted. Drives your layout &amp; enhancement choices.</w:t>
            </w:r>
          </w:p>
        </w:tc>
        <w:tc>
          <w:tcPr>
            <w:tcW w:type="dxa" w:w="5860"/>
          </w:tcPr>
          <w:p>
            <w:r>
              <w:t>Local pixel continuity forms pen strokes and characters; translation-tolerant visual features survive page position changes. Repeated prescription templates provide stable header/body and Rx-body structure. Paddle text spotting supplies line polygons; a heading/body heuristic supplies parent regions.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Structure in the text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what a sequence model can exploit — reading order and context carry meaning; conjuncts/ligatures span characters. Drives your OCR &amp; embedding choices.</w:t>
            </w:r>
          </w:p>
        </w:tc>
        <w:tc>
          <w:tcPr>
            <w:tcW w:type="dxa" w:w="5860"/>
          </w:tcPr>
          <w:p>
            <w:r>
              <w:t>Reading order links a medicine line to its strength and nearby schedule. Medical names are short, spelling-sensitive Latin strings embedded in Bangla context; Unicode NFKC normalization and explicit Bangla/Latin script profiling preserve code-switching for multilingual embeddings.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What should NOT change the answer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variations the system must be robust to — page position, font, mild skew, scan noise, ink bleed. Knowing these points you to the right model and augmentation.</w:t>
            </w:r>
          </w:p>
        </w:tc>
        <w:tc>
          <w:tcPr>
            <w:tcW w:type="dxa" w:w="5860"/>
          </w:tcPr>
          <w:p>
            <w:r>
              <w:t>Patient/page position, font, mild skew, illumination, JPEG noise, harmless whitespace/case, and printed-template variation should not change the retrieved medication evidence. Drug spelling, strength, frequency and duration must not be silently normalized because those changes can be clinically meaningful.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3 — Components &amp; Options We Considered</w:t>
      </w:r>
    </w:p>
    <w:p>
      <w:pPr>
        <w:spacing w:after="100"/>
      </w:pPr>
      <w:r>
        <w:t xml:space="preserve">For each stage, name the options you compared and your choice. </w:t>
      </w:r>
      <w:r>
        <w:rPr>
          <w:b/>
          <w:bCs/>
        </w:rPr>
        <w:t xml:space="preserve">At least one choice must be an existing published/pretrained method you reproduce and adapt</w:t>
      </w:r>
      <w:r>
        <w:t xml:space="preserve"> (your OCR foundation is the natural one — reproducing someone else's method is the core skill for adopting whatever comes next). Mark it in the last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3200"/>
        <w:gridCol w:w="1560"/>
      </w:tblGrid>
      <w:tr>
        <w:trPr>
          <w:tblHeader/>
        </w:trPr>
        <w:tc>
          <w:tcPr>
            <w:tcW w:type="dxa" w:w="17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9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Options we compared</w:t>
            </w:r>
          </w:p>
        </w:tc>
        <w:tc>
          <w:tcPr>
            <w:tcW w:type="dxa" w:w="32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Our choice + why</w:t>
            </w:r>
          </w:p>
        </w:tc>
        <w:tc>
          <w:tcPr>
            <w:tcW w:type="dxa" w:w="15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Reproduced? (≥1 yes)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Enhancement (bonus)</w:t>
            </w:r>
          </w:p>
        </w:tc>
        <w:tc>
          <w:tcPr>
            <w:tcW w:type="dxa" w:w="2900"/>
          </w:tcPr>
          <w:p>
            <w:r>
              <w:t>Raw image; autocontrast+median+sharpen; VAE/diffusion considered as bonus</w:t>
            </w:r>
          </w:p>
        </w:tc>
        <w:tc>
          <w:tcPr>
            <w:tcW w:type="dxa" w:w="3200"/>
          </w:tcPr>
          <w:p>
            <w:r>
              <w:t>Keep raw for the main pass: classical enhancement reduced entity F1 from 0.490 to 0.413. Retain enhancement as an optional cached ablation.</w:t>
            </w:r>
          </w:p>
        </w:tc>
        <w:tc>
          <w:tcPr>
            <w:tcW w:type="dxa" w:w="1560"/>
          </w:tcPr>
          <w:p>
            <w:r>
              <w:t>No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Layout detection</w:t>
            </w:r>
          </w:p>
        </w:tc>
        <w:tc>
          <w:tcPr>
            <w:tcW w:type="dxa" w:w="2900"/>
          </w:tcPr>
          <w:p>
            <w:r>
              <w:t>Whole page; fixed heading/body regions; OCR-derived Rx-anchor crop</w:t>
            </w:r>
          </w:p>
        </w:tc>
        <w:tc>
          <w:tcPr>
            <w:tcW w:type="dxa" w:w="3200"/>
          </w:tcPr>
          <w:p>
            <w:r>
              <w:t>Whole page for the durable index plus Rx-body crop for re-OCR. Cropped+trimmed CER/F1 were 0.413/0.505 versus 0.499/0.490 for the 768-token page baseline.</w:t>
            </w:r>
          </w:p>
        </w:tc>
        <w:tc>
          <w:tcPr>
            <w:tcW w:type="dxa" w:w="1560"/>
          </w:tcPr>
          <w:p>
            <w:r>
              <w:t>Adapted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OCR / HTR</w:t>
            </w:r>
          </w:p>
        </w:tc>
        <w:tc>
          <w:tcPr>
            <w:tcW w:type="dxa" w:w="2900"/>
          </w:tcPr>
          <w:p>
            <w:r>
              <w:t>PaddleOCR-VL 1.6 at 768 tokens; selective 1536 retry; layout-cropped re-OCR</w:t>
            </w:r>
          </w:p>
        </w:tc>
        <w:tc>
          <w:tcPr>
            <w:tcW w:type="dxa" w:w="3200"/>
          </w:tcPr>
          <w:p>
            <w:r>
              <w:t>Pretrained PaddleOCR-VL 1.6 in BF16/SDPA, size-sorted batch 16. Selective retry improves recall slightly; crop re-OCR is used for failed pages. No unsupported fine-tuning claim.</w:t>
            </w:r>
          </w:p>
        </w:tc>
        <w:tc>
          <w:tcPr>
            <w:tcW w:type="dxa" w:w="1560"/>
          </w:tcPr>
          <w:p>
            <w:r>
              <w:t>Yes — pretrained PaddleOCR-VL 1.6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Chunking</w:t>
            </w:r>
          </w:p>
        </w:tc>
        <w:tc>
          <w:tcPr>
            <w:tcW w:type="dxa" w:w="2900"/>
          </w:tcPr>
          <w:p>
            <w:r>
              <w:t>64/16, 128/24 and 256/32 fixed overlapping chunks</w:t>
            </w:r>
          </w:p>
        </w:tc>
        <w:tc>
          <w:tcPr>
            <w:tcW w:type="dxa" w:w="3200"/>
          </w:tcPr>
          <w:p>
            <w:r>
              <w:t>64 words/16 overlap: E5 recall@5 was 1.00 vs 0.80 and 0.20, while hybrid query time stayed about 2.76 ms.</w:t>
            </w:r>
          </w:p>
        </w:tc>
        <w:tc>
          <w:tcPr>
            <w:tcW w:type="dxa" w:w="1560"/>
          </w:tcPr>
          <w:p>
            <w:r>
              <w:t>No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Embedding</w:t>
            </w:r>
          </w:p>
        </w:tc>
        <w:tc>
          <w:tcPr>
            <w:tcW w:type="dxa" w:w="2900"/>
          </w:tcPr>
          <w:p>
            <w:r>
              <w:t>Signed feature hashing; pretrained multilingual E5-small; hybrid RRF</w:t>
            </w:r>
          </w:p>
        </w:tc>
        <w:tc>
          <w:tcPr>
            <w:tcW w:type="dxa" w:w="3200"/>
          </w:tcPr>
          <w:p>
            <w:r>
              <w:t>Hybrid RRF: exact medicine matching from lexical vectors plus multilingual semantics from E5; final five-query recall@5 was 1.00.</w:t>
            </w:r>
          </w:p>
        </w:tc>
        <w:tc>
          <w:tcPr>
            <w:tcW w:type="dxa" w:w="1560"/>
          </w:tcPr>
          <w:p>
            <w:r>
              <w:t>Yes — pretrained multilingual E5-small</w:t>
            </w:r>
          </w:p>
        </w:tc>
      </w:tr>
      <w:tr>
        <w:tc>
          <w:tcPr>
            <w:tcW w:type="dxa" w:w="1700"/>
          </w:tcPr>
          <w:p>
            <w:pPr>
              <w:spacing w:after="80"/>
            </w:pPr>
            <w:r>
              <w:t xml:space="preserve">Vector index</w:t>
            </w:r>
          </w:p>
        </w:tc>
        <w:tc>
          <w:tcPr>
            <w:tcW w:type="dxa" w:w="2900"/>
          </w:tcPr>
          <w:p>
            <w:r>
              <w:t>Exact flat cosine; HNSW/IVF considered</w:t>
            </w:r>
          </w:p>
        </w:tc>
        <w:tc>
          <w:tcPr>
            <w:tcW w:type="dxa" w:w="3200"/>
          </w:tcPr>
          <w:p>
            <w:r>
              <w:t>Exact NumPy cosine. Only 943 chunks, so ANN adds complexity and possible recall loss without useful latency benefit.</w:t>
            </w:r>
          </w:p>
        </w:tc>
        <w:tc>
          <w:tcPr>
            <w:tcW w:type="dxa" w:w="1560"/>
          </w:tcPr>
          <w:p>
            <w:r>
              <w:t>No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4 — The Knowledge Base We Built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What actually runs. State the model/checkpoint and the key parameters per stage, and whether it's pretrained, fine-tuned, or from scratch.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400"/>
        <w:gridCol w:w="2360"/>
      </w:tblGrid>
      <w:tr>
        <w:trPr>
          <w:tblHeader/>
        </w:trPr>
        <w:tc>
          <w:tcPr>
            <w:tcW w:type="dxa" w:w="19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7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Model / checkpoint</w:t>
            </w:r>
          </w:p>
        </w:tc>
        <w:tc>
          <w:tcPr>
            <w:tcW w:type="dxa" w:w="24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Key parameters</w:t>
            </w:r>
          </w:p>
        </w:tc>
        <w:tc>
          <w:tcPr>
            <w:tcW w:type="dxa" w:w="23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Pretrained / fine-tuned / scratch</w:t>
            </w:r>
          </w:p>
        </w:tc>
      </w:tr>
      <w:tr>
        <w:tc>
          <w:tcPr>
            <w:tcW w:type="dxa" w:w="1900"/>
          </w:tcPr>
          <w:p>
            <w:pPr>
              <w:spacing w:after="80"/>
            </w:pPr>
            <w:r>
              <w:t xml:space="preserve">Ingest + enhance</w:t>
            </w:r>
          </w:p>
        </w:tc>
        <w:tc>
          <w:tcPr>
            <w:tcW w:type="dxa" w:w="2700"/>
          </w:tcPr>
          <w:p>
            <w:r>
              <w:t>PIL orientation + optional classical enhancement</w:t>
            </w:r>
          </w:p>
        </w:tc>
        <w:tc>
          <w:tcPr>
            <w:tcW w:type="dxa" w:w="2400"/>
          </w:tcPr>
          <w:p>
            <w:r>
              <w:t>EXIF transpose; autocontrast cutoff 1%; median 3×3; sharpness 1.35; disabled by selected main config</w:t>
            </w:r>
          </w:p>
        </w:tc>
        <w:tc>
          <w:tcPr>
            <w:tcW w:type="dxa" w:w="2360"/>
          </w:tcPr>
          <w:p>
            <w:r>
              <w:t>Deterministic classical method</w:t>
            </w:r>
          </w:p>
        </w:tc>
      </w:tr>
      <w:tr>
        <w:tc>
          <w:tcPr>
            <w:tcW w:type="dxa" w:w="1900"/>
          </w:tcPr>
          <w:p>
            <w:pPr>
              <w:spacing w:after="80"/>
            </w:pPr>
            <w:r>
              <w:t xml:space="preserve">Layout</w:t>
            </w:r>
          </w:p>
        </w:tc>
        <w:tc>
          <w:tcPr>
            <w:tcW w:type="dxa" w:w="2700"/>
          </w:tcPr>
          <w:p>
            <w:r>
              <w:t>Heading/body heuristic + Paddle spotting polygons</w:t>
            </w:r>
          </w:p>
        </w:tc>
        <w:tc>
          <w:tcPr>
            <w:tcW w:type="dxa" w:w="2400"/>
          </w:tcPr>
          <w:p>
            <w:r>
              <w:t>heading ratio 0.22; OCR-derived Rx anchor used for crop ablation</w:t>
            </w:r>
          </w:p>
        </w:tc>
        <w:tc>
          <w:tcPr>
            <w:tcW w:type="dxa" w:w="2360"/>
          </w:tcPr>
          <w:p>
            <w:r>
              <w:t>Heuristic + pretrained detector inside OCR</w:t>
            </w:r>
          </w:p>
        </w:tc>
      </w:tr>
      <w:tr>
        <w:tc>
          <w:tcPr>
            <w:tcW w:type="dxa" w:w="1900"/>
          </w:tcPr>
          <w:p>
            <w:pPr>
              <w:spacing w:after="80"/>
            </w:pPr>
            <w:r>
              <w:t xml:space="preserve">OCR / HTR</w:t>
            </w:r>
          </w:p>
        </w:tc>
        <w:tc>
          <w:tcPr>
            <w:tcW w:type="dxa" w:w="2700"/>
          </w:tcPr>
          <w:p>
            <w:r>
              <w:t>PaddlePaddle/PaddleOCR-VL-1.6</w:t>
            </w:r>
          </w:p>
        </w:tc>
        <w:tc>
          <w:tcPr>
            <w:tcW w:type="dxa" w:w="2400"/>
          </w:tcPr>
          <w:p>
            <w:r>
              <w:t>Spotting prompt; BF16; SDPA; batch 16; max 768; selective max 1536; repetition trim</w:t>
            </w:r>
          </w:p>
        </w:tc>
        <w:tc>
          <w:tcPr>
            <w:tcW w:type="dxa" w:w="2360"/>
          </w:tcPr>
          <w:p>
            <w:r>
              <w:t>Pretrained, adapted; not fine-tuned</w:t>
            </w:r>
          </w:p>
        </w:tc>
      </w:tr>
      <w:tr>
        <w:tc>
          <w:tcPr>
            <w:tcW w:type="dxa" w:w="1900"/>
          </w:tcPr>
          <w:p>
            <w:pPr>
              <w:spacing w:after="80"/>
            </w:pPr>
            <w:r>
              <w:t xml:space="preserve">Chunk</w:t>
            </w:r>
          </w:p>
        </w:tc>
        <w:tc>
          <w:tcPr>
            <w:tcW w:type="dxa" w:w="2700"/>
          </w:tcPr>
          <w:p>
            <w:r>
              <w:t>Unicode line-aware fixed chunks</w:t>
            </w:r>
          </w:p>
        </w:tc>
        <w:tc>
          <w:tcPr>
            <w:tcW w:type="dxa" w:w="2400"/>
          </w:tcPr>
          <w:p>
            <w:r>
              <w:t>NFKC; 64 words; overlap 16; Bangla/Latin script profile</w:t>
            </w:r>
          </w:p>
        </w:tc>
        <w:tc>
          <w:tcPr>
            <w:tcW w:type="dxa" w:w="2360"/>
          </w:tcPr>
          <w:p>
            <w:r>
              <w:t>Deterministic</w:t>
            </w:r>
          </w:p>
        </w:tc>
      </w:tr>
      <w:tr>
        <w:tc>
          <w:tcPr>
            <w:tcW w:type="dxa" w:w="1900"/>
          </w:tcPr>
          <w:p>
            <w:pPr>
              <w:spacing w:after="80"/>
            </w:pPr>
            <w:r>
              <w:t xml:space="preserve">Embed</w:t>
            </w:r>
          </w:p>
        </w:tc>
        <w:tc>
          <w:tcPr>
            <w:tcW w:type="dxa" w:w="2700"/>
          </w:tcPr>
          <w:p>
            <w:r>
              <w:t>intfloat/multilingual-e5-small + signed feature hash</w:t>
            </w:r>
          </w:p>
        </w:tc>
        <w:tc>
          <w:tcPr>
            <w:tcW w:type="dxa" w:w="2400"/>
          </w:tcPr>
          <w:p>
            <w:r>
              <w:t>384-D E5 passage/query prefixes; 2048-D lexical; batch 64</w:t>
            </w:r>
          </w:p>
        </w:tc>
        <w:tc>
          <w:tcPr>
            <w:tcW w:type="dxa" w:w="2360"/>
          </w:tcPr>
          <w:p>
            <w:r>
              <w:t>E5 pretrained; hash from scratch</w:t>
            </w:r>
          </w:p>
        </w:tc>
      </w:tr>
      <w:tr>
        <w:tc>
          <w:tcPr>
            <w:tcW w:type="dxa" w:w="1900"/>
          </w:tcPr>
          <w:p>
            <w:pPr>
              <w:spacing w:after="80"/>
            </w:pPr>
            <w:r>
              <w:t xml:space="preserve">Index</w:t>
            </w:r>
          </w:p>
        </w:tc>
        <w:tc>
          <w:tcPr>
            <w:tcW w:type="dxa" w:w="2700"/>
          </w:tcPr>
          <w:p>
            <w:r>
              <w:t>NumPy flat cosine + RRF</w:t>
            </w:r>
          </w:p>
        </w:tc>
        <w:tc>
          <w:tcPr>
            <w:tcW w:type="dxa" w:w="2400"/>
          </w:tcPr>
          <w:p>
            <w:r>
              <w:t>943 chunks; exact normalized dot product; RRF depth 20</w:t>
            </w:r>
          </w:p>
        </w:tc>
        <w:tc>
          <w:tcPr>
            <w:tcW w:type="dxa" w:w="2360"/>
          </w:tcPr>
          <w:p>
            <w:r>
              <w:t>Built from corpus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The pipeline in one line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pages → clean → (enhance) → layout → OCR → chunk → embed → store. Note anything you changed from the default.</w:t>
            </w:r>
          </w:p>
        </w:tc>
        <w:tc>
          <w:tcPr>
            <w:tcW w:type="dxa" w:w="5860"/>
          </w:tcPr>
          <w:p>
            <w:r>
              <w:t>JPEG pages → stable ingest/EXIF → optional enhancement → heading/body + spotting layout → PaddleOCR-VL → repetition cleanup + PII redaction → NFKC/script ID → 64/16 chunks → E5 and lexical vectors → exact cosine stores → hybrid RRF retrieval. OCR is cached so rebuilding the KB does not rerun vision inference.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5 — Evidence It Works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A build milestone needs proof, not promises. Show real numbers and one real retrieval.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OCR quality on a sample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measure reading quality on a labelled sample (character/word error rate, or F1). State the number and the sample size.</w:t>
            </w:r>
          </w:p>
        </w:tc>
        <w:tc>
          <w:tcPr>
            <w:tcW w:type="dxa" w:w="5860"/>
          </w:tcPr>
          <w:p>
            <w:r>
              <w:t>Held-out sample: 12 pages / 61 medication-name+strength entries. 768-token page baseline CER 0.499, WER 0.702, entity F1 0.490. Best measured layout-crop+trim method: CER 0.413, WER 0.702, precision 0.587, recall 0.443, F1 0.505. Scope is medication lines, not full-page clinical transcription.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Index statistics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chunks indexed, embedding dimension, index type, corpus coverage (pages/words indexed vs total).</w:t>
            </w:r>
          </w:p>
        </w:tc>
        <w:tc>
          <w:tcPr>
            <w:tcW w:type="dxa" w:w="5860"/>
          </w:tcPr>
          <w:p>
            <w:r>
              <w:t>310/310 pages → 943 chunks. 42,642 unique non-overlapped OCR word occurrences; 52,575 indexed occurrences with overlap. E5: exact flat cosine, 384-D, 1,448,448 vector bytes, 7.304 s build. Hash: 2048-D, 7,725,056 bytes, 1.373 s. Script chunks: 288 Bengali, 902 Latin, 276 mixed. Manual privacy pilot: 12 pages/12 patient-name entities; explicit detection/redaction recall 0.0833, conditional redaction recall 0.3333, non-disclosure 0.8333, two leaks. The ≥0.98 NFR fails.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One retrieval example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a real query, the top chunk returned, and whether it's the right page. Show one that worked.</w:t>
            </w:r>
          </w:p>
        </w:tc>
        <w:tc>
          <w:tcPr>
            <w:tcW w:type="dxa" w:w="5860"/>
          </w:tcPr>
          <w:p>
            <w:r>
              <w:t>Query: ‘Phoscon 210mg’. Hybrid rank 1: Screenshot_20260815-062822_Somatec__1RR0EEAz.jpg, chunk page:a66ce32fc45cfd08:3, containing ‘Tab. Phoscon (210mg)’. Correct page/evidence. Final recall@5: 5/5 for E5, hash and hybrid on the labelled query set.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The worst failure we saw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where reading or retrieval failed badly, and your read on why (honest — this shapes A3).</w:t>
            </w:r>
          </w:p>
        </w:tc>
        <w:tc>
          <w:tcPr>
            <w:tcW w:type="dxa" w:w="5860"/>
          </w:tcPr>
          <w:p>
            <w:r>
              <w:t>Screenshot_20260815-063516_Somatec.jpg: whole-page OCR stopped after the printed header and recovered 0/5 medications. Rx-body cropping recovered five approximate lines, showing the cause was layout/token-budget competition. Even cropped OCR misspelled strength/name characters, so the page remains human-review-only.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6 — The Plan for A3</w:t>
      </w:r>
    </w:p>
    <w:p>
      <w:pPr>
        <w:spacing w:after="100"/>
      </w:pPr>
      <w:r>
        <w:rPr>
          <w:i/>
          <w:iCs/>
          <w:color w:val="595959"/>
          <w:sz w:val="18"/>
          <w:szCs w:val="18"/>
        </w:rPr>
        <w:t xml:space="preserve">What's left: turn the knowledge base into an answering agent, then evaluate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What we'll build next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retrieval + rerank, the agent loop + tools, guardrails/HITL, grounding, evaluation — and RL/RLVR if you attempt the bonus.</w:t>
            </w:r>
          </w:p>
          <w:p>
            <w:r>
              <w:t xml:space="preserve">Carry the agent forward: in A3 it must do evidence-gated re-search (widen k on weak evidence, abstain at k_max) — the mandatory agentic behaviour, graded fail-closed in A3.</w:t>
            </w:r>
          </w:p>
        </w:tc>
        <w:tc>
          <w:tcPr>
            <w:tcW w:type="dxa" w:w="5860"/>
          </w:tcPr>
          <w:p>
            <w:r>
              <w:t>Implement retrieval/reranking, evidence-gated re-search (increase k on weak evidence, abstain at k_max), read-page/re-OCR tools, grounded answers with citations, prompt-injection controls, PII/HITL and evaluation. RL/RLVR remains optional unless the team explicitly chooses the bonus.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Our evaluation set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how you'll write tasks.jsonl for YOUR domain — the questions your real user would ask; include enough checkable (verifiable) items and abstention cases.</w:t>
            </w:r>
          </w:p>
        </w:tc>
        <w:tc>
          <w:tcPr>
            <w:tcW w:type="dxa" w:w="5860"/>
          </w:tcPr>
          <w:p>
            <w:r>
              <w:t>Author prescription-specific tasks with exact drug/strength queries, Bangla paraphrases, template-confounders, multi-page aggregation and deliberately absent medicines. Include verifiable expected page/chunk IDs and abstention cases; keep patient identity out of questions.</w:t>
            </w:r>
          </w:p>
        </w:tc>
      </w:tr>
      <w:tr>
        <w:tc>
          <w:tcPr>
            <w:tcW w:type="dxa" w:w="3500"/>
            <w:shd w:fill="F2F2F2" w:val="clear"/>
          </w:tcPr>
          <w:p>
            <w:pPr>
              <w:spacing w:after="80"/>
            </w:pPr>
            <w:r>
              <w:rPr>
                <w:b/>
                <w:bCs/>
              </w:rPr>
              <w:t xml:space="preserve">Biggest risk / unknown</w:t>
            </w:r>
          </w:p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the thing most likely to break in A3, and your first idea to handle it.</w:t>
            </w:r>
          </w:p>
        </w:tc>
        <w:tc>
          <w:tcPr>
            <w:tcW w:type="dxa" w:w="5860"/>
          </w:tcPr>
          <w:p>
            <w:r>
              <w:t>OCR is the dominant bottleneck: a fluent wrong drug name can be retrieved confidently. First mitigation: layout-crop re-OCR on weak/failed pages, lexical drug-name checks, image citation and mandatory human review for medication fields.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7 — Design Choices &amp; Justification (knowledge-base stages)</w:t>
      </w:r>
    </w:p>
    <w:p>
      <w:pPr>
        <w:spacing w:after="100"/>
      </w:pPr>
      <w:r>
        <w:t xml:space="preserve">Extend the eight-facet table to the stages you built (Stages 1–4). This is the graded design artifact (</w:t>
      </w:r>
      <w:r>
        <w:rPr>
          <w:i/>
          <w:iCs/>
          <w:color w:val="595959"/>
          <w:sz w:val="18"/>
          <w:szCs w:val="18"/>
        </w:rPr>
        <w:t xml:space="preserve">configs/design_choices.md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Facet</w:t>
            </w:r>
          </w:p>
        </w:tc>
        <w:tc>
          <w:tcPr>
            <w:tcW w:type="dxa" w:w="34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Our choice across the knowledge-base stages</w:t>
            </w:r>
          </w:p>
        </w:tc>
        <w:tc>
          <w:tcPr>
            <w:tcW w:type="dxa" w:w="37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Why — fits our corpus · what it costs · what would change it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Problem statement</w:t>
            </w:r>
          </w:p>
        </w:tc>
        <w:tc>
          <w:tcPr>
            <w:tcW w:type="dxa" w:w="3400"/>
          </w:tcPr>
          <w:p>
            <w:r>
              <w:t>Turn permissioned handwritten prescriptions into searchable, grounded evidence; measure OCR CER/WER/F1 and retrieval recall while targeting PII entity recall ≥0.98.</w:t>
            </w:r>
          </w:p>
        </w:tc>
        <w:tc>
          <w:tcPr>
            <w:tcW w:type="dxa" w:w="3760"/>
          </w:tcPr>
          <w:p>
            <w:r>
              <w:t>Fits the real workflow and keeps privacy as the unchanged A1 NFR. Index speed is reported as an operational result, not substituted for the NFR.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Data</w:t>
            </w:r>
          </w:p>
        </w:tc>
        <w:tc>
          <w:tcPr>
            <w:tcW w:type="dxa" w:w="3400"/>
          </w:tcPr>
          <w:p>
            <w:r>
              <w:t>Permissioned Somatec prescriptions; 12-page/61-medication held-out OCR set; page-level split; restricted raw data supplied through the authorized project channel.</w:t>
            </w:r>
          </w:p>
        </w:tc>
        <w:tc>
          <w:tcPr>
            <w:tcW w:type="dxa" w:w="3760"/>
          </w:tcPr>
          <w:p>
            <w:r>
              <w:t>Real code-switched handwriting is representative, but the OCR labels are small and the privacy target still requires a separately annotated PII holdout.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Model</w:t>
            </w:r>
          </w:p>
        </w:tc>
        <w:tc>
          <w:tcPr>
            <w:tcW w:type="dxa" w:w="3400"/>
          </w:tcPr>
          <w:p>
            <w:r>
              <w:t>PaddleOCR-VL 1.6, multilingual E5-small, signed feature hashing and exact cosine stores.</w:t>
            </w:r>
          </w:p>
        </w:tc>
        <w:tc>
          <w:tcPr>
            <w:tcW w:type="dxa" w:w="3760"/>
          </w:tcPr>
          <w:p>
            <w:r>
              <w:t>Pretraining handles mixed scripts without training from scratch; lexical vectors protect exact names. A domain-fine-tuned reader would replace OCR if enough full labels exist.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Methods</w:t>
            </w:r>
          </w:p>
        </w:tc>
        <w:tc>
          <w:tcPr>
            <w:tcW w:type="dxa" w:w="3400"/>
          </w:tcPr>
          <w:p>
            <w:r>
              <w:t>BF16/SDPA batch 16; selective retry; Rx crop; NFKC/script ID; 64/16 chunks; hybrid RRF.</w:t>
            </w:r>
          </w:p>
        </w:tc>
        <w:tc>
          <w:tcPr>
            <w:tcW w:type="dxa" w:w="3760"/>
          </w:tcPr>
          <w:p>
            <w:r>
              <w:t>Each setting was measured. Crop improves recall; 64-word chunks improve E5 recall. Larger labels could justify retuning.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Design</w:t>
            </w:r>
          </w:p>
        </w:tc>
        <w:tc>
          <w:tcPr>
            <w:tcW w:type="dxa" w:w="3400"/>
          </w:tcPr>
          <w:p>
            <w:r>
              <w:t>Typed Page→Region→Chunk contracts; cached OCR JSONL; PII scrub before two parallel vector indexes.</w:t>
            </w:r>
          </w:p>
        </w:tc>
        <w:tc>
          <w:tcPr>
            <w:tcW w:type="dxa" w:w="3760"/>
          </w:tcPr>
          <w:p>
            <w:r>
              <w:t>Caching makes iteration fast and auditable. A larger corpus would justify a database/ANN store.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Development</w:t>
            </w:r>
          </w:p>
        </w:tc>
        <w:tc>
          <w:tcPr>
            <w:tcW w:type="dxa" w:w="3400"/>
          </w:tcPr>
          <w:p>
            <w:r>
              <w:t>YAML configs, resumable runners, focused tests, JSON evidence, fixed held-out labels and notebook outputs.</w:t>
            </w:r>
          </w:p>
        </w:tc>
        <w:tc>
          <w:tcPr>
            <w:tcW w:type="dxa" w:w="3760"/>
          </w:tcPr>
          <w:p>
            <w:r>
              <w:t>Reproducible and fast; full CI additionally needs the starter's serving dependencies installed.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Deployment</w:t>
            </w:r>
          </w:p>
        </w:tc>
        <w:tc>
          <w:tcPr>
            <w:tcW w:type="dxa" w:w="3400"/>
          </w:tcPr>
          <w:p>
            <w:r>
              <w:t>RTX 4090 OCR; GPU-batched E5; CPU hashing and exact search; local restricted demo.</w:t>
            </w:r>
          </w:p>
        </w:tc>
        <w:tc>
          <w:tcPr>
            <w:tcW w:type="dxa" w:w="3760"/>
          </w:tcPr>
          <w:p>
            <w:r>
              <w:t>OCR on the tested snapshot ran at 0.852 image/s; post-OCR index builds total 8.677 s. Public deployment is inappropriate until PII recall ≥0.98 is demonstrated.</w:t>
            </w:r>
          </w:p>
        </w:tc>
      </w:tr>
      <w:tr>
        <w:tc>
          <w:tcPr>
            <w:tcW w:type="dxa" w:w="2200"/>
          </w:tcPr>
          <w:p>
            <w:pPr>
              <w:spacing w:after="80"/>
            </w:pPr>
            <w:r>
              <w:t xml:space="preserve">MLOps</w:t>
            </w:r>
          </w:p>
        </w:tc>
        <w:tc>
          <w:tcPr>
            <w:tcW w:type="dxa" w:w="3400"/>
          </w:tcPr>
          <w:p>
            <w:r>
              <w:t>Version Drive manifest/results/configs; monitor OCR caps, review rate, script mix, empty text, recall and corpus drift.</w:t>
            </w:r>
          </w:p>
        </w:tc>
        <w:tc>
          <w:tcPr>
            <w:tcW w:type="dxa" w:w="3760"/>
          </w:tcPr>
          <w:p>
            <w:r>
              <w:t>These catch the observed failure modes. Add model registry and DVC when the corpus/version count grows.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Section 8 — How We Worked With AI</w:t>
      </w:r>
    </w:p>
    <w:p>
      <w:pPr>
        <w:spacing w:after="100"/>
      </w:pPr>
      <w:r>
        <w:t xml:space="preserve">One transcript per team member. Each member submits one plain-text file named exactly </w:t>
      </w:r>
      <w:r>
        <w:rPr>
          <w:i/>
          <w:iCs/>
          <w:color w:val="595959"/>
          <w:sz w:val="18"/>
          <w:szCs w:val="18"/>
        </w:rPr>
        <w:t xml:space="preserve">&lt;their student number&gt;.txt</w:t>
      </w:r>
      <w:r>
        <w:t xml:space="preserve">, containing the full AI conversation behind the sections they 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Each .txt file must contain</w:t>
            </w:r>
          </w:p>
        </w:tc>
        <w:tc>
          <w:tcPr>
            <w:tcW w:type="dxa" w:w="59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In this order</w:t>
            </w:r>
          </w:p>
        </w:tc>
      </w:tr>
      <w:tr>
        <w:tc>
          <w:tcPr>
            <w:tcW w:type="dxa" w:w="3400"/>
          </w:tcPr>
          <w:p>
            <w:pPr>
              <w:spacing w:after="80"/>
            </w:pPr>
            <w:r>
              <w:t xml:space="preserve">Header</w:t>
            </w:r>
          </w:p>
        </w:tc>
        <w:tc>
          <w:tcPr>
            <w:tcW w:type="dxa" w:w="59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member name, student number, sections led</w:t>
            </w:r>
          </w:p>
        </w:tc>
      </w:tr>
      <w:tr>
        <w:tc>
          <w:tcPr>
            <w:tcW w:type="dxa" w:w="3400"/>
          </w:tcPr>
          <w:p>
            <w:pPr>
              <w:spacing w:after="80"/>
            </w:pPr>
            <w:r>
              <w:t xml:space="preserve">The full conversation</w:t>
            </w:r>
          </w:p>
        </w:tc>
        <w:tc>
          <w:tcPr>
            <w:tcW w:type="dxa" w:w="59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every prompt and every AI reply, unedited</w:t>
            </w:r>
          </w:p>
        </w:tc>
      </w:tr>
      <w:tr>
        <w:tc>
          <w:tcPr>
            <w:tcW w:type="dxa" w:w="3400"/>
          </w:tcPr>
          <w:p>
            <w:pPr>
              <w:spacing w:after="80"/>
            </w:pPr>
            <w:r>
              <w:t xml:space="preserve">A short reflection</w:t>
            </w:r>
          </w:p>
        </w:tc>
        <w:tc>
          <w:tcPr>
            <w:tcW w:type="dxa" w:w="5960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what you accepted, changed, or rejected, and why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Submission — Required Folder Structure</w:t>
      </w:r>
    </w:p>
    <w:p>
      <w:pPr>
        <w:spacing w:after="100"/>
      </w:pPr>
      <w:r>
        <w:t xml:space="preserve">The autograder enforces this exactly. ZIP named </w:t>
      </w:r>
      <w:r>
        <w:rPr>
          <w:i/>
          <w:iCs/>
          <w:color w:val="595959"/>
          <w:sz w:val="18"/>
          <w:szCs w:val="18"/>
        </w:rPr>
        <w:t xml:space="preserve">A2_&lt;your team id&gt;.zip</w:t>
      </w:r>
      <w:r>
        <w:t xml:space="preserve">, containing: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55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A2_form.docx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this filled form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src/doc_agent/  (ingest, vision, index)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the implemented knowledge-base stages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scripts/build_index.sh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builds the vector index (edit the stub)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notebooks/kb_demo.ipynb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OCR quality + one retrieval example (edit the stub)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reports/pipeline_diagram.md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a diagram of the knowledge-base pipeline (edit the stub)</w:t>
            </w:r>
          </w:p>
        </w:tc>
      </w:tr>
      <w:tr>
        <w:tc>
          <w:tcPr>
            <w:tcW w:type="dxa" w:w="3800"/>
          </w:tcPr>
          <w:p>
            <w:pPr>
              <w:spacing w:after="80"/>
            </w:pPr>
            <w:r>
              <w:t xml:space="preserve">configs/design_choices.md</w:t>
            </w:r>
          </w:p>
        </w:tc>
        <w:tc>
          <w:tcPr>
            <w:tcW w:type="dxa" w:w="5560"/>
          </w:tcPr>
          <w:p>
            <w:pPr>
              <w:spacing w:after="80"/>
            </w:pPr>
            <w:r>
              <w:t xml:space="preserve">updated with Stages 1–4</w:t>
            </w:r>
          </w:p>
        </w:tc>
      </w:tr>
      <w:tr>
        <w:tc>
          <w:tcPr>
            <w:tcW w:type="dxa" w:w="3800"/>
          </w:tcPr>
          <w:p>
            <w:r>
              <w:t>transcripts/&lt;student number&gt;.txt  ×2</w:t>
            </w:r>
          </w:p>
        </w:tc>
        <w:tc>
          <w:tcPr>
            <w:tcW w:type="dxa" w:w="5560"/>
          </w:tcPr>
          <w:p>
            <w:r>
              <w:t>one genuine, full, unedited AI-chat transcript per member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How You'll Be Graded (100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9E1F2" w:val="clear"/>
          </w:tcPr>
          <w:p>
            <w:pPr>
              <w:spacing w:after="60"/>
            </w:pPr>
            <w:r>
              <w:rPr>
                <w:b/>
                <w:bCs/>
              </w:rPr>
              <w:t xml:space="preserve">Grounding gate: </w:t>
            </w:r>
            <w:r>
              <w:t xml:space="preserve">every claim in the form must match your own code, index, and notebook outputs. Numbers with no notebook evidence score zero for that item.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What we assess</w:t>
            </w:r>
          </w:p>
        </w:tc>
        <w:tc>
          <w:tcPr>
            <w:tcW w:type="dxa" w:w="2000"/>
            <w:shd w:fill="1F3864" w:val="clear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 xml:space="preserve">Points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1 — recap accurate and consistent with A1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5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2 — structure and invariances identified correctly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10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3 — options compared, with ≥1 reproduced published/pretrained method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20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4 — knowledge base built; models and parameters justified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20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5 — real evidence: OCR quality + a working retrieval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25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6 — a concrete, sensible plan for A3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5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7 — eight-facet design table for Stages 1–4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10</w:t>
            </w:r>
          </w:p>
        </w:tc>
      </w:tr>
      <w:tr>
        <w:tc>
          <w:tcPr>
            <w:tcW w:type="dxa" w:w="7360"/>
          </w:tcPr>
          <w:p>
            <w:pPr>
              <w:spacing w:after="80"/>
            </w:pPr>
            <w:r>
              <w:t xml:space="preserve">Section 8 + submission structure correct</w:t>
            </w:r>
          </w:p>
        </w:tc>
        <w:tc>
          <w:tcPr>
            <w:tcW w:type="dxa" w:w="2000"/>
          </w:tcPr>
          <w:p>
            <w:pPr>
              <w:spacing w:after="80"/>
            </w:pPr>
            <w:r>
              <w:t xml:space="preserve">5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2026-07-04T23:56:32.641Z</dcterms:created>
  <dcterms:modified xsi:type="dcterms:W3CDTF">2026-07-04T23:56:32.641Z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