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44"/>
          <w:szCs w:val="44"/>
        </w:rPr>
        <w:t xml:space="preserve">SOLUTION SPECIFICATION</w:t>
      </w:r>
    </w:p>
    <w:p>
      <w:pPr>
        <w:spacing w:after="120" w:before="120"/>
        <w:jc w:val="center"/>
      </w:pPr>
      <w:r>
        <w:rPr>
          <w:color w:val="404040"/>
          <w:sz w:val="30"/>
          <w:szCs w:val="30"/>
        </w:rPr>
        <w:t xml:space="preserve">Integrated Sales &amp; Project Execution Platform</w:t>
      </w:r>
    </w:p>
    <w:p>
      <w:pPr>
        <w:spacing w:after="600" w:before="60"/>
        <w:jc w:val="center"/>
      </w:pPr>
      <w:r>
        <w:rPr>
          <w:i/>
          <w:iCs/>
          <w:color w:val="595959"/>
          <w:sz w:val="26"/>
          <w:szCs w:val="26"/>
        </w:rPr>
        <w:t xml:space="preserve">for Government Project Contractors</w:t>
      </w:r>
    </w:p>
    <w:p>
      <w:pPr>
        <w:pBdr>
          <w:top w:val="single" w:color="1F4E79" w:sz="12" w:space="4"/>
        </w:pBdr>
        <w:spacing w:after="120" w:before="400"/>
        <w:jc w:val="center"/>
      </w:pPr>
      <w:r>
        <w:t xml:space="preserve"/>
      </w:r>
    </w:p>
    <w:p>
      <w:pPr>
        <w:spacing w:after="80" w:before="200"/>
        <w:jc w:val="center"/>
      </w:pPr>
      <w:r>
        <w:rPr>
          <w:sz w:val="22"/>
          <w:szCs w:val="22"/>
        </w:rPr>
        <w:t xml:space="preserve">Document Version: 1.2</w:t>
      </w:r>
    </w:p>
    <w:p>
      <w:pPr>
        <w:spacing w:after="80" w:before="40"/>
        <w:jc w:val="center"/>
      </w:pPr>
      <w:r>
        <w:rPr>
          <w:sz w:val="22"/>
          <w:szCs w:val="22"/>
        </w:rPr>
        <w:t xml:space="preserve">Status: Draft for Review</w:t>
      </w:r>
    </w:p>
    <w:p>
      <w:pPr>
        <w:spacing w:after="80" w:before="40"/>
        <w:jc w:val="center"/>
      </w:pPr>
      <w:r>
        <w:rPr>
          <w:sz w:val="22"/>
          <w:szCs w:val="22"/>
        </w:rPr>
        <w:t xml:space="preserve">Date: April 2026</w:t>
      </w:r>
    </w:p>
    <w:p>
      <w:r>
        <w:br w:type="page"/>
      </w:r>
    </w:p>
    <w:p>
      <w:pPr>
        <w:pStyle w:val="Heading1"/>
        <w:spacing w:after="180" w:before="360"/>
      </w:pPr>
      <w:r>
        <w:t xml:space="preserve">1. Document Control</w:t>
      </w:r>
    </w:p>
    <w:p>
      <w:pPr>
        <w:pStyle w:val="Heading2"/>
        <w:spacing w:after="140" w:before="280"/>
      </w:pPr>
      <w:r>
        <w:t xml:space="preserve">1.1 Purpose</w:t>
      </w:r>
    </w:p>
    <w:p>
      <w:pPr>
        <w:spacing w:after="80" w:before="80" w:line="300"/>
        <w:jc w:val="both"/>
      </w:pPr>
      <w:r>
        <w:t xml:space="preserve">This Solution Specification describes an integrated platform for a company that primarily executes projects for government clients (Central Ministries, State Departments, PSUs and autonomous bodies). It captures the scope, functional requirements and workflows for three core modules — Organization Details, Sales Team, and Project Execution Team — and serves as the reference document for design, build and user-acceptance phases.</w:t>
      </w:r>
    </w:p>
    <w:p>
      <w:pPr>
        <w:pStyle w:val="Heading2"/>
        <w:spacing w:after="140" w:before="280"/>
      </w:pPr>
      <w:r>
        <w:t xml:space="preserve">1.2 Intended Audience</w:t>
      </w:r>
    </w:p>
    <w:p>
      <w:pPr>
        <w:pStyle w:val="ListParagraph"/>
        <w:numPr>
          <w:ilvl w:val="0"/>
          <w:numId w:val="2"/>
        </w:numPr>
        <w:spacing w:after="40" w:before="40" w:line="280"/>
      </w:pPr>
      <w:r>
        <w:t xml:space="preserve">Executive Sponsors and Leadership (business alignment and sign-off)</w:t>
      </w:r>
    </w:p>
    <w:p>
      <w:pPr>
        <w:pStyle w:val="ListParagraph"/>
        <w:numPr>
          <w:ilvl w:val="0"/>
          <w:numId w:val="2"/>
        </w:numPr>
        <w:spacing w:after="40" w:before="40" w:line="280"/>
      </w:pPr>
      <w:r>
        <w:t xml:space="preserve">Business Development, Tender Cell and Pre-Sales teams</w:t>
      </w:r>
    </w:p>
    <w:p>
      <w:pPr>
        <w:pStyle w:val="ListParagraph"/>
        <w:numPr>
          <w:ilvl w:val="0"/>
          <w:numId w:val="2"/>
        </w:numPr>
        <w:spacing w:after="40" w:before="40" w:line="280"/>
      </w:pPr>
      <w:r>
        <w:t xml:space="preserve">Project Management Office (PMO) and Delivery Managers</w:t>
      </w:r>
    </w:p>
    <w:p>
      <w:pPr>
        <w:pStyle w:val="ListParagraph"/>
        <w:numPr>
          <w:ilvl w:val="0"/>
          <w:numId w:val="2"/>
        </w:numPr>
        <w:spacing w:after="40" w:before="40" w:line="280"/>
      </w:pPr>
      <w:r>
        <w:t xml:space="preserve">Finance, Compliance and Admin functions</w:t>
      </w:r>
    </w:p>
    <w:p>
      <w:pPr>
        <w:pStyle w:val="ListParagraph"/>
        <w:numPr>
          <w:ilvl w:val="0"/>
          <w:numId w:val="2"/>
        </w:numPr>
        <w:spacing w:after="40" w:before="40" w:line="280"/>
      </w:pPr>
      <w:r>
        <w:t xml:space="preserve">Technology / Implementation partner responsible for build and rollout</w:t>
      </w:r>
    </w:p>
    <w:p>
      <w:pPr>
        <w:pStyle w:val="Heading2"/>
        <w:spacing w:after="140" w:before="280"/>
      </w:pPr>
      <w:r>
        <w:t xml:space="preserve">1.3 Scope</w:t>
      </w:r>
    </w:p>
    <w:p>
      <w:pPr>
        <w:spacing w:after="80" w:before="80" w:line="300"/>
        <w:jc w:val="both"/>
      </w:pPr>
      <w:r>
        <w:t xml:space="preserve">The solution covers the end-to-end journey from opportunity identification through tender or direct proposal, bid submission, award, project execution, and financial close-out. Statutory accounting, payroll and CRM for non-government segments are out of scope; the solution will integrate with the existing accounting system for ledger-level postings.</w:t>
      </w:r>
    </w:p>
    <w:p>
      <w:pPr>
        <w:pStyle w:val="Heading2"/>
        <w:spacing w:after="140" w:before="280"/>
      </w:pPr>
      <w:r>
        <w:t xml:space="preserve">1.4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456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Version</w:t>
            </w:r>
          </w:p>
        </w:tc>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Date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Author</w:t>
            </w:r>
          </w:p>
        </w:tc>
        <w:tc>
          <w:tcPr>
            <w:tcW w:type="dxa" w:w="4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Summary of Changes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0.1</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March 2026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Solution Architect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Initial outline and module scope</w:t>
            </w:r>
          </w:p>
        </w:tc>
      </w:tr>
      <w:tr>
        <w:tc>
          <w:tcPr>
            <w:tcW w:type="dxa" w:w="1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0.5</w:t>
            </w:r>
          </w:p>
        </w:tc>
        <w:tc>
          <w:tcPr>
            <w:tcW w:type="dxa" w:w="1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April 2026</w:t>
            </w:r>
          </w:p>
        </w:tc>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Solution Architect</w:t>
            </w:r>
          </w:p>
        </w:tc>
        <w:tc>
          <w:tcPr>
            <w:tcW w:type="dxa" w:w="45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Added Sales &amp; Execution workflows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1.0</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April 2026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Solution Architect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Baseline draft released for review</w:t>
            </w:r>
          </w:p>
        </w:tc>
      </w:tr>
      <w:tr>
        <w:tc>
          <w:tcPr>
            <w:tcW w:type="dxa" w:w="1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1.1</w:t>
            </w:r>
          </w:p>
        </w:tc>
        <w:tc>
          <w:tcPr>
            <w:tcW w:type="dxa" w:w="1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April 2026</w:t>
            </w:r>
          </w:p>
        </w:tc>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Solution Architect</w:t>
            </w:r>
          </w:p>
        </w:tc>
        <w:tc>
          <w:tcPr>
            <w:tcW w:type="dxa" w:w="45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Added Managed Tenders upstream flow; expanded Bid Evaluation into Pre-Qualification, Technical and Financial sub-stages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1.2</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April 2026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Solution Architect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Introduced Business Units as cross-cutting; added Module 4 (Expense Management) and Module 5 (Material &amp; Procurement)</w:t>
            </w:r>
          </w:p>
        </w:tc>
      </w:tr>
    </w:tbl>
    <w:p>
      <w:r>
        <w:br w:type="page"/>
      </w:r>
    </w:p>
    <w:p>
      <w:pPr>
        <w:pStyle w:val="Heading1"/>
        <w:spacing w:after="180" w:before="360"/>
      </w:pPr>
      <w:r>
        <w:t xml:space="preserve">2. Solution Overview</w:t>
      </w:r>
    </w:p>
    <w:p>
      <w:pPr>
        <w:spacing w:after="80" w:before="80" w:line="300"/>
        <w:jc w:val="both"/>
      </w:pPr>
      <w:r>
        <w:t xml:space="preserve">The platform is organized as three interconnected modules that mirror the real-world lifecycle of a government-projects business. Data flows forward — a won opportunity in the Sales module automatically seeds a project in the Execution module, along with its contract value, milestones and cost baselines derived from the bid. Conversely, actuals from Execution feed back into organizational KPIs such as win-rate profitability, enabling data-driven bid / no-bid decisions.</w:t>
      </w:r>
    </w:p>
    <w:p>
      <w:pPr>
        <w:pStyle w:val="Heading2"/>
        <w:spacing w:after="140" w:before="280"/>
      </w:pPr>
      <w:r>
        <w:t xml:space="preserve">2.1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700"/>
        <w:gridCol w:w="396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w:t>
            </w:r>
          </w:p>
        </w:tc>
        <w:tc>
          <w:tcPr>
            <w:tcW w:type="dxa" w:w="21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Module</w:t>
            </w:r>
          </w:p>
        </w:tc>
        <w:tc>
          <w:tcPr>
            <w:tcW w:type="dxa" w:w="2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Primary Users</w:t>
            </w:r>
          </w:p>
        </w:tc>
        <w:tc>
          <w:tcPr>
            <w:tcW w:type="dxa" w:w="3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Key Outcome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1</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Organization Details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Admin, Compliance Officer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Single source of truth for company identity, statutory and empanelment data; Business Unit master</w:t>
            </w:r>
          </w:p>
        </w:tc>
      </w:tr>
      <w:tr>
        <w:tc>
          <w:tcPr>
            <w:tcW w:type="dxa" w:w="6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2</w:t>
            </w:r>
          </w:p>
        </w:tc>
        <w:tc>
          <w:tcPr>
            <w:tcW w:type="dxa" w:w="21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Sales Team</w:t>
            </w:r>
          </w:p>
        </w:tc>
        <w:tc>
          <w:tcPr>
            <w:tcW w:type="dxa" w:w="2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BD / Pre-sales / Tender Cell, BU Head</w:t>
            </w:r>
          </w:p>
        </w:tc>
        <w:tc>
          <w:tcPr>
            <w:tcW w:type="dxa" w:w="3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Opportunity-to-Work-Order pipeline with Cost of Sale tracking; every opportunity belongs to a Business Unit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3</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Execution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PMO, Delivery Managers, BU Head, Task Owners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On-time, on-budget delivery with live cost, inflow and cash-flow visibility; BU Head accountable for BU portfolio</w:t>
            </w:r>
          </w:p>
        </w:tc>
      </w:tr>
      <w:tr>
        <w:tc>
          <w:tcPr>
            <w:tcW w:type="dxa" w:w="6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4</w:t>
            </w:r>
          </w:p>
        </w:tc>
        <w:tc>
          <w:tcPr>
            <w:tcW w:type="dxa" w:w="21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Expense Management</w:t>
            </w:r>
          </w:p>
        </w:tc>
        <w:tc>
          <w:tcPr>
            <w:tcW w:type="dxa" w:w="2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All employees, PM, BU Head, Admin Head, Finance</w:t>
            </w:r>
          </w:p>
        </w:tc>
        <w:tc>
          <w:tcPr>
            <w:tcW w:type="dxa" w:w="3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Formal expense-sheet workflow (Draft → Submitted → Approved → Paid) for Pre-Project and During-Project spends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5</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Material &amp; Procurement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Team, Admin Team, Stores, BU Head, Finance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Material Request → Indent → Purchase → Issue cycle with full traceability and project-cost integration</w:t>
            </w:r>
          </w:p>
        </w:tc>
      </w:tr>
    </w:tbl>
    <w:p>
      <w:pPr>
        <w:spacing w:after="80" w:before="80"/>
      </w:pPr>
      <w:r>
        <w:t xml:space="preserve"/>
      </w:r>
    </w:p>
    <w:p>
      <w:pPr>
        <w:pStyle w:val="Heading2"/>
        <w:spacing w:after="140" w:before="280"/>
      </w:pPr>
      <w:r>
        <w:t xml:space="preserve">2.2 Guiding Principles</w:t>
      </w:r>
    </w:p>
    <w:p>
      <w:pPr>
        <w:pStyle w:val="ListParagraph"/>
        <w:numPr>
          <w:ilvl w:val="0"/>
          <w:numId w:val="2"/>
        </w:numPr>
        <w:spacing w:after="40" w:before="40" w:line="280"/>
      </w:pPr>
      <w:r>
        <w:t xml:space="preserve">Single source of truth for organizational, statutory and past-performance data used in every bid</w:t>
      </w:r>
    </w:p>
    <w:p>
      <w:pPr>
        <w:pStyle w:val="ListParagraph"/>
        <w:numPr>
          <w:ilvl w:val="0"/>
          <w:numId w:val="2"/>
        </w:numPr>
        <w:spacing w:after="40" w:before="40" w:line="280"/>
      </w:pPr>
      <w:r>
        <w:t xml:space="preserve">Workflow flexibility — support Managed Tenders (upstream engagement), Standard Tenders, Active Tenders, direct proposals and rate contracts</w:t>
      </w:r>
    </w:p>
    <w:p>
      <w:pPr>
        <w:pStyle w:val="ListParagraph"/>
        <w:numPr>
          <w:ilvl w:val="0"/>
          <w:numId w:val="2"/>
        </w:numPr>
        <w:spacing w:after="40" w:before="40" w:line="280"/>
      </w:pPr>
      <w:r>
        <w:t xml:space="preserve">Financial visibility at every stage — from Cost of Sale to project cash flow</w:t>
      </w:r>
    </w:p>
    <w:p>
      <w:pPr>
        <w:pStyle w:val="ListParagraph"/>
        <w:numPr>
          <w:ilvl w:val="0"/>
          <w:numId w:val="2"/>
        </w:numPr>
        <w:spacing w:after="40" w:before="40" w:line="280"/>
      </w:pPr>
      <w:r>
        <w:t xml:space="preserve">Role-based access with an immutable audit trail on financial events</w:t>
      </w:r>
    </w:p>
    <w:p>
      <w:pPr>
        <w:pStyle w:val="ListParagraph"/>
        <w:numPr>
          <w:ilvl w:val="0"/>
          <w:numId w:val="2"/>
        </w:numPr>
        <w:spacing w:after="40" w:before="40" w:line="280"/>
      </w:pPr>
      <w:r>
        <w:t xml:space="preserve">Integration-ready for GeM / CPPP, banking, e-Sign and accounting systems</w:t>
      </w:r>
    </w:p>
    <w:p>
      <w:r>
        <w:br w:type="page"/>
      </w:r>
    </w:p>
    <w:p>
      <w:pPr>
        <w:pStyle w:val="Heading1"/>
        <w:spacing w:after="180" w:before="360"/>
      </w:pPr>
      <w:r>
        <w:t xml:space="preserve">3. Module 1 — Organization Details</w:t>
      </w:r>
    </w:p>
    <w:p>
      <w:pPr>
        <w:pStyle w:val="Heading2"/>
        <w:spacing w:after="140" w:before="280"/>
      </w:pPr>
      <w:r>
        <w:t xml:space="preserve">3.1 Objective</w:t>
      </w:r>
    </w:p>
    <w:p>
      <w:pPr>
        <w:spacing w:after="80" w:before="80" w:line="300"/>
        <w:jc w:val="both"/>
      </w:pPr>
      <w:r>
        <w:t xml:space="preserve">Establish a single, authoritative repository of the company's legal, statutory, financial and capability data. Every bid, proposal, invoice and compliance report draws from this repository, eliminating duplication and the risk of outdated information reaching the client.</w:t>
      </w:r>
    </w:p>
    <w:p>
      <w:pPr>
        <w:pStyle w:val="Heading2"/>
        <w:spacing w:after="140" w:before="280"/>
      </w:pPr>
      <w:r>
        <w:t xml:space="preserve">3.2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Entity</w:t>
            </w:r>
          </w:p>
        </w:tc>
        <w:tc>
          <w:tcPr>
            <w:tcW w:type="dxa" w:w="3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Key Attributes</w:t>
            </w:r>
          </w:p>
        </w:tc>
        <w:tc>
          <w:tcPr>
            <w:tcW w:type="dxa" w:w="3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Purpose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Company Profile</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Legal name, CIN, date of incorporation, registered &amp; corporate addresses, logo</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Used on proposals, invoices and statutory filings</w:t>
            </w:r>
          </w:p>
        </w:tc>
      </w:tr>
      <w:tr>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Statutory Registrations</w:t>
            </w:r>
          </w:p>
        </w:tc>
        <w:tc>
          <w:tcPr>
            <w:tcW w:type="dxa" w:w="3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PAN, GSTIN (multi-state), TAN, EPF, ESIC, PT, Udyam / MSME</w:t>
            </w:r>
          </w:p>
        </w:tc>
        <w:tc>
          <w:tcPr>
            <w:tcW w:type="dxa" w:w="36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Proof of compliance; auto-attached to bids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Bank Accounts</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Bank name, account no., IFSC, purpose (EMD, receivables, payroll)</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Used for EMD transfers, receivables and payouts</w:t>
            </w:r>
          </w:p>
        </w:tc>
      </w:tr>
      <w:tr>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Certifications</w:t>
            </w:r>
          </w:p>
        </w:tc>
        <w:tc>
          <w:tcPr>
            <w:tcW w:type="dxa" w:w="3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ISO 9001/27001, CMMI, NSIC, Startup India, domain-specific accreditations with validity dates</w:t>
            </w:r>
          </w:p>
        </w:tc>
        <w:tc>
          <w:tcPr>
            <w:tcW w:type="dxa" w:w="36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Eligibility evidence for tenders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Empanelments</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Agency name, category, empanelment no., validity, rate contract reference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Enables direct / nomination-based orders</w:t>
            </w:r>
          </w:p>
        </w:tc>
      </w:tr>
      <w:tr>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Signatories &amp; DSCs</w:t>
            </w:r>
          </w:p>
        </w:tc>
        <w:tc>
          <w:tcPr>
            <w:tcW w:type="dxa" w:w="3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Name, designation, DSC serial, validity</w:t>
            </w:r>
          </w:p>
        </w:tc>
        <w:tc>
          <w:tcPr>
            <w:tcW w:type="dxa" w:w="36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Required for e-tender and e-sign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Directors / KMP</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Name, DIN, role, shareholding</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Required in bid affidavits and due diligence</w:t>
            </w:r>
          </w:p>
        </w:tc>
      </w:tr>
      <w:tr>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Turnover &amp; Net-worth</w:t>
            </w:r>
          </w:p>
        </w:tc>
        <w:tc>
          <w:tcPr>
            <w:tcW w:type="dxa" w:w="3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Financial year, turnover, net-worth, audited flag</w:t>
            </w:r>
          </w:p>
        </w:tc>
        <w:tc>
          <w:tcPr>
            <w:tcW w:type="dxa" w:w="36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Automatically populated in eligibility sheets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Past Performance</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title, client, order value, completion %, completion certificate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Source for similar-work experience clauses</w:t>
            </w:r>
          </w:p>
        </w:tc>
      </w:tr>
      <w:tr>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Business Units</w:t>
            </w:r>
          </w:p>
        </w:tc>
        <w:tc>
          <w:tcPr>
            <w:tcW w:type="dxa" w:w="3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 name, BU Head, description, cost centre, P&amp;L owner, default approvers</w:t>
            </w:r>
          </w:p>
        </w:tc>
        <w:tc>
          <w:tcPr>
            <w:tcW w:type="dxa" w:w="36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Every opportunity and project rolls up to a Business Unit; BU Head is accountable for BU outcomes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Departments &amp; Teams</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Department, reporting manager, cost centre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Drives roles, approvals and cost allocation</w:t>
            </w:r>
          </w:p>
        </w:tc>
      </w:tr>
      <w:tr>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Employees</w:t>
            </w:r>
          </w:p>
        </w:tc>
        <w:tc>
          <w:tcPr>
            <w:tcW w:type="dxa" w:w="3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Employee code, role, qualifications, CV, availability</w:t>
            </w:r>
          </w:p>
        </w:tc>
        <w:tc>
          <w:tcPr>
            <w:tcW w:type="dxa" w:w="36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Used in manpower deployment and CV submissions</w:t>
            </w:r>
          </w:p>
        </w:tc>
      </w:tr>
    </w:tbl>
    <w:p>
      <w:pPr>
        <w:spacing w:after="80" w:before="80"/>
      </w:pPr>
      <w:r>
        <w:t xml:space="preserve"/>
      </w:r>
    </w:p>
    <w:p>
      <w:pPr>
        <w:pStyle w:val="Heading2"/>
        <w:spacing w:after="140" w:before="280"/>
      </w:pPr>
      <w:r>
        <w:t xml:space="preserve">3.3 Key Functional Capabilities</w:t>
      </w:r>
    </w:p>
    <w:p>
      <w:pPr>
        <w:pStyle w:val="ListParagraph"/>
        <w:numPr>
          <w:ilvl w:val="0"/>
          <w:numId w:val="2"/>
        </w:numPr>
        <w:spacing w:after="40" w:before="40" w:line="280"/>
      </w:pPr>
      <w:r>
        <w:t xml:space="preserve">Expiry alerts for certifications, DSCs, bank guarantees and empanelments (90 / 60 / 30 days before validity ends)</w:t>
      </w:r>
    </w:p>
    <w:p>
      <w:pPr>
        <w:pStyle w:val="ListParagraph"/>
        <w:numPr>
          <w:ilvl w:val="0"/>
          <w:numId w:val="2"/>
        </w:numPr>
        <w:spacing w:after="40" w:before="40" w:line="280"/>
      </w:pPr>
      <w:r>
        <w:t xml:space="preserve">Auto-generation of an Eligibility Pack (turnover, net-worth, similar-work, certifications) for any tender</w:t>
      </w:r>
    </w:p>
    <w:p>
      <w:pPr>
        <w:pStyle w:val="ListParagraph"/>
        <w:numPr>
          <w:ilvl w:val="0"/>
          <w:numId w:val="2"/>
        </w:numPr>
        <w:spacing w:after="40" w:before="40" w:line="280"/>
      </w:pPr>
      <w:r>
        <w:t xml:space="preserve">Document vault with version control for audited statements, CA certificates, PAN, GSTIN copies</w:t>
      </w:r>
    </w:p>
    <w:p>
      <w:pPr>
        <w:pStyle w:val="ListParagraph"/>
        <w:numPr>
          <w:ilvl w:val="0"/>
          <w:numId w:val="2"/>
        </w:numPr>
        <w:spacing w:after="40" w:before="40" w:line="280"/>
      </w:pPr>
      <w:r>
        <w:t xml:space="preserve">Digital locker for DSCs with access logs per usage</w:t>
      </w:r>
    </w:p>
    <w:p>
      <w:pPr>
        <w:pStyle w:val="ListParagraph"/>
        <w:numPr>
          <w:ilvl w:val="0"/>
          <w:numId w:val="2"/>
        </w:numPr>
        <w:spacing w:after="40" w:before="40" w:line="280"/>
      </w:pPr>
      <w:r>
        <w:t xml:space="preserve">Employee CV repository with search by skill, qualification and years of experience to build manpower schedules quickly</w:t>
      </w:r>
    </w:p>
    <w:p>
      <w:pPr>
        <w:pStyle w:val="Heading2"/>
        <w:spacing w:after="140" w:before="280"/>
      </w:pPr>
      <w:r>
        <w:t xml:space="preserve">3.4 Business Unit Structure</w:t>
      </w:r>
    </w:p>
    <w:p>
      <w:pPr>
        <w:spacing w:after="80" w:before="80" w:line="300"/>
        <w:jc w:val="both"/>
      </w:pPr>
      <w:r>
        <w:t xml:space="preserve">The company is organized into one or more Business Units (BUs), each led by a BU Head. A Business Unit typically represents a practice area, geography, or vertical (e.g., Smart Cities, Defence, e-Governance). Every Opportunity, Project, Expense Sheet and Material Request in the system is tagged to exactly one BU, which drives approval routing, budget ownership and portfolio reporting. The BU Head has read access across all records in their BU and is the default second-level approver above Project Managers and Sales Managers.</w:t>
      </w:r>
    </w:p>
    <w:p>
      <w:pPr>
        <w:pStyle w:val="Heading2"/>
        <w:spacing w:after="140" w:before="280"/>
      </w:pPr>
      <w:r>
        <w:t xml:space="preserve">3.5 Access &amp; Governance</w:t>
      </w:r>
    </w:p>
    <w:p>
      <w:pPr>
        <w:spacing w:after="80" w:before="80" w:line="300"/>
        <w:jc w:val="both"/>
      </w:pPr>
      <w:r>
        <w:t xml:space="preserve">Write access restricted to the Compliance Officer and Super Admin. All other roles consume the data through read-only views and auto-populated bid forms. Every change is versioned, time-stamped and requires reason-for-change on financial or statutory attributes.</w:t>
      </w:r>
    </w:p>
    <w:p>
      <w:r>
        <w:br w:type="page"/>
      </w:r>
    </w:p>
    <w:p>
      <w:pPr>
        <w:pStyle w:val="Heading1"/>
        <w:spacing w:after="180" w:before="360"/>
      </w:pPr>
      <w:r>
        <w:t xml:space="preserve">4. Module 2 — Sales Team</w:t>
      </w:r>
    </w:p>
    <w:p>
      <w:pPr>
        <w:pStyle w:val="Heading2"/>
        <w:spacing w:after="140" w:before="280"/>
      </w:pPr>
      <w:r>
        <w:t xml:space="preserve">4.1 Objective</w:t>
      </w:r>
    </w:p>
    <w:p>
      <w:pPr>
        <w:spacing w:after="80" w:before="80" w:line="300"/>
        <w:jc w:val="both"/>
      </w:pPr>
      <w:r>
        <w:t xml:space="preserve">Manage the complete pre-award lifecycle of government opportunities, supporting both proactive Managed Tenders (where the company engages the department upstream and helps shape the DPR and RFP) and reactive Standard Tenders (competitive bids on published tenders). The module also covers direct solution proposals, rate contracts and empanelment-based orders, and quantifies the total Cost of Sale incurred to pursue each opportunity so that win-rate and profitability analyses are based on true economics. Every opportunity is tagged to a Business Unit, giving the BU Head real-time visibility of pipeline and pursuit cost for their unit.</w:t>
      </w:r>
    </w:p>
    <w:p>
      <w:pPr>
        <w:pStyle w:val="Heading2"/>
        <w:spacing w:after="140" w:before="280"/>
      </w:pPr>
      <w:r>
        <w:t xml:space="preserve">4.2 Government Sales Workflows</w:t>
      </w:r>
    </w:p>
    <w:p>
      <w:pPr>
        <w:spacing w:after="80" w:before="80" w:line="300"/>
        <w:jc w:val="both"/>
      </w:pPr>
      <w:r>
        <w:t xml:space="preserve">Government business reaches the company through two very different pathways. A Managed Tender is shaped upstream — the team engages the department early, influences the Detailed Project Report (DPR), and enters the tender with a strong strategic position. A Standard Tender begins when a procurement document is already in the market and the company competes reactively. The system supports both, and any Managed-Tender record can link directly into the Standard Tender workflow once the RFP is released.</w:t>
      </w:r>
    </w:p>
    <w:p>
      <w:pPr>
        <w:pStyle w:val="Heading3"/>
        <w:spacing w:after="100" w:before="220"/>
      </w:pPr>
      <w:r>
        <w:t xml:space="preserve">4.2.1 Managed Tenders (Upstream / Pre-Tender)</w:t>
      </w:r>
    </w:p>
    <w:p>
      <w:pPr>
        <w:spacing w:after="80" w:before="80" w:line="300"/>
        <w:jc w:val="both"/>
      </w:pPr>
      <w:r>
        <w:t xml:space="preserve">The Managed Tenders flow captures proactive business development that occurs before a tender exists. It is especially relevant for large, scheme-based or transformation projects where the company aspires to be the Master System Integrator or to co-shape scope with the user department. Each stage is tracked as its own record with stakeholders, documents and next actions, and the final RFP-prepared stage automatically seeds a Standard Tender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3360"/>
        <w:gridCol w:w="200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Stage</w:t>
            </w:r>
          </w:p>
        </w:tc>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Trigger / Timing</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Key Activities</w:t>
            </w:r>
          </w:p>
        </w:tc>
        <w:tc>
          <w:tcPr>
            <w:tcW w:type="dxa" w:w="2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Exit Criteria</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M1. Initiate with Department</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Strategic account identification; no tender in market yet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First meeting with department head / secretary; position capability; understand departmental priorities and upcoming schemes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Department open to engagement; follow-up agreed</w:t>
            </w:r>
          </w:p>
        </w:tc>
      </w:tr>
      <w:tr>
        <w:tc>
          <w:tcPr>
            <w:tcW w:type="dxa" w:w="21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M2. Identify Key Stakeholders</w:t>
            </w:r>
          </w:p>
        </w:tc>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Post initial engagement</w:t>
            </w:r>
          </w:p>
        </w:tc>
        <w:tc>
          <w:tcPr>
            <w:tcW w:type="dxa" w:w="33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Map decision chain — Secretary, Mission Director, Technical Committee, Finance, End-Users; record influence and attitude</w:t>
            </w:r>
          </w:p>
        </w:tc>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Stakeholder map documented in CRM</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M3. Demo or Presentation</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Stakeholders identified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Capability deck, product demo, reference-site visits, workshops with technical committee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Department expresses interest in a formal proposal</w:t>
            </w:r>
          </w:p>
        </w:tc>
      </w:tr>
      <w:tr>
        <w:tc>
          <w:tcPr>
            <w:tcW w:type="dxa" w:w="21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M4. Identify Master SI</w:t>
            </w:r>
          </w:p>
        </w:tc>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When project scope or eligibility exceeds own capability</w:t>
            </w:r>
          </w:p>
        </w:tc>
        <w:tc>
          <w:tcPr>
            <w:tcW w:type="dxa" w:w="33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Evaluate potential Master System Integrators; MoU / consortium agreement; define role split (Master SI vs OEM vs implementation partner)</w:t>
            </w:r>
          </w:p>
        </w:tc>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Partnering model and role finalised</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M5. Submit DPR &amp; Proposal</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Department requests a Detailed Project Report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Prepare DPR covering scope, architecture, cost estimate, timeline, outcomes and benefits; submit officially</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DPR and proposal submitted to the department</w:t>
            </w:r>
          </w:p>
        </w:tc>
      </w:tr>
      <w:tr>
        <w:tc>
          <w:tcPr>
            <w:tcW w:type="dxa" w:w="21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M6. DPR Approved</w:t>
            </w:r>
          </w:p>
        </w:tc>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Department / competent authority review</w:t>
            </w:r>
          </w:p>
        </w:tc>
        <w:tc>
          <w:tcPr>
            <w:tcW w:type="dxa" w:w="33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Address queries and revisions; obtain budget approval; inclusion in annual plan or scheme</w:t>
            </w:r>
          </w:p>
        </w:tc>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DPR approved; budget sanctioned</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M7. RFP Prepared</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Approved DPR moves to procurement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Support department in preparing RFP (scope, eligibility, evaluation criteria); ensure specs align with capabilities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RFP published → flows into Standard Tender Process</w:t>
            </w:r>
          </w:p>
        </w:tc>
      </w:tr>
    </w:tbl>
    <w:p>
      <w:pPr>
        <w:spacing w:after="80" w:before="80"/>
      </w:pPr>
      <w:r>
        <w:t xml:space="preserve"/>
      </w:r>
    </w:p>
    <w:p>
      <w:pPr>
        <w:pStyle w:val="ListParagraph"/>
        <w:numPr>
          <w:ilvl w:val="0"/>
          <w:numId w:val="2"/>
        </w:numPr>
        <w:spacing w:after="40" w:before="40" w:line="280"/>
      </w:pPr>
      <w:r>
        <w:t xml:space="preserve">Stakeholder CRM built into the flow — records designation, influence, sentiment and interaction history</w:t>
      </w:r>
    </w:p>
    <w:p>
      <w:pPr>
        <w:pStyle w:val="ListParagraph"/>
        <w:numPr>
          <w:ilvl w:val="0"/>
          <w:numId w:val="2"/>
        </w:numPr>
        <w:spacing w:after="40" w:before="40" w:line="280"/>
      </w:pPr>
      <w:r>
        <w:t xml:space="preserve">DPR repository with version control, supporting documents, cost model and review comments</w:t>
      </w:r>
    </w:p>
    <w:p>
      <w:pPr>
        <w:pStyle w:val="ListParagraph"/>
        <w:numPr>
          <w:ilvl w:val="0"/>
          <w:numId w:val="2"/>
        </w:numPr>
        <w:spacing w:after="40" w:before="40" w:line="280"/>
      </w:pPr>
      <w:r>
        <w:t xml:space="preserve">Master SI / Consortium tracker with role split, revenue share and compliance obligations</w:t>
      </w:r>
    </w:p>
    <w:p>
      <w:pPr>
        <w:pStyle w:val="ListParagraph"/>
        <w:numPr>
          <w:ilvl w:val="0"/>
          <w:numId w:val="2"/>
        </w:numPr>
        <w:spacing w:after="40" w:before="40" w:line="280"/>
      </w:pPr>
      <w:r>
        <w:t xml:space="preserve">Pipeline view of Managed Tenders by department, estimated value and expected RFP date</w:t>
      </w:r>
    </w:p>
    <w:p>
      <w:pPr>
        <w:pStyle w:val="ListParagraph"/>
        <w:numPr>
          <w:ilvl w:val="0"/>
          <w:numId w:val="2"/>
        </w:numPr>
        <w:spacing w:after="40" w:before="40" w:line="280"/>
      </w:pPr>
      <w:r>
        <w:t xml:space="preserve">When stage M7 is marked complete, an Opportunity record in the Standard Tender Process is auto-created and linked, preserving all upstream artefacts</w:t>
      </w:r>
    </w:p>
    <w:p>
      <w:pPr>
        <w:pStyle w:val="Heading3"/>
        <w:spacing w:after="100" w:before="220"/>
      </w:pPr>
      <w:r>
        <w:t xml:space="preserve">4.2.2 Standard Tender Process</w:t>
      </w:r>
    </w:p>
    <w:p>
      <w:pPr>
        <w:spacing w:after="80" w:before="80" w:line="300"/>
        <w:jc w:val="both"/>
      </w:pPr>
      <w:r>
        <w:t xml:space="preserve">The standard workflow covers the eight post-RFP stages, from opportunity capture through award or loss. It is used for every competitive bid, whether the opportunity was managed upstream or simply discovered on a portal. Each stage has defined entry and exit criteria, role-based tasks, and digital artefacts that are preserved for audit and institutional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560"/>
        <w:gridCol w:w="20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Stage</w:t>
            </w:r>
          </w:p>
        </w:tc>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Trigger</w:t>
            </w:r>
          </w:p>
        </w:tc>
        <w:tc>
          <w:tcPr>
            <w:tcW w:type="dxa" w:w="3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Key Activities</w:t>
            </w:r>
          </w:p>
        </w:tc>
        <w:tc>
          <w:tcPr>
            <w:tcW w:type="dxa" w:w="2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Exit Criteria</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1. Opportunity Capture</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Tender published / lead received / RFI issued / Managed-Tender RFP released</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Import tender from portal, attach RFP, classify domain, link upstream Managed-Tender record if applicable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Opportunity logged with unique ID</w:t>
            </w:r>
          </w:p>
        </w:tc>
      </w:tr>
      <w:tr>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2. Go / No-Go</w:t>
            </w:r>
          </w:p>
        </w:tc>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Opportunity logged</w:t>
            </w:r>
          </w:p>
        </w:tc>
        <w:tc>
          <w:tcPr>
            <w:tcW w:type="dxa" w:w="35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Eligibility check, conflict check, capability fit</w:t>
            </w:r>
          </w:p>
        </w:tc>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Go decision with sign-off</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3. Pre-Bid</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Go decision</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Pre-bid queries, site visits, partner tie-ups, MoU / consortium</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Final bid strategy approved</w:t>
            </w:r>
          </w:p>
        </w:tc>
      </w:tr>
      <w:tr>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4. Solution &amp; Proposal</w:t>
            </w:r>
          </w:p>
        </w:tc>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Pre-bid closed</w:t>
            </w:r>
          </w:p>
        </w:tc>
        <w:tc>
          <w:tcPr>
            <w:tcW w:type="dxa" w:w="35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Technical solution, BoQ, pricing model, compliance matrix</w:t>
            </w:r>
          </w:p>
        </w:tc>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Internal proposal review complete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5. Bid Submission</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Proposal approved</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EMD / Bid Security, DSC signing, e-submission, physical copies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Bid submitted before deadline</w:t>
            </w:r>
          </w:p>
        </w:tc>
      </w:tr>
      <w:tr>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6. Bid Evaluation</w:t>
            </w:r>
          </w:p>
        </w:tc>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Tender opened</w:t>
            </w:r>
          </w:p>
        </w:tc>
        <w:tc>
          <w:tcPr>
            <w:tcW w:type="dxa" w:w="35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Three sub-stages — Pre-Qualification, Technical Evaluation, Financial Evaluation (see §4.4)</w:t>
            </w:r>
          </w:p>
        </w:tc>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Evaluation outcome captured</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7. Award</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LoI / Work Order issued</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Acceptance, PBG, agreement signing, kick-off handover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handed over to Execution Team</w:t>
            </w:r>
          </w:p>
        </w:tc>
      </w:tr>
      <w:tr>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8. Loss / No-Award</w:t>
            </w:r>
          </w:p>
        </w:tc>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Bid lost, cancelled or retendered</w:t>
            </w:r>
          </w:p>
        </w:tc>
        <w:tc>
          <w:tcPr>
            <w:tcW w:type="dxa" w:w="35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Loss reasons, competitor pricing, learnings captured</w:t>
            </w:r>
          </w:p>
        </w:tc>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Opportunity closed with analytics tag</w:t>
            </w:r>
          </w:p>
        </w:tc>
      </w:tr>
    </w:tbl>
    <w:p>
      <w:pPr>
        <w:spacing w:after="80" w:before="80"/>
      </w:pPr>
      <w:r>
        <w:t xml:space="preserve"/>
      </w:r>
    </w:p>
    <w:p>
      <w:pPr>
        <w:pStyle w:val="Heading2"/>
        <w:spacing w:after="140" w:before="280"/>
      </w:pPr>
      <w:r>
        <w:t xml:space="preserve">4.3 Alternate Starting Points</w:t>
      </w:r>
    </w:p>
    <w:p>
      <w:pPr>
        <w:spacing w:after="80" w:before="80" w:line="300"/>
        <w:jc w:val="both"/>
      </w:pPr>
      <w:r>
        <w:t xml:space="preserve">The system supports five entry paths so that users can drop into the pipeline at whatever point the real opportunity actually begins — from the earliest department conversation to a ready-to-order rate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960"/>
        <w:gridCol w:w="24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Entry Path</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When Used</w:t>
            </w:r>
          </w:p>
        </w:tc>
        <w:tc>
          <w:tcPr>
            <w:tcW w:type="dxa" w:w="1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Upstream Stages</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Downstream Stages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 Managed Tender (Full Upstream)</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Proactive pursuit; project shaped with department pre-RFP</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Managed Stages M1–M7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All Standard Stages 1–8 applicable</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 Standard Tender Flow</w:t>
            </w:r>
          </w:p>
        </w:tc>
        <w:tc>
          <w:tcPr>
            <w:tcW w:type="dxa" w:w="2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Competitive bid on an open tender; no prior department engagement</w:t>
            </w:r>
          </w:p>
        </w:tc>
        <w:tc>
          <w:tcPr>
            <w:tcW w:type="dxa" w:w="1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All Standard Stages 1–8 applicable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 Start from Active Tenders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Tender already scraped / uploaded in system</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Stage 1 auto-created; begins at Go / No-Go</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 Start from Solution Proposal</w:t>
            </w:r>
          </w:p>
        </w:tc>
        <w:tc>
          <w:tcPr>
            <w:tcW w:type="dxa" w:w="2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Unsolicited proposal, nomination, empanelment-based order</w:t>
            </w:r>
          </w:p>
        </w:tc>
        <w:tc>
          <w:tcPr>
            <w:tcW w:type="dxa" w:w="1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Stages 3, 5 &amp; 6 skipped; goes Capture → Solution → Award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 Rate Contract / GeM Direct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Purchase against pre-empanelled rate contract</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Jumps from Capture to Award; only commercial confirmation needed</w:t>
            </w:r>
          </w:p>
        </w:tc>
      </w:tr>
    </w:tbl>
    <w:p>
      <w:pPr>
        <w:spacing w:after="80" w:before="80"/>
      </w:pPr>
      <w:r>
        <w:t xml:space="preserve"/>
      </w:r>
    </w:p>
    <w:p>
      <w:pPr>
        <w:pStyle w:val="Heading3"/>
        <w:spacing w:after="100" w:before="220"/>
      </w:pPr>
      <w:r>
        <w:t xml:space="preserve">4.3.1 Path A — Managed Tender (Full Upstream)</w:t>
      </w:r>
    </w:p>
    <w:p>
      <w:pPr>
        <w:spacing w:after="80" w:before="80" w:line="300"/>
        <w:jc w:val="both"/>
      </w:pPr>
      <w:r>
        <w:t xml:space="preserve">Used when the company identifies an opportunity before it reaches the market and invests in shaping it. The record begins at Managed Stage M1 (Initiate with Department) and progresses through all seven upstream stages. On RFP publication, the linked Standard Opportunity is activated and the team continues from Stage 1 — Opportunity Capture — without re-entering data.</w:t>
      </w:r>
    </w:p>
    <w:p>
      <w:pPr>
        <w:pStyle w:val="Heading3"/>
        <w:spacing w:after="100" w:before="220"/>
      </w:pPr>
      <w:r>
        <w:t xml:space="preserve">4.3.2 Path B — Standard Tender Flow</w:t>
      </w:r>
    </w:p>
    <w:p>
      <w:pPr>
        <w:spacing w:after="80" w:before="80" w:line="300"/>
        <w:jc w:val="both"/>
      </w:pPr>
      <w:r>
        <w:t xml:space="preserve">The conventional reactive flow for open tenders where the company did not engage upstream. Users start directly at Stage 1 — Opportunity Capture — and progress through all eight stages.</w:t>
      </w:r>
    </w:p>
    <w:p>
      <w:pPr>
        <w:pStyle w:val="Heading3"/>
        <w:spacing w:after="100" w:before="220"/>
      </w:pPr>
      <w:r>
        <w:t xml:space="preserve">4.3.3 Path C — Start from Active Tenders</w:t>
      </w:r>
    </w:p>
    <w:p>
      <w:pPr>
        <w:spacing w:after="80" w:before="80" w:line="300"/>
        <w:jc w:val="both"/>
      </w:pPr>
      <w:r>
        <w:t xml:space="preserve">A curated list of Active Tenders (imported automatically from GeM / CPPP feeds or uploaded manually) is always available. A user can convert any active tender into an Opportunity with a single click, inheriting tender metadata, eligibility criteria, timelines and attachments. No prior lead or Managed-Tender record is required.</w:t>
      </w:r>
    </w:p>
    <w:p>
      <w:pPr>
        <w:pStyle w:val="Heading3"/>
        <w:spacing w:after="100" w:before="220"/>
      </w:pPr>
      <w:r>
        <w:t xml:space="preserve">4.3.4 Path D — Start from a Solution Proposal</w:t>
      </w:r>
    </w:p>
    <w:p>
      <w:pPr>
        <w:spacing w:after="80" w:before="80" w:line="300"/>
        <w:jc w:val="both"/>
      </w:pPr>
      <w:r>
        <w:t xml:space="preserve">For nominated work, unsolicited proposals, or opportunities sourced through empanelment and client relationships, users can create an Opportunity directly in the "Solution &amp; Proposal" stage. Tender-specific stages such as Pre-Bid, Bid Submission and Bid Evaluation are skipped; the workflow routes from Capture → Solution → Award.</w:t>
      </w:r>
    </w:p>
    <w:p>
      <w:pPr>
        <w:pStyle w:val="Heading3"/>
        <w:spacing w:after="100" w:before="220"/>
      </w:pPr>
      <w:r>
        <w:t xml:space="preserve">4.3.5 Path E — Rate Contract / GeM Direct</w:t>
      </w:r>
    </w:p>
    <w:p>
      <w:pPr>
        <w:spacing w:after="80" w:before="80" w:line="300"/>
        <w:jc w:val="both"/>
      </w:pPr>
      <w:r>
        <w:t xml:space="preserve">For purchases placed against an existing rate contract or GeM direct order, the workflow collapses to Capture followed by Award, with only commercial confirmation and order acceptance in between.</w:t>
      </w:r>
    </w:p>
    <w:p>
      <w:pPr>
        <w:pStyle w:val="Heading2"/>
        <w:spacing w:after="140" w:before="280"/>
      </w:pPr>
      <w:r>
        <w:t xml:space="preserve">4.4 Bid Evaluation Sub-stages</w:t>
      </w:r>
    </w:p>
    <w:p>
      <w:pPr>
        <w:spacing w:after="80" w:before="80" w:line="300"/>
        <w:jc w:val="both"/>
      </w:pPr>
      <w:r>
        <w:t xml:space="preserve">Government tender evaluation is a structured, multi-envelope process. Stage 6 of the Standard Tender Process is therefore broken into three sequential sub-stages. Each sub-stage has distinct documents, participants and outcomes, and the system maintains a separate timeline, comment thread and evidence pack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600"/>
        <w:gridCol w:w="206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Sub-stage</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Description</w:t>
            </w:r>
          </w:p>
        </w:tc>
        <w:tc>
          <w:tcPr>
            <w:tcW w:type="dxa" w:w="2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Typical Criteria</w:t>
            </w:r>
          </w:p>
        </w:tc>
        <w:tc>
          <w:tcPr>
            <w:tcW w:type="dxa" w:w="20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Outcome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6a. Pre-Qualification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Opening of technical bid envelope to verify statutory and eligibility compliance</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Turnover, net-worth, similar-work experience, certifications, legal documents, DSC validity, EMD submitted</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Shortlist of pre-qualified bidders</w:t>
            </w:r>
          </w:p>
        </w:tc>
      </w:tr>
      <w:tr>
        <w:tc>
          <w:tcPr>
            <w:tcW w:type="dxa" w:w="1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6b. Technical Evaluation</w:t>
            </w:r>
          </w:p>
        </w:tc>
        <w:tc>
          <w:tcPr>
            <w:tcW w:type="dxa" w:w="2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Detailed evaluation of the technical solution by the Technical Evaluation Committee (TEC)</w:t>
            </w:r>
          </w:p>
        </w:tc>
        <w:tc>
          <w:tcPr>
            <w:tcW w:type="dxa" w:w="26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Solution architecture, approach &amp; methodology, team CVs, compliance matrix, presentations, POC / demo</w:t>
            </w:r>
          </w:p>
        </w:tc>
        <w:tc>
          <w:tcPr>
            <w:tcW w:type="dxa" w:w="20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Technically-qualified bidders (typically must clear a cut-off score)</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6c. Financial Evaluation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Opening of financial bids of technically-qualified bidders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BoQ pricing, QCBS / L1 scoring, rate reasonableness, arithmetical corrections</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L1 / highest composite-score bidder identified; award recommendation</w:t>
            </w:r>
          </w:p>
        </w:tc>
      </w:tr>
    </w:tbl>
    <w:p>
      <w:pPr>
        <w:spacing w:after="80" w:before="80"/>
      </w:pPr>
      <w:r>
        <w:t xml:space="preserve"/>
      </w:r>
    </w:p>
    <w:p>
      <w:pPr>
        <w:pStyle w:val="Heading3"/>
        <w:spacing w:after="100" w:before="220"/>
      </w:pPr>
      <w:r>
        <w:t xml:space="preserve">4.4.1 Sub-stage Features</w:t>
      </w:r>
    </w:p>
    <w:p>
      <w:pPr>
        <w:pStyle w:val="ListParagraph"/>
        <w:numPr>
          <w:ilvl w:val="0"/>
          <w:numId w:val="2"/>
        </w:numPr>
        <w:spacing w:after="40" w:before="40" w:line="280"/>
      </w:pPr>
      <w:r>
        <w:t xml:space="preserve">Pre-Qualification checklist auto-populated from the Organization Details module — turnover, net-worth, similar-work evidence and certifications are pulled directly</w:t>
      </w:r>
    </w:p>
    <w:p>
      <w:pPr>
        <w:pStyle w:val="ListParagraph"/>
        <w:numPr>
          <w:ilvl w:val="0"/>
          <w:numId w:val="2"/>
        </w:numPr>
        <w:spacing w:after="40" w:before="40" w:line="280"/>
      </w:pPr>
      <w:r>
        <w:t xml:space="preserve">Technical Evaluation scorecard captures criterion-wise marks allocated by the Technical Evaluation Committee; presentations, clarifications and POC artefacts are versioned</w:t>
      </w:r>
    </w:p>
    <w:p>
      <w:pPr>
        <w:pStyle w:val="ListParagraph"/>
        <w:numPr>
          <w:ilvl w:val="0"/>
          <w:numId w:val="2"/>
        </w:numPr>
        <w:spacing w:after="40" w:before="40" w:line="280"/>
      </w:pPr>
      <w:r>
        <w:t xml:space="preserve">Financial Evaluation records the BoQ submitted, arithmetical corrections, comparative statement and final L1 ranking; QCBS weightage (technical vs financial) is configurable per tender</w:t>
      </w:r>
    </w:p>
    <w:p>
      <w:pPr>
        <w:pStyle w:val="ListParagraph"/>
        <w:numPr>
          <w:ilvl w:val="0"/>
          <w:numId w:val="2"/>
        </w:numPr>
        <w:spacing w:after="40" w:before="40" w:line="280"/>
      </w:pPr>
      <w:r>
        <w:t xml:space="preserve">Stage-gating — a bid cannot advance to a subsequent sub-stage until the preceding one is formally closed by the Bid Manager</w:t>
      </w:r>
    </w:p>
    <w:p>
      <w:pPr>
        <w:pStyle w:val="ListParagraph"/>
        <w:numPr>
          <w:ilvl w:val="0"/>
          <w:numId w:val="2"/>
        </w:numPr>
        <w:spacing w:after="40" w:before="40" w:line="280"/>
      </w:pPr>
      <w:r>
        <w:t xml:space="preserve">Clarification log with client queries and company responses, timestamped and attributed</w:t>
      </w:r>
    </w:p>
    <w:p>
      <w:r>
        <w:br w:type="page"/>
      </w:r>
    </w:p>
    <w:p>
      <w:pPr>
        <w:pStyle w:val="Heading2"/>
        <w:spacing w:after="140" w:before="280"/>
      </w:pPr>
      <w:r>
        <w:t xml:space="preserve">4.5 Cost of Sale Tracking</w:t>
      </w:r>
    </w:p>
    <w:p>
      <w:pPr>
        <w:spacing w:after="80" w:before="80" w:line="300"/>
        <w:jc w:val="both"/>
      </w:pPr>
      <w:r>
        <w:t xml:space="preserve">Every rupee spent to pursue an opportunity — whether or not the bid is won — is captured against that opportunity's unique ID, including costs incurred during the upstream Managed-Tender stages. This enables management to see the fully loaded cost of winning business and to identify tender categories, departments or engagement models that are unprofitable to pursue.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Category</w:t>
            </w:r>
          </w:p>
        </w:tc>
        <w:tc>
          <w:tcPr>
            <w:tcW w:type="dxa" w:w="4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Examples</w:t>
            </w:r>
          </w:p>
        </w:tc>
        <w:tc>
          <w:tcPr>
            <w:tcW w:type="dxa" w:w="24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Recoverable?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Tender Fees</w:t>
            </w:r>
          </w:p>
        </w:tc>
        <w:tc>
          <w:tcPr>
            <w:tcW w:type="dxa" w:w="4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Document fee, processing fee on portal</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Non-recoverable</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Bid Security / EMD</w:t>
            </w:r>
          </w:p>
        </w:tc>
        <w:tc>
          <w:tcPr>
            <w:tcW w:type="dxa" w:w="4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EMD deposit, BG charges, FDR interest loss</w:t>
            </w:r>
          </w:p>
        </w:tc>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Refundable on bid closure; cost = opportunity cost of capital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Pre-Bid Expenses</w:t>
            </w:r>
          </w:p>
        </w:tc>
        <w:tc>
          <w:tcPr>
            <w:tcW w:type="dxa" w:w="4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Site visits, travel, lodging, per-diem</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Non-recoverable</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Consulting &amp; Drafting</w:t>
            </w:r>
          </w:p>
        </w:tc>
        <w:tc>
          <w:tcPr>
            <w:tcW w:type="dxa" w:w="4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External consultants, legal opinion, translation</w:t>
            </w:r>
          </w:p>
        </w:tc>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Non-recoverable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Partner &amp; Consortium</w:t>
            </w:r>
          </w:p>
        </w:tc>
        <w:tc>
          <w:tcPr>
            <w:tcW w:type="dxa" w:w="4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MoU stamp duty, due diligence fees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Non-recoverable</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Marketing &amp; Outreach</w:t>
            </w:r>
          </w:p>
        </w:tc>
        <w:tc>
          <w:tcPr>
            <w:tcW w:type="dxa" w:w="4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Conferences, events, client engagement</w:t>
            </w:r>
          </w:p>
        </w:tc>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Non-recoverable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Internal Effort</w:t>
            </w:r>
          </w:p>
        </w:tc>
        <w:tc>
          <w:tcPr>
            <w:tcW w:type="dxa" w:w="4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Timesheet effort × blended rate (pre-sales, solutioning, bid mgmt)</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Allocated as overhead</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Samples / POC</w:t>
            </w:r>
          </w:p>
        </w:tc>
        <w:tc>
          <w:tcPr>
            <w:tcW w:type="dxa" w:w="4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Hardware loaned, software licences for demo</w:t>
            </w:r>
          </w:p>
        </w:tc>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Usually non-recoverable</w:t>
            </w:r>
          </w:p>
        </w:tc>
      </w:tr>
    </w:tbl>
    <w:p>
      <w:pPr>
        <w:spacing w:after="80" w:before="80"/>
      </w:pPr>
      <w:r>
        <w:t xml:space="preserve"/>
      </w:r>
    </w:p>
    <w:p>
      <w:pPr>
        <w:pStyle w:val="Heading3"/>
        <w:spacing w:after="100" w:before="220"/>
      </w:pPr>
      <w:r>
        <w:t xml:space="preserve">4.5.1 Expense Capture Mechanism</w:t>
      </w:r>
    </w:p>
    <w:p>
      <w:pPr>
        <w:pStyle w:val="ListParagraph"/>
        <w:numPr>
          <w:ilvl w:val="0"/>
          <w:numId w:val="2"/>
        </w:numPr>
        <w:spacing w:after="40" w:before="40" w:line="280"/>
      </w:pPr>
      <w:r>
        <w:t xml:space="preserve">Expense entry from web and mobile with receipt / bill upload</w:t>
      </w:r>
    </w:p>
    <w:p>
      <w:pPr>
        <w:pStyle w:val="ListParagraph"/>
        <w:numPr>
          <w:ilvl w:val="0"/>
          <w:numId w:val="2"/>
        </w:numPr>
        <w:spacing w:after="40" w:before="40" w:line="280"/>
      </w:pPr>
      <w:r>
        <w:t xml:space="preserve">Category picker, vendor master, GST split, payment mode, approver workflow</w:t>
      </w:r>
    </w:p>
    <w:p>
      <w:pPr>
        <w:pStyle w:val="ListParagraph"/>
        <w:numPr>
          <w:ilvl w:val="0"/>
          <w:numId w:val="2"/>
        </w:numPr>
        <w:spacing w:after="40" w:before="40" w:line="280"/>
      </w:pPr>
      <w:r>
        <w:t xml:space="preserve">Automatic effort-based costing: timesheet hours × role rate card, posted nightly</w:t>
      </w:r>
    </w:p>
    <w:p>
      <w:pPr>
        <w:pStyle w:val="ListParagraph"/>
        <w:numPr>
          <w:ilvl w:val="0"/>
          <w:numId w:val="2"/>
        </w:numPr>
        <w:spacing w:after="40" w:before="40" w:line="280"/>
      </w:pPr>
      <w:r>
        <w:t xml:space="preserve">EMD / BG tracker — principal, charges, maturity and refund status</w:t>
      </w:r>
    </w:p>
    <w:p>
      <w:pPr>
        <w:pStyle w:val="ListParagraph"/>
        <w:numPr>
          <w:ilvl w:val="0"/>
          <w:numId w:val="2"/>
        </w:numPr>
        <w:spacing w:after="40" w:before="40" w:line="280"/>
      </w:pPr>
      <w:r>
        <w:t xml:space="preserve">Opportunity-level P&amp;L view: Cost of Sale vs Expected Value vs Probability-weighted Value</w:t>
      </w:r>
    </w:p>
    <w:p>
      <w:pPr>
        <w:pStyle w:val="ListParagraph"/>
        <w:numPr>
          <w:ilvl w:val="0"/>
          <w:numId w:val="2"/>
        </w:numPr>
        <w:spacing w:after="40" w:before="40" w:line="280"/>
      </w:pPr>
      <w:r>
        <w:t xml:space="preserve">Managed-Tender costs (travel, demo, DPR preparation, consulting) are tagged to the upstream record and carried forward when the Standard Opportunity is created</w:t>
      </w:r>
    </w:p>
    <w:p>
      <w:pPr>
        <w:pStyle w:val="Heading3"/>
        <w:spacing w:after="100" w:before="220"/>
      </w:pPr>
      <w:r>
        <w:t xml:space="preserve">4.5.2 Dashboards &amp; Controls</w:t>
      </w:r>
    </w:p>
    <w:p>
      <w:pPr>
        <w:pStyle w:val="ListParagraph"/>
        <w:numPr>
          <w:ilvl w:val="0"/>
          <w:numId w:val="2"/>
        </w:numPr>
        <w:spacing w:after="40" w:before="40" w:line="280"/>
      </w:pPr>
      <w:r>
        <w:t xml:space="preserve">Cost-per-Win (won Opp cost ÷ count of wins) and Cost-per-Pursued (all Opps) metrics</w:t>
      </w:r>
    </w:p>
    <w:p>
      <w:pPr>
        <w:pStyle w:val="ListParagraph"/>
        <w:numPr>
          <w:ilvl w:val="0"/>
          <w:numId w:val="2"/>
        </w:numPr>
        <w:spacing w:after="40" w:before="40" w:line="280"/>
      </w:pPr>
      <w:r>
        <w:t xml:space="preserve">Budget ceilings per Opportunity with approval required on over-run</w:t>
      </w:r>
    </w:p>
    <w:p>
      <w:pPr>
        <w:pStyle w:val="ListParagraph"/>
        <w:numPr>
          <w:ilvl w:val="0"/>
          <w:numId w:val="2"/>
        </w:numPr>
        <w:spacing w:after="40" w:before="40" w:line="280"/>
      </w:pPr>
      <w:r>
        <w:t xml:space="preserve">Loss-Cost Analysis — total Cost of Sale tied to lost opportunities by reason</w:t>
      </w:r>
    </w:p>
    <w:p>
      <w:pPr>
        <w:pStyle w:val="ListParagraph"/>
        <w:numPr>
          <w:ilvl w:val="0"/>
          <w:numId w:val="2"/>
        </w:numPr>
        <w:spacing w:after="40" w:before="40" w:line="280"/>
      </w:pPr>
      <w:r>
        <w:t xml:space="preserve">Managed-Tender ROI — cost incurred in upstream engagement vs contract value of resulting wins</w:t>
      </w:r>
    </w:p>
    <w:p>
      <w:r>
        <w:br w:type="page"/>
      </w:r>
    </w:p>
    <w:p>
      <w:pPr>
        <w:pStyle w:val="Heading1"/>
        <w:spacing w:after="180" w:before="360"/>
      </w:pPr>
      <w:r>
        <w:t xml:space="preserve">5. Module 3 — Project Execution Team</w:t>
      </w:r>
    </w:p>
    <w:p>
      <w:pPr>
        <w:pStyle w:val="Heading2"/>
        <w:spacing w:after="140" w:before="280"/>
      </w:pPr>
      <w:r>
        <w:t xml:space="preserve">5.1 Objective</w:t>
      </w:r>
    </w:p>
    <w:p>
      <w:pPr>
        <w:spacing w:after="80" w:before="80" w:line="300"/>
        <w:jc w:val="both"/>
      </w:pPr>
      <w:r>
        <w:t xml:space="preserve">Deliver awarded projects on scope, schedule and budget while maintaining real-time visibility of cost, inflow and cash flow. The module handles project planning at a high level, day-to-day task management through a Kanban board, and tight financial control through estimated-versus-actual tracking. Every project is tagged to a Business Unit; the BU Head is the senior accountable owner for execution outcomes within their unit and is the default second-level approver on budgets, expense sheets and material requests.</w:t>
      </w:r>
    </w:p>
    <w:p>
      <w:pPr>
        <w:pStyle w:val="Heading2"/>
        <w:spacing w:after="140" w:before="280"/>
      </w:pPr>
      <w:r>
        <w:t xml:space="preserve">5.2 Project Initiation &amp; Handover</w:t>
      </w:r>
    </w:p>
    <w:p>
      <w:pPr>
        <w:spacing w:after="80" w:before="80" w:line="300"/>
        <w:jc w:val="both"/>
      </w:pPr>
      <w:r>
        <w:t xml:space="preserve">When the Sales team marks an Opportunity as "Awarded", the system auto-creates a Project shell carrying forward the contract value, milestones, client details, compliance attachments and the solution-phase cost baseline. The Project Manager completes the Project Charter, confirms milestones and deliverables, and promotes the project from "Draft" to "Active".</w:t>
      </w:r>
    </w:p>
    <w:p>
      <w:pPr>
        <w:pStyle w:val="Heading2"/>
        <w:spacing w:after="140" w:before="280"/>
      </w:pPr>
      <w:r>
        <w:t xml:space="preserve">5.3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Entity</w:t>
            </w:r>
          </w:p>
        </w:tc>
        <w:tc>
          <w:tcPr>
            <w:tcW w:type="dxa" w:w="6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Key Attributes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Charter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ID, client, Work Order ref., contract value, start &amp; end dates, sponsor, PM</w:t>
            </w:r>
          </w:p>
        </w:tc>
      </w:tr>
      <w:tr>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Milestones</w:t>
            </w:r>
          </w:p>
        </w:tc>
        <w:tc>
          <w:tcPr>
            <w:tcW w:type="dxa" w:w="6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Milestone name, deliverable, planned date, % of contract value, status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WBS / Tasks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Task ID, parent, owner, estimate (hrs), start, end, dependency, status</w:t>
            </w:r>
          </w:p>
        </w:tc>
      </w:tr>
      <w:tr>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Kanban Board</w:t>
            </w:r>
          </w:p>
        </w:tc>
        <w:tc>
          <w:tcPr>
            <w:tcW w:type="dxa" w:w="6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Columns (Backlog, To Do, In Progress, Blocked, In Review, Done), WIP limits, swim-lanes by phase or workstream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Resource Plan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Employee, role, allocation %, start, end, billable flag</w:t>
            </w:r>
          </w:p>
        </w:tc>
      </w:tr>
      <w:tr>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Budget</w:t>
            </w:r>
          </w:p>
        </w:tc>
        <w:tc>
          <w:tcPr>
            <w:tcW w:type="dxa" w:w="6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Cost line, estimated cost, committed cost, actual cost, variance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Inflow Schedule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Milestone, invoice plan date, amount, GST, retention %</w:t>
            </w:r>
          </w:p>
        </w:tc>
      </w:tr>
      <w:tr>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Cash Flow</w:t>
            </w:r>
          </w:p>
        </w:tc>
        <w:tc>
          <w:tcPr>
            <w:tcW w:type="dxa" w:w="6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Period, opening balance, inflow, outflow, closing balance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Expense Log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Expense date, category, vendor, PO / bill no., amount, GST, approver, reimbursable flag</w:t>
            </w:r>
          </w:p>
        </w:tc>
      </w:tr>
      <w:tr>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Risks &amp; Issues</w:t>
            </w:r>
          </w:p>
        </w:tc>
        <w:tc>
          <w:tcPr>
            <w:tcW w:type="dxa" w:w="6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Risk ID, description, probability, impact, mitigation, owner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Bank Guarantees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PBG / retention, amount, issue date, validity, release status</w:t>
            </w:r>
          </w:p>
        </w:tc>
      </w:tr>
    </w:tbl>
    <w:p>
      <w:pPr>
        <w:spacing w:after="80" w:before="80"/>
      </w:pPr>
      <w:r>
        <w:t xml:space="preserve"/>
      </w:r>
    </w:p>
    <w:p>
      <w:pPr>
        <w:pStyle w:val="Heading2"/>
        <w:spacing w:after="140" w:before="280"/>
      </w:pPr>
      <w:r>
        <w:t xml:space="preserve">5.4 High-Level Project Plan</w:t>
      </w:r>
    </w:p>
    <w:p>
      <w:pPr>
        <w:spacing w:after="80" w:before="80" w:line="300"/>
        <w:jc w:val="both"/>
      </w:pPr>
      <w:r>
        <w:t xml:space="preserve">The plan is structured in two layers. The outer layer is a milestone-and-deliverable view aligned with the Work Order's payment schedule. The inner layer is a Work Breakdown Structure (WBS) that decomposes each milestone into phases, workstreams and tasks with dependencies, owners and estimates. Plans can be viewed as a timeline (Gantt), a milestone list, or a calendar, and are baselined on project start so that subsequent variance is always measurable.</w:t>
      </w:r>
    </w:p>
    <w:p>
      <w:pPr>
        <w:pStyle w:val="Heading3"/>
        <w:spacing w:after="100" w:before="220"/>
      </w:pPr>
      <w:r>
        <w:t xml:space="preserve">5.4.1 Planning Features</w:t>
      </w:r>
    </w:p>
    <w:p>
      <w:pPr>
        <w:pStyle w:val="ListParagraph"/>
        <w:numPr>
          <w:ilvl w:val="0"/>
          <w:numId w:val="2"/>
        </w:numPr>
        <w:spacing w:after="40" w:before="40" w:line="280"/>
      </w:pPr>
      <w:r>
        <w:t xml:space="preserve">Baseline vs current schedule with slippage in days</w:t>
      </w:r>
    </w:p>
    <w:p>
      <w:pPr>
        <w:pStyle w:val="ListParagraph"/>
        <w:numPr>
          <w:ilvl w:val="0"/>
          <w:numId w:val="2"/>
        </w:numPr>
        <w:spacing w:after="40" w:before="40" w:line="280"/>
      </w:pPr>
      <w:r>
        <w:t xml:space="preserve">Critical path highlighting</w:t>
      </w:r>
    </w:p>
    <w:p>
      <w:pPr>
        <w:pStyle w:val="ListParagraph"/>
        <w:numPr>
          <w:ilvl w:val="0"/>
          <w:numId w:val="2"/>
        </w:numPr>
        <w:spacing w:after="40" w:before="40" w:line="280"/>
      </w:pPr>
      <w:r>
        <w:t xml:space="preserve">Dependency management (FS, SS, FF, SF) with lag / lead</w:t>
      </w:r>
    </w:p>
    <w:p>
      <w:pPr>
        <w:pStyle w:val="ListParagraph"/>
        <w:numPr>
          <w:ilvl w:val="0"/>
          <w:numId w:val="2"/>
        </w:numPr>
        <w:spacing w:after="40" w:before="40" w:line="280"/>
      </w:pPr>
      <w:r>
        <w:t xml:space="preserve">Resource loading view with over-allocation warnings</w:t>
      </w:r>
    </w:p>
    <w:p>
      <w:pPr>
        <w:pStyle w:val="ListParagraph"/>
        <w:numPr>
          <w:ilvl w:val="0"/>
          <w:numId w:val="2"/>
        </w:numPr>
        <w:spacing w:after="40" w:before="40" w:line="280"/>
      </w:pPr>
      <w:r>
        <w:t xml:space="preserve">Milestone-to-Invoice mapping with retention and GST built in</w:t>
      </w:r>
    </w:p>
    <w:p>
      <w:pPr>
        <w:pStyle w:val="Heading2"/>
        <w:spacing w:after="140" w:before="280"/>
      </w:pPr>
      <w:r>
        <w:t xml:space="preserve">5.5 Task Management — Kanban</w:t>
      </w:r>
    </w:p>
    <w:p>
      <w:pPr>
        <w:spacing w:after="80" w:before="80" w:line="300"/>
        <w:jc w:val="both"/>
      </w:pPr>
      <w:r>
        <w:t xml:space="preserve">Day-to-day work is managed on a configurable Kanban board. Each task is a card that displays its title, owner, due date, effort remaining, and any blockers. Cards move from left to right across columns, and WIP limits protect the team from over-commitment.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Column</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Definition</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Entry Criteria</w:t>
            </w:r>
          </w:p>
        </w:tc>
        <w:tc>
          <w:tcPr>
            <w:tcW w:type="dxa" w:w="27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Exit Criteria</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Backlog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Identified but not yet scheduled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Task created with title and owner placeholder</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Estimates added, owner assigned</w:t>
            </w:r>
          </w:p>
        </w:tc>
      </w:tr>
      <w:tr>
        <w:tc>
          <w:tcPr>
            <w:tcW w:type="dxa" w:w="1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To Do</w:t>
            </w:r>
          </w:p>
        </w:tc>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Scheduled for current sprint / period</w:t>
            </w:r>
          </w:p>
        </w:tc>
        <w:tc>
          <w:tcPr>
            <w:tcW w:type="dxa" w:w="2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Estimate, owner and due date set</w:t>
            </w:r>
          </w:p>
        </w:tc>
        <w:tc>
          <w:tcPr>
            <w:tcW w:type="dxa" w:w="27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Owner starts work</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 Progress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Active work</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Owner pulls task</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Deliverable ready for review</w:t>
            </w:r>
          </w:p>
        </w:tc>
      </w:tr>
      <w:tr>
        <w:tc>
          <w:tcPr>
            <w:tcW w:type="dxa" w:w="1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Blocked</w:t>
            </w:r>
          </w:p>
        </w:tc>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Waiting on external dependency</w:t>
            </w:r>
          </w:p>
        </w:tc>
        <w:tc>
          <w:tcPr>
            <w:tcW w:type="dxa" w:w="2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Blocker reason captured</w:t>
            </w:r>
          </w:p>
        </w:tc>
        <w:tc>
          <w:tcPr>
            <w:tcW w:type="dxa" w:w="27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Blocker cleared</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 Review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Peer / client / QA review</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Deliverable uploaded</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Review approved</w:t>
            </w:r>
          </w:p>
        </w:tc>
      </w:tr>
      <w:tr>
        <w:tc>
          <w:tcPr>
            <w:tcW w:type="dxa" w:w="1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Done</w:t>
            </w:r>
          </w:p>
        </w:tc>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Accepted and closed</w:t>
            </w:r>
          </w:p>
        </w:tc>
        <w:tc>
          <w:tcPr>
            <w:tcW w:type="dxa" w:w="2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All review comments addressed</w:t>
            </w:r>
          </w:p>
        </w:tc>
        <w:tc>
          <w:tcPr>
            <w:tcW w:type="dxa" w:w="27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Task closed; actual hours posted</w:t>
            </w:r>
          </w:p>
        </w:tc>
      </w:tr>
    </w:tbl>
    <w:p>
      <w:pPr>
        <w:spacing w:after="80" w:before="80"/>
      </w:pPr>
      <w:r>
        <w:t xml:space="preserve"/>
      </w:r>
    </w:p>
    <w:p>
      <w:pPr>
        <w:pStyle w:val="Heading3"/>
        <w:spacing w:after="100" w:before="220"/>
      </w:pPr>
      <w:r>
        <w:t xml:space="preserve">5.5.1 Kanban Features</w:t>
      </w:r>
    </w:p>
    <w:p>
      <w:pPr>
        <w:pStyle w:val="ListParagraph"/>
        <w:numPr>
          <w:ilvl w:val="0"/>
          <w:numId w:val="2"/>
        </w:numPr>
        <w:spacing w:after="40" w:before="40" w:line="280"/>
      </w:pPr>
      <w:r>
        <w:t xml:space="preserve">Swim-lanes per phase, workstream or priority</w:t>
      </w:r>
    </w:p>
    <w:p>
      <w:pPr>
        <w:pStyle w:val="ListParagraph"/>
        <w:numPr>
          <w:ilvl w:val="0"/>
          <w:numId w:val="2"/>
        </w:numPr>
        <w:spacing w:after="40" w:before="40" w:line="280"/>
      </w:pPr>
      <w:r>
        <w:t xml:space="preserve">WIP limits per column with visual warnings</w:t>
      </w:r>
    </w:p>
    <w:p>
      <w:pPr>
        <w:pStyle w:val="ListParagraph"/>
        <w:numPr>
          <w:ilvl w:val="0"/>
          <w:numId w:val="2"/>
        </w:numPr>
        <w:spacing w:after="40" w:before="40" w:line="280"/>
      </w:pPr>
      <w:r>
        <w:t xml:space="preserve">Card filters by owner, label, milestone, due date, risk</w:t>
      </w:r>
    </w:p>
    <w:p>
      <w:pPr>
        <w:pStyle w:val="ListParagraph"/>
        <w:numPr>
          <w:ilvl w:val="0"/>
          <w:numId w:val="2"/>
        </w:numPr>
        <w:spacing w:after="40" w:before="40" w:line="280"/>
      </w:pPr>
      <w:r>
        <w:t xml:space="preserve">Checklists, sub-tasks, @mentions and activity log on each card</w:t>
      </w:r>
    </w:p>
    <w:p>
      <w:pPr>
        <w:pStyle w:val="ListParagraph"/>
        <w:numPr>
          <w:ilvl w:val="0"/>
          <w:numId w:val="2"/>
        </w:numPr>
        <w:spacing w:after="40" w:before="40" w:line="280"/>
      </w:pPr>
      <w:r>
        <w:t xml:space="preserve">Actual effort logged on card closure; rolls up to project actuals</w:t>
      </w:r>
    </w:p>
    <w:p>
      <w:pPr>
        <w:pStyle w:val="ListParagraph"/>
        <w:numPr>
          <w:ilvl w:val="0"/>
          <w:numId w:val="2"/>
        </w:numPr>
        <w:spacing w:after="40" w:before="40" w:line="280"/>
      </w:pPr>
      <w:r>
        <w:t xml:space="preserve">Board-level cycle-time and lead-time analytics</w:t>
      </w:r>
    </w:p>
    <w:p>
      <w:pPr>
        <w:pStyle w:val="Heading2"/>
        <w:spacing w:after="140" w:before="280"/>
      </w:pPr>
      <w:r>
        <w:t xml:space="preserve">5.6 Estimated Cost, Inflow and Cash Flow</w:t>
      </w:r>
    </w:p>
    <w:p>
      <w:pPr>
        <w:spacing w:after="80" w:before="80" w:line="300"/>
        <w:jc w:val="both"/>
      </w:pPr>
      <w:r>
        <w:t xml:space="preserve">The financial core of the Execution module tracks three views side by side — cost (what we will spend), inflow (what we will bill and collect), and cash flow (when the money actually moves). The estimated baseline is inherited from the approved bid; committed values grow as purchase orders and sub-contracts are issued; actuals post as expenses are approved and invoices are received.</w:t>
      </w:r>
    </w:p>
    <w:p>
      <w:pPr>
        <w:pStyle w:val="Heading3"/>
        <w:spacing w:after="100" w:before="220"/>
      </w:pPr>
      <w:r>
        <w:t xml:space="preserve">5.6.1 Cost &amp; Inflow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800"/>
        <w:gridCol w:w="1700"/>
        <w:gridCol w:w="1700"/>
        <w:gridCol w:w="1700"/>
      </w:tblGrid>
      <w:tr>
        <w:trPr>
          <w:tblHeader/>
        </w:trPr>
        <w:tc>
          <w:tcPr>
            <w:tcW w:type="dxa" w:w="24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Line Item</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Planned (Est.)</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Committed</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Actual</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Variance</w:t>
            </w:r>
          </w:p>
        </w:tc>
      </w:tr>
      <w:tr>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Manpower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r>
      <w:tr>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Hardware / Material</w:t>
            </w:r>
          </w:p>
        </w:tc>
        <w:tc>
          <w:tcPr>
            <w:tcW w:type="dxa" w:w="1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r>
      <w:tr>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Software / Licences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r>
      <w:tr>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Sub-contracting</w:t>
            </w:r>
          </w:p>
        </w:tc>
        <w:tc>
          <w:tcPr>
            <w:tcW w:type="dxa" w:w="1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r>
      <w:tr>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Travel &amp; Site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r>
      <w:tr>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Overheads</w:t>
            </w:r>
          </w:p>
        </w:tc>
        <w:tc>
          <w:tcPr>
            <w:tcW w:type="dxa" w:w="1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r>
      <w:tr>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Total Cost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XX,XX,XXX</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r>
      <w:tr>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Contract Inflow</w:t>
            </w:r>
          </w:p>
        </w:tc>
        <w:tc>
          <w:tcPr>
            <w:tcW w:type="dxa" w:w="1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YY,YY,YYY</w:t>
            </w:r>
          </w:p>
        </w:tc>
        <w:tc>
          <w:tcPr>
            <w:tcW w:type="dxa" w:w="1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YY,YY,YYY</w:t>
            </w:r>
          </w:p>
        </w:tc>
        <w:tc>
          <w:tcPr>
            <w:tcW w:type="dxa" w:w="1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r>
      <w:tr>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Gross Margin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Inflow − Cost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Inflow − Actual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Variance</w:t>
            </w:r>
          </w:p>
        </w:tc>
      </w:tr>
    </w:tbl>
    <w:p>
      <w:pPr>
        <w:spacing w:after="80" w:before="80"/>
      </w:pPr>
      <w:r>
        <w:t xml:space="preserve"/>
      </w:r>
    </w:p>
    <w:p>
      <w:pPr>
        <w:pStyle w:val="Heading3"/>
        <w:spacing w:after="100" w:before="220"/>
      </w:pPr>
      <w:r>
        <w:t xml:space="preserve">5.6.2 Cash Flow Projection</w:t>
      </w:r>
    </w:p>
    <w:p>
      <w:pPr>
        <w:spacing w:after="80" w:before="80" w:line="300"/>
        <w:jc w:val="both"/>
      </w:pPr>
      <w:r>
        <w:t xml:space="preserve">Inflow is modelled by milestone-based invoice plan, incorporating typical 30 / 45 / 60-day credit periods and retention percentage. Outflow combines payroll, vendor payments, statutory dues and overheads. The rolling cash-flow forecast is updated whenever an invoice is raised, a payment is received, or a new expense is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gridCol w:w="1500"/>
        <w:gridCol w:w="1500"/>
        <w:gridCol w:w="1500"/>
      </w:tblGrid>
      <w:tr>
        <w:trPr>
          <w:tblHeader/>
        </w:trPr>
        <w:tc>
          <w:tcPr>
            <w:tcW w:type="dxa" w:w="18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Period</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Opening</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Inflow (Billed)</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Inflow (Received)</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Outflow</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Closing</w:t>
            </w:r>
          </w:p>
        </w:tc>
      </w:tr>
      <w:tr>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Mth 1 (Kick-off)</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Mobilization cost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 cost</w:t>
            </w:r>
          </w:p>
        </w:tc>
      </w:tr>
      <w:tr>
        <w:tc>
          <w:tcPr>
            <w:tcW w:type="dxa" w:w="18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Mth 2</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prev close</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Milestone-1 invoice</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0 (45-day credit)</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Payroll + vendor</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running deficit</w:t>
            </w:r>
          </w:p>
        </w:tc>
      </w:tr>
      <w:tr>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Mth 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prev close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Milestone-1 received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Payroll + vendor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recovery</w:t>
            </w:r>
          </w:p>
        </w:tc>
      </w:tr>
      <w:tr>
        <w:tc>
          <w:tcPr>
            <w:tcW w:type="dxa" w:w="18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Mth 4</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prev close</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Milestone-2 invoice</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Payroll + vendor</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r>
      <w:tr>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r>
      <w:tr>
        <w:tc>
          <w:tcPr>
            <w:tcW w:type="dxa" w:w="18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Mth N (Closure)</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Retention release</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Retention received</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Close-out cost</w:t>
            </w:r>
          </w:p>
        </w:tc>
        <w:tc>
          <w:tcPr>
            <w:tcW w:type="dxa" w:w="15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Final</w:t>
            </w:r>
          </w:p>
        </w:tc>
      </w:tr>
    </w:tbl>
    <w:p>
      <w:pPr>
        <w:spacing w:after="80" w:before="80"/>
      </w:pPr>
      <w:r>
        <w:t xml:space="preserve"/>
      </w:r>
    </w:p>
    <w:p>
      <w:pPr>
        <w:pStyle w:val="Heading3"/>
        <w:spacing w:after="100" w:before="220"/>
      </w:pPr>
      <w:r>
        <w:t xml:space="preserve">5.6.3 Key Controls</w:t>
      </w:r>
    </w:p>
    <w:p>
      <w:pPr>
        <w:pStyle w:val="ListParagraph"/>
        <w:numPr>
          <w:ilvl w:val="0"/>
          <w:numId w:val="2"/>
        </w:numPr>
        <w:spacing w:after="40" w:before="40" w:line="280"/>
      </w:pPr>
      <w:r>
        <w:t xml:space="preserve">Commitment accounting — a PO reduces available budget before the invoice is received</w:t>
      </w:r>
    </w:p>
    <w:p>
      <w:pPr>
        <w:pStyle w:val="ListParagraph"/>
        <w:numPr>
          <w:ilvl w:val="0"/>
          <w:numId w:val="2"/>
        </w:numPr>
        <w:spacing w:after="40" w:before="40" w:line="280"/>
      </w:pPr>
      <w:r>
        <w:t xml:space="preserve">Variance alerts at 80% and 100% of line-item budget</w:t>
      </w:r>
    </w:p>
    <w:p>
      <w:pPr>
        <w:pStyle w:val="ListParagraph"/>
        <w:numPr>
          <w:ilvl w:val="0"/>
          <w:numId w:val="2"/>
        </w:numPr>
        <w:spacing w:after="40" w:before="40" w:line="280"/>
      </w:pPr>
      <w:r>
        <w:t xml:space="preserve">Retention and PBG registers with auto-reminders on release / expiry</w:t>
      </w:r>
    </w:p>
    <w:p>
      <w:pPr>
        <w:pStyle w:val="ListParagraph"/>
        <w:numPr>
          <w:ilvl w:val="0"/>
          <w:numId w:val="2"/>
        </w:numPr>
        <w:spacing w:after="40" w:before="40" w:line="280"/>
      </w:pPr>
      <w:r>
        <w:t xml:space="preserve">Estimate-at-Completion (EAC) forecast updated weekly</w:t>
      </w:r>
    </w:p>
    <w:p>
      <w:pPr>
        <w:pStyle w:val="Heading2"/>
        <w:spacing w:after="140" w:before="280"/>
      </w:pPr>
      <w:r>
        <w:t xml:space="preserve">5.7 Actual Expenses Tracking</w:t>
      </w:r>
    </w:p>
    <w:p>
      <w:pPr>
        <w:spacing w:after="80" w:before="80" w:line="300"/>
        <w:jc w:val="both"/>
      </w:pPr>
      <w:r>
        <w:t xml:space="preserve">All project outflows — vendor bills, sub-contracts, travel, site costs, internal manpower — are recorded against the relevant project, milestone and cost line. Expenses flow through a multi-level approval workflow configured by amount threshold, and on final approval post an entry visible in the project's Budget-vs-Actual report. Every line item carries attachments, GST details and a reference that allows later reconciliation with the accounting system.</w:t>
      </w:r>
    </w:p>
    <w:p>
      <w:pPr>
        <w:pStyle w:val="Heading3"/>
        <w:spacing w:after="100" w:before="220"/>
      </w:pPr>
      <w:r>
        <w:t xml:space="preserve">5.7.1 Expense Workflow</w:t>
      </w:r>
    </w:p>
    <w:p>
      <w:pPr>
        <w:pStyle w:val="ListParagraph"/>
        <w:numPr>
          <w:ilvl w:val="0"/>
          <w:numId w:val="3"/>
        </w:numPr>
        <w:spacing w:after="40" w:before="40" w:line="280"/>
      </w:pPr>
      <w:r>
        <w:t xml:space="preserve">Expense captured via web or mobile, with bill and GST attachment</w:t>
      </w:r>
    </w:p>
    <w:p>
      <w:pPr>
        <w:pStyle w:val="ListParagraph"/>
        <w:numPr>
          <w:ilvl w:val="0"/>
          <w:numId w:val="3"/>
        </w:numPr>
        <w:spacing w:after="40" w:before="40" w:line="280"/>
      </w:pPr>
      <w:r>
        <w:t xml:space="preserve">System validates budget availability against the corresponding cost line</w:t>
      </w:r>
    </w:p>
    <w:p>
      <w:pPr>
        <w:pStyle w:val="ListParagraph"/>
        <w:numPr>
          <w:ilvl w:val="0"/>
          <w:numId w:val="3"/>
        </w:numPr>
        <w:spacing w:after="40" w:before="40" w:line="280"/>
      </w:pPr>
      <w:r>
        <w:t xml:space="preserve">Workflow routes to PM and, above threshold, to Finance or Delivery Head</w:t>
      </w:r>
    </w:p>
    <w:p>
      <w:pPr>
        <w:pStyle w:val="ListParagraph"/>
        <w:numPr>
          <w:ilvl w:val="0"/>
          <w:numId w:val="3"/>
        </w:numPr>
        <w:spacing w:after="40" w:before="40" w:line="280"/>
      </w:pPr>
      <w:r>
        <w:t xml:space="preserve">On approval, expense becomes "Actual" and updates Budget-vs-Actual and Cash-Flow views</w:t>
      </w:r>
    </w:p>
    <w:p>
      <w:pPr>
        <w:pStyle w:val="ListParagraph"/>
        <w:numPr>
          <w:ilvl w:val="0"/>
          <w:numId w:val="3"/>
        </w:numPr>
        <w:spacing w:after="40" w:before="40" w:line="280"/>
      </w:pPr>
      <w:r>
        <w:t xml:space="preserve">On payment, the entry is marked "Paid" with UTR and date; variance is locked</w:t>
      </w:r>
    </w:p>
    <w:p>
      <w:pPr>
        <w:pStyle w:val="Heading3"/>
        <w:spacing w:after="100" w:before="220"/>
      </w:pPr>
      <w:r>
        <w:t xml:space="preserve">5.7.2 Expense Dashboards</w:t>
      </w:r>
    </w:p>
    <w:p>
      <w:pPr>
        <w:pStyle w:val="ListParagraph"/>
        <w:numPr>
          <w:ilvl w:val="0"/>
          <w:numId w:val="2"/>
        </w:numPr>
        <w:spacing w:after="40" w:before="40" w:line="280"/>
      </w:pPr>
      <w:r>
        <w:t xml:space="preserve">Category-wise actual vs estimated with variance %</w:t>
      </w:r>
    </w:p>
    <w:p>
      <w:pPr>
        <w:pStyle w:val="ListParagraph"/>
        <w:numPr>
          <w:ilvl w:val="0"/>
          <w:numId w:val="2"/>
        </w:numPr>
        <w:spacing w:after="40" w:before="40" w:line="280"/>
      </w:pPr>
      <w:r>
        <w:t xml:space="preserve">Top vendors by spend and by overdue payment</w:t>
      </w:r>
    </w:p>
    <w:p>
      <w:pPr>
        <w:pStyle w:val="ListParagraph"/>
        <w:numPr>
          <w:ilvl w:val="0"/>
          <w:numId w:val="2"/>
        </w:numPr>
        <w:spacing w:after="40" w:before="40" w:line="280"/>
      </w:pPr>
      <w:r>
        <w:t xml:space="preserve">Pending approvals ageing</w:t>
      </w:r>
    </w:p>
    <w:p>
      <w:pPr>
        <w:pStyle w:val="ListParagraph"/>
        <w:numPr>
          <w:ilvl w:val="0"/>
          <w:numId w:val="2"/>
        </w:numPr>
        <w:spacing w:after="40" w:before="40" w:line="280"/>
      </w:pPr>
      <w:r>
        <w:t xml:space="preserve">Reimbursable vs non-reimbursable split per project</w:t>
      </w:r>
    </w:p>
    <w:p>
      <w:r>
        <w:br w:type="page"/>
      </w:r>
    </w:p>
    <w:p>
      <w:pPr>
        <w:pStyle w:val="Heading1"/>
        <w:spacing w:after="180" w:before="360"/>
      </w:pPr>
      <w:r>
        <w:t xml:space="preserve">6. Module 4 — Expense Management</w:t>
      </w:r>
    </w:p>
    <w:p>
      <w:pPr>
        <w:pStyle w:val="Heading2"/>
        <w:spacing w:after="140" w:before="280"/>
      </w:pPr>
      <w:r>
        <w:t xml:space="preserve">6.1 Objective</w:t>
      </w:r>
    </w:p>
    <w:p>
      <w:pPr>
        <w:spacing w:after="80" w:before="80" w:line="300"/>
        <w:jc w:val="both"/>
      </w:pPr>
      <w:r>
        <w:t xml:space="preserve">Provide a formal, auditable workflow for capturing, approving and paying expenses incurred across the business — whether during pre-project pursuit or during project execution. Every expense flows through a consistent state machine from Draft → Submitted → Approved → Paid, with role-based approval limits tied to the Business Unit, Project or Opportunity budget.</w:t>
      </w:r>
    </w:p>
    <w:p>
      <w:pPr>
        <w:pStyle w:val="Heading2"/>
        <w:spacing w:after="140" w:before="280"/>
      </w:pPr>
      <w:r>
        <w:t xml:space="preserve">6.2 Types of Expense Sheets</w:t>
      </w:r>
    </w:p>
    <w:p>
      <w:pPr>
        <w:spacing w:after="80" w:before="80" w:line="300"/>
        <w:jc w:val="both"/>
      </w:pPr>
      <w:r>
        <w:t xml:space="preserve">An Expense Sheet is a collection of one or more expense lines submitted together for a specific period or purpose. The sheet is always tagged to a cost context — Opportunity, Project, or Cost Centre — which determines the budget it consumes and the approval chain it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Sheet Type</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Linked To</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Budget Source</w:t>
            </w:r>
          </w:p>
        </w:tc>
        <w:tc>
          <w:tcPr>
            <w:tcW w:type="dxa" w:w="2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Approval Chain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Pre-Project Expense Sheet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Opportunity / Managed-Tender record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Cost of Sale budget for the opportunity</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Sales Lead → BU Head (if &gt; threshold) → Finance</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Expense Sheet</w:t>
            </w:r>
          </w:p>
        </w:tc>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 Milestone</w:t>
            </w:r>
          </w:p>
        </w:tc>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budget line (travel, site, misc.)</w:t>
            </w:r>
          </w:p>
        </w:tc>
        <w:tc>
          <w:tcPr>
            <w:tcW w:type="dxa" w:w="23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Manager → BU Head (if &gt; threshold) → Finance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Admin / General Expense Sheet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Cost Centre / Department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Department operating budget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Admin Head / Dept Head → Finance</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Reimbursement Sheet</w:t>
            </w:r>
          </w:p>
        </w:tc>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Employee (payable back)</w:t>
            </w:r>
          </w:p>
        </w:tc>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Corresponding project / BU / cost centre</w:t>
            </w:r>
          </w:p>
        </w:tc>
        <w:tc>
          <w:tcPr>
            <w:tcW w:type="dxa" w:w="23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Reporting Manager → BU Head (if &gt; threshold) → Finance</w:t>
            </w:r>
          </w:p>
        </w:tc>
      </w:tr>
    </w:tbl>
    <w:p>
      <w:pPr>
        <w:spacing w:after="80" w:before="80"/>
      </w:pPr>
      <w:r>
        <w:t xml:space="preserve"/>
      </w:r>
    </w:p>
    <w:p>
      <w:pPr>
        <w:pStyle w:val="Heading2"/>
        <w:spacing w:after="140" w:before="280"/>
      </w:pPr>
      <w:r>
        <w:t xml:space="preserve">6.3 Expense Sheet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State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Who Acts</w:t>
            </w:r>
          </w:p>
        </w:tc>
        <w:tc>
          <w:tcPr>
            <w:tcW w:type="dxa" w:w="5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Description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Draft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Claimant</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Sheet and lines being edited; not yet visible to approvers</w:t>
            </w:r>
          </w:p>
        </w:tc>
      </w:tr>
      <w:tr>
        <w:tc>
          <w:tcPr>
            <w:tcW w:type="dxa" w:w="1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Submitted</w:t>
            </w:r>
          </w:p>
        </w:tc>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Claimant → Approver 1</w:t>
            </w:r>
          </w:p>
        </w:tc>
        <w:tc>
          <w:tcPr>
            <w:tcW w:type="dxa" w:w="53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Sheet locked for edit; routed to first approver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Under Review</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Approver in chain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Being examined by an approver; clarification can be requested</w:t>
            </w:r>
          </w:p>
        </w:tc>
      </w:tr>
      <w:tr>
        <w:tc>
          <w:tcPr>
            <w:tcW w:type="dxa" w:w="1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Returned for Clarification</w:t>
            </w:r>
          </w:p>
        </w:tc>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Approver → Claimant</w:t>
            </w:r>
          </w:p>
        </w:tc>
        <w:tc>
          <w:tcPr>
            <w:tcW w:type="dxa" w:w="53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Sent back for missing bills or corrections; editable again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Approved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All approvers</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All approvals captured; ready for payment</w:t>
            </w:r>
          </w:p>
        </w:tc>
      </w:tr>
      <w:tr>
        <w:tc>
          <w:tcPr>
            <w:tcW w:type="dxa" w:w="1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Payment Pending</w:t>
            </w:r>
          </w:p>
        </w:tc>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Finance</w:t>
            </w:r>
          </w:p>
        </w:tc>
        <w:tc>
          <w:tcPr>
            <w:tcW w:type="dxa" w:w="53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 queue for payout run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Paid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Finance</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Payment executed with UTR; sheet locked permanently</w:t>
            </w:r>
          </w:p>
        </w:tc>
      </w:tr>
      <w:tr>
        <w:tc>
          <w:tcPr>
            <w:tcW w:type="dxa" w:w="1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Rejected</w:t>
            </w:r>
          </w:p>
        </w:tc>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Approver</w:t>
            </w:r>
          </w:p>
        </w:tc>
        <w:tc>
          <w:tcPr>
            <w:tcW w:type="dxa" w:w="53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Terminal state with reason; no payment</w:t>
            </w:r>
          </w:p>
        </w:tc>
      </w:tr>
    </w:tbl>
    <w:p>
      <w:pPr>
        <w:spacing w:after="80" w:before="80"/>
      </w:pPr>
      <w:r>
        <w:t xml:space="preserve"/>
      </w:r>
    </w:p>
    <w:p>
      <w:pPr>
        <w:pStyle w:val="Heading2"/>
        <w:spacing w:after="140" w:before="280"/>
      </w:pPr>
      <w:r>
        <w:t xml:space="preserve">6.4 Core Entities</w:t>
      </w:r>
    </w:p>
    <w:p>
      <w:pPr>
        <w:pStyle w:val="ListParagraph"/>
        <w:numPr>
          <w:ilvl w:val="0"/>
          <w:numId w:val="2"/>
        </w:numPr>
        <w:spacing w:after="40" w:before="40" w:line="280"/>
      </w:pPr>
      <w:r>
        <w:t xml:space="preserve">Expense Sheet — header with claimant, period, cost context, total, status, approval trail</w:t>
      </w:r>
    </w:p>
    <w:p>
      <w:pPr>
        <w:pStyle w:val="ListParagraph"/>
        <w:numPr>
          <w:ilvl w:val="0"/>
          <w:numId w:val="2"/>
        </w:numPr>
        <w:spacing w:after="40" w:before="40" w:line="280"/>
      </w:pPr>
      <w:r>
        <w:t xml:space="preserve">Expense Line — date, category, vendor, amount, GST, payment mode, bill attachment, remarks</w:t>
      </w:r>
    </w:p>
    <w:p>
      <w:pPr>
        <w:pStyle w:val="ListParagraph"/>
        <w:numPr>
          <w:ilvl w:val="0"/>
          <w:numId w:val="2"/>
        </w:numPr>
        <w:spacing w:after="40" w:before="40" w:line="280"/>
      </w:pPr>
      <w:r>
        <w:t xml:space="preserve">Approval Trail — actor, role, action, comment, timestamp for every state transition</w:t>
      </w:r>
    </w:p>
    <w:p>
      <w:pPr>
        <w:pStyle w:val="ListParagraph"/>
        <w:numPr>
          <w:ilvl w:val="0"/>
          <w:numId w:val="2"/>
        </w:numPr>
        <w:spacing w:after="40" w:before="40" w:line="280"/>
      </w:pPr>
      <w:r>
        <w:t xml:space="preserve">Payment — mode (bank / cash / credit card), bank account, UTR / reference, paid-by, payment date</w:t>
      </w:r>
    </w:p>
    <w:p>
      <w:pPr>
        <w:pStyle w:val="ListParagraph"/>
        <w:numPr>
          <w:ilvl w:val="0"/>
          <w:numId w:val="2"/>
        </w:numPr>
        <w:spacing w:after="40" w:before="40" w:line="280"/>
      </w:pPr>
      <w:r>
        <w:t xml:space="preserve">Expense Categories — with caps, allowable GST input credit, reimbursable flag</w:t>
      </w:r>
    </w:p>
    <w:p>
      <w:pPr>
        <w:pStyle w:val="ListParagraph"/>
        <w:numPr>
          <w:ilvl w:val="0"/>
          <w:numId w:val="2"/>
        </w:numPr>
        <w:spacing w:after="40" w:before="40" w:line="280"/>
      </w:pPr>
      <w:r>
        <w:t xml:space="preserve">Policy Master — per-diem rates, travel-class entitlements by grade, mileage rates</w:t>
      </w:r>
    </w:p>
    <w:p>
      <w:pPr>
        <w:pStyle w:val="Heading2"/>
        <w:spacing w:after="140" w:before="280"/>
      </w:pPr>
      <w:r>
        <w:t xml:space="preserve">6.5 Key Functional Capabilities</w:t>
      </w:r>
    </w:p>
    <w:p>
      <w:pPr>
        <w:pStyle w:val="ListParagraph"/>
        <w:numPr>
          <w:ilvl w:val="0"/>
          <w:numId w:val="2"/>
        </w:numPr>
        <w:spacing w:after="40" w:before="40" w:line="280"/>
      </w:pPr>
      <w:r>
        <w:t xml:space="preserve">Mobile-first submission with camera-captured bills and GST auto-extraction</w:t>
      </w:r>
    </w:p>
    <w:p>
      <w:pPr>
        <w:pStyle w:val="ListParagraph"/>
        <w:numPr>
          <w:ilvl w:val="0"/>
          <w:numId w:val="2"/>
        </w:numPr>
        <w:spacing w:after="40" w:before="40" w:line="280"/>
      </w:pPr>
      <w:r>
        <w:t xml:space="preserve">Pre-submission validation: bill attached, amount within category cap, policy-compliant</w:t>
      </w:r>
    </w:p>
    <w:p>
      <w:pPr>
        <w:pStyle w:val="ListParagraph"/>
        <w:numPr>
          <w:ilvl w:val="0"/>
          <w:numId w:val="2"/>
        </w:numPr>
        <w:spacing w:after="40" w:before="40" w:line="280"/>
      </w:pPr>
      <w:r>
        <w:t xml:space="preserve">Budget availability check at approval step (against Cost of Sale, Project or Cost-Centre budget)</w:t>
      </w:r>
    </w:p>
    <w:p>
      <w:pPr>
        <w:pStyle w:val="ListParagraph"/>
        <w:numPr>
          <w:ilvl w:val="0"/>
          <w:numId w:val="2"/>
        </w:numPr>
        <w:spacing w:after="40" w:before="40" w:line="280"/>
      </w:pPr>
      <w:r>
        <w:t xml:space="preserve">Multi-level approval based on amount thresholds defined per BU</w:t>
      </w:r>
    </w:p>
    <w:p>
      <w:pPr>
        <w:pStyle w:val="ListParagraph"/>
        <w:numPr>
          <w:ilvl w:val="0"/>
          <w:numId w:val="2"/>
        </w:numPr>
        <w:spacing w:after="40" w:before="40" w:line="280"/>
      </w:pPr>
      <w:r>
        <w:t xml:space="preserve">Auto-escalation on SLA breach (e.g., no approver action in 3 business days)</w:t>
      </w:r>
    </w:p>
    <w:p>
      <w:pPr>
        <w:pStyle w:val="ListParagraph"/>
        <w:numPr>
          <w:ilvl w:val="0"/>
          <w:numId w:val="2"/>
        </w:numPr>
        <w:spacing w:after="40" w:before="40" w:line="280"/>
      </w:pPr>
      <w:r>
        <w:t xml:space="preserve">Bulk approval and filters (by BU, project, ageing, claimant) for managers</w:t>
      </w:r>
    </w:p>
    <w:p>
      <w:pPr>
        <w:pStyle w:val="ListParagraph"/>
        <w:numPr>
          <w:ilvl w:val="0"/>
          <w:numId w:val="2"/>
        </w:numPr>
        <w:spacing w:after="40" w:before="40" w:line="280"/>
      </w:pPr>
      <w:r>
        <w:t xml:space="preserve">Return-for-clarification with comment; sheet re-enters editable state</w:t>
      </w:r>
    </w:p>
    <w:p>
      <w:pPr>
        <w:pStyle w:val="ListParagraph"/>
        <w:numPr>
          <w:ilvl w:val="0"/>
          <w:numId w:val="2"/>
        </w:numPr>
        <w:spacing w:after="40" w:before="40" w:line="280"/>
      </w:pPr>
      <w:r>
        <w:t xml:space="preserve">Payment batching — Finance groups approved sheets into payout runs</w:t>
      </w:r>
    </w:p>
    <w:p>
      <w:pPr>
        <w:pStyle w:val="ListParagraph"/>
        <w:numPr>
          <w:ilvl w:val="0"/>
          <w:numId w:val="2"/>
        </w:numPr>
        <w:spacing w:after="40" w:before="40" w:line="280"/>
      </w:pPr>
      <w:r>
        <w:t xml:space="preserve">Reimbursable vs non-reimbursable split; advance-adjustment for tour advances</w:t>
      </w:r>
    </w:p>
    <w:p>
      <w:pPr>
        <w:pStyle w:val="ListParagraph"/>
        <w:numPr>
          <w:ilvl w:val="0"/>
          <w:numId w:val="2"/>
        </w:numPr>
        <w:spacing w:after="40" w:before="40" w:line="280"/>
      </w:pPr>
      <w:r>
        <w:t xml:space="preserve">GL-posting integration with the accounting system on "Paid" status</w:t>
      </w:r>
    </w:p>
    <w:p>
      <w:pPr>
        <w:pStyle w:val="Heading2"/>
        <w:spacing w:after="140" w:before="280"/>
      </w:pPr>
      <w:r>
        <w:t xml:space="preserve">6.6 Pre-Project vs During-Project Sheets</w:t>
      </w:r>
    </w:p>
    <w:p>
      <w:pPr>
        <w:spacing w:after="80" w:before="80" w:line="300"/>
        <w:jc w:val="both"/>
      </w:pPr>
      <w:r>
        <w:t xml:space="preserve">Pre-Project Expense Sheets are raised against an Opportunity (or upstream Managed-Tender record) and consume the Cost of Sale budget defined for that pursuit. They cover pre-bid travel, EMD processing charges, consultant fees, demo costs, and any other pursuit-related spend. During-Project Expense Sheets are raised against an active Project and consume line items in the project budget (typically travel, site, communication, and miscellaneous). Both sheet types use the same submission and approval engine; only the budget source, cost context and default approvers differ.</w:t>
      </w:r>
    </w:p>
    <w:p>
      <w:pPr>
        <w:pStyle w:val="Heading2"/>
        <w:spacing w:after="140" w:before="280"/>
      </w:pPr>
      <w:r>
        <w:t xml:space="preserve">6.7 Dashboards &amp; Controls</w:t>
      </w:r>
    </w:p>
    <w:p>
      <w:pPr>
        <w:pStyle w:val="ListParagraph"/>
        <w:numPr>
          <w:ilvl w:val="0"/>
          <w:numId w:val="2"/>
        </w:numPr>
        <w:spacing w:after="40" w:before="40" w:line="280"/>
      </w:pPr>
      <w:r>
        <w:t xml:space="preserve">Pending for approval — aged list for each approver in the chain</w:t>
      </w:r>
    </w:p>
    <w:p>
      <w:pPr>
        <w:pStyle w:val="ListParagraph"/>
        <w:numPr>
          <w:ilvl w:val="0"/>
          <w:numId w:val="2"/>
        </w:numPr>
        <w:spacing w:after="40" w:before="40" w:line="280"/>
      </w:pPr>
      <w:r>
        <w:t xml:space="preserve">Pending for payment — approved sheets awaiting Finance payout</w:t>
      </w:r>
    </w:p>
    <w:p>
      <w:pPr>
        <w:pStyle w:val="ListParagraph"/>
        <w:numPr>
          <w:ilvl w:val="0"/>
          <w:numId w:val="2"/>
        </w:numPr>
        <w:spacing w:after="40" w:before="40" w:line="280"/>
      </w:pPr>
      <w:r>
        <w:t xml:space="preserve">Spend by category, by BU, by project — variance against budget</w:t>
      </w:r>
    </w:p>
    <w:p>
      <w:pPr>
        <w:pStyle w:val="ListParagraph"/>
        <w:numPr>
          <w:ilvl w:val="0"/>
          <w:numId w:val="2"/>
        </w:numPr>
        <w:spacing w:after="40" w:before="40" w:line="280"/>
      </w:pPr>
      <w:r>
        <w:t xml:space="preserve">Policy exception report — sheets approved with policy overrides</w:t>
      </w:r>
    </w:p>
    <w:p>
      <w:pPr>
        <w:pStyle w:val="ListParagraph"/>
        <w:numPr>
          <w:ilvl w:val="0"/>
          <w:numId w:val="2"/>
        </w:numPr>
        <w:spacing w:after="40" w:before="40" w:line="280"/>
      </w:pPr>
      <w:r>
        <w:t xml:space="preserve">Reimbursement turnaround — average days from submission to payment</w:t>
      </w:r>
    </w:p>
    <w:p>
      <w:r>
        <w:br w:type="page"/>
      </w:r>
    </w:p>
    <w:p>
      <w:pPr>
        <w:pStyle w:val="Heading1"/>
        <w:spacing w:after="180" w:before="360"/>
      </w:pPr>
      <w:r>
        <w:t xml:space="preserve">7. Module 5 — Material &amp; Procurement</w:t>
      </w:r>
    </w:p>
    <w:p>
      <w:pPr>
        <w:pStyle w:val="Heading2"/>
        <w:spacing w:after="140" w:before="280"/>
      </w:pPr>
      <w:r>
        <w:t xml:space="preserve">7.1 Objective</w:t>
      </w:r>
    </w:p>
    <w:p>
      <w:pPr>
        <w:spacing w:after="80" w:before="80" w:line="300"/>
        <w:jc w:val="both"/>
      </w:pPr>
      <w:r>
        <w:t xml:space="preserve">Manage the end-to-end procurement-to-issue cycle for materials required on projects: Material Requests raised by project teams, Indenting and Purchase by the Admin team, and Issue of material back to the project site. The module provides full audit trail from field request to consumed stock, with costs flowing automatically into the project's actual material cost line.</w:t>
      </w:r>
    </w:p>
    <w:p>
      <w:pPr>
        <w:pStyle w:val="Heading2"/>
        <w:spacing w:after="140" w:before="280"/>
      </w:pPr>
      <w:r>
        <w:t xml:space="preserve">7.2 Process Flow</w:t>
      </w:r>
    </w:p>
    <w:p>
      <w:pPr>
        <w:spacing w:after="80" w:before="80" w:line="300"/>
        <w:jc w:val="both"/>
      </w:pPr>
      <w:r>
        <w:t xml:space="preserve">The process has eight defined stages. Each stage has a named owner, a digital artefact, and clear entry / exit criteria. Any approved Material Request remains traceable to the issued material through a single thread spanning MR → Indent → PO → GRN →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2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Stage</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Owner</w:t>
            </w:r>
          </w:p>
        </w:tc>
        <w:tc>
          <w:tcPr>
            <w:tcW w:type="dxa" w:w="33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Key Activities</w:t>
            </w:r>
          </w:p>
        </w:tc>
        <w:tc>
          <w:tcPr>
            <w:tcW w:type="dxa" w:w="22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Artefact Produced</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1. Material Request (MR)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Team</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Raise request with items, quantity, required-by date, priority and justification</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MR with unique ID, linked to Project</w:t>
            </w:r>
          </w:p>
        </w:tc>
      </w:tr>
      <w:tr>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2. PM Approval</w:t>
            </w:r>
          </w:p>
        </w:tc>
        <w:tc>
          <w:tcPr>
            <w:tcW w:type="dxa" w:w="1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Manager</w:t>
            </w:r>
          </w:p>
        </w:tc>
        <w:tc>
          <w:tcPr>
            <w:tcW w:type="dxa" w:w="33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Validate need against project plan and budget</w:t>
            </w:r>
          </w:p>
        </w:tc>
        <w:tc>
          <w:tcPr>
            <w:tcW w:type="dxa" w:w="22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PM approval recorded on MR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3. BU Head Approval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 Head (above threshold)</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Business-level approval for high-value or out-of-plan requests</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 Head approval recorded</w:t>
            </w:r>
          </w:p>
        </w:tc>
      </w:tr>
      <w:tr>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4. Indenting</w:t>
            </w:r>
          </w:p>
        </w:tc>
        <w:tc>
          <w:tcPr>
            <w:tcW w:type="dxa" w:w="1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Admin / Procurement</w:t>
            </w:r>
          </w:p>
        </w:tc>
        <w:tc>
          <w:tcPr>
            <w:tcW w:type="dxa" w:w="33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Consolidate approved MRs across projects; identify vendors; run RFQ if required</w:t>
            </w:r>
          </w:p>
        </w:tc>
        <w:tc>
          <w:tcPr>
            <w:tcW w:type="dxa" w:w="22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Indent with selected vendor and rates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5. Purchase Order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Admin / Procurement</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Raise PO with items, rates, delivery and payment terms; release to vendor</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Signed PO; commitment posted against project budget</w:t>
            </w:r>
          </w:p>
        </w:tc>
      </w:tr>
      <w:tr>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6. Goods Receipt Note (GRN)</w:t>
            </w:r>
          </w:p>
        </w:tc>
        <w:tc>
          <w:tcPr>
            <w:tcW w:type="dxa" w:w="1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Stores / Admin</w:t>
            </w:r>
          </w:p>
        </w:tc>
        <w:tc>
          <w:tcPr>
            <w:tcW w:type="dxa" w:w="33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Receive material; perform quality check; record rejections</w:t>
            </w:r>
          </w:p>
        </w:tc>
        <w:tc>
          <w:tcPr>
            <w:tcW w:type="dxa" w:w="22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GRN with accepted / rejected quantities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7. Material Issue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Stores / Admin → Project Team</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Issue material against open MR; capture receiver acknowledgement</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Material Issue Slip; cost posts to project material line</w:t>
            </w:r>
          </w:p>
        </w:tc>
      </w:tr>
      <w:tr>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8. Consumption &amp; Return</w:t>
            </w:r>
          </w:p>
        </w:tc>
        <w:tc>
          <w:tcPr>
            <w:tcW w:type="dxa" w:w="18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Team</w:t>
            </w:r>
          </w:p>
        </w:tc>
        <w:tc>
          <w:tcPr>
            <w:tcW w:type="dxa" w:w="33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Track consumption; return excess or defective material</w:t>
            </w:r>
          </w:p>
        </w:tc>
        <w:tc>
          <w:tcPr>
            <w:tcW w:type="dxa" w:w="22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Return Note; updated stock ledger</w:t>
            </w:r>
          </w:p>
        </w:tc>
      </w:tr>
    </w:tbl>
    <w:p>
      <w:pPr>
        <w:spacing w:after="80" w:before="80"/>
      </w:pPr>
      <w:r>
        <w:t xml:space="preserve"/>
      </w:r>
    </w:p>
    <w:p>
      <w:pPr>
        <w:pStyle w:val="Heading2"/>
        <w:spacing w:after="140" w:before="280"/>
      </w:pPr>
      <w:r>
        <w:t xml:space="preserve">7.3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Entity</w:t>
            </w:r>
          </w:p>
        </w:tc>
        <w:tc>
          <w:tcPr>
            <w:tcW w:type="dxa" w:w="6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Key Attributes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Item Master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SKU, description, unit of measure, category, specifications, make/model, HSN</w:t>
            </w:r>
          </w:p>
        </w:tc>
      </w:tr>
      <w:tr>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Vendor Master</w:t>
            </w:r>
          </w:p>
        </w:tc>
        <w:tc>
          <w:tcPr>
            <w:tcW w:type="dxa" w:w="6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Name, GSTIN, PAN, category, bank details, rate card, OTIF and quality history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Material Request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MR ID, project, requester, items, quantities, required-by, priority, justification, status</w:t>
            </w:r>
          </w:p>
        </w:tc>
      </w:tr>
      <w:tr>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Indent</w:t>
            </w:r>
          </w:p>
        </w:tc>
        <w:tc>
          <w:tcPr>
            <w:tcW w:type="dxa" w:w="6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Indent ID, MRs consolidated, RFQ responses, selected vendor, approval trail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Purchase Order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PO no., vendor, items, rates, GST, delivery schedule, payment terms, project tag</w:t>
            </w:r>
          </w:p>
        </w:tc>
      </w:tr>
      <w:tr>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Goods Receipt Note (GRN)</w:t>
            </w:r>
          </w:p>
        </w:tc>
        <w:tc>
          <w:tcPr>
            <w:tcW w:type="dxa" w:w="6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GRN no., PO ref., received qty, quality check, rejects, store location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Material Issue Slip</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Slip no., MR ref., items, qty issued, receiver, acknowledgement, date</w:t>
            </w:r>
          </w:p>
        </w:tc>
      </w:tr>
      <w:tr>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Stock Ledger</w:t>
            </w:r>
          </w:p>
        </w:tc>
        <w:tc>
          <w:tcPr>
            <w:tcW w:type="dxa" w:w="6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Item, store location, opening, inward, outward, returns, closing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Material Return Note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Return no., reason (excess / defective), qty, restocking decision</w:t>
            </w:r>
          </w:p>
        </w:tc>
      </w:tr>
      <w:tr>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Store Locations</w:t>
            </w:r>
          </w:p>
        </w:tc>
        <w:tc>
          <w:tcPr>
            <w:tcW w:type="dxa" w:w="6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Central store, project-site stores with custodian</w:t>
            </w:r>
          </w:p>
        </w:tc>
      </w:tr>
    </w:tbl>
    <w:p>
      <w:pPr>
        <w:spacing w:after="80" w:before="80"/>
      </w:pPr>
      <w:r>
        <w:t xml:space="preserve"/>
      </w:r>
    </w:p>
    <w:p>
      <w:pPr>
        <w:pStyle w:val="Heading2"/>
        <w:spacing w:after="140" w:before="280"/>
      </w:pPr>
      <w:r>
        <w:t xml:space="preserve">7.4 Key Functional Capabilities</w:t>
      </w:r>
    </w:p>
    <w:p>
      <w:pPr>
        <w:pStyle w:val="ListParagraph"/>
        <w:numPr>
          <w:ilvl w:val="0"/>
          <w:numId w:val="2"/>
        </w:numPr>
        <w:spacing w:after="40" w:before="40" w:line="280"/>
      </w:pPr>
      <w:r>
        <w:t xml:space="preserve">Material Request with priority (Normal / Urgent / Emergency) and required-by date</w:t>
      </w:r>
    </w:p>
    <w:p>
      <w:pPr>
        <w:pStyle w:val="ListParagraph"/>
        <w:numPr>
          <w:ilvl w:val="0"/>
          <w:numId w:val="2"/>
        </w:numPr>
        <w:spacing w:after="40" w:before="40" w:line="280"/>
      </w:pPr>
      <w:r>
        <w:t xml:space="preserve">Item catalog with specifications, last-purchased rate and preferred vendors</w:t>
      </w:r>
    </w:p>
    <w:p>
      <w:pPr>
        <w:pStyle w:val="ListParagraph"/>
        <w:numPr>
          <w:ilvl w:val="0"/>
          <w:numId w:val="2"/>
        </w:numPr>
        <w:spacing w:after="40" w:before="40" w:line="280"/>
      </w:pPr>
      <w:r>
        <w:t xml:space="preserve">Approval routing: PM within project budget; BU Head above configurable threshold</w:t>
      </w:r>
    </w:p>
    <w:p>
      <w:pPr>
        <w:pStyle w:val="ListParagraph"/>
        <w:numPr>
          <w:ilvl w:val="0"/>
          <w:numId w:val="2"/>
        </w:numPr>
        <w:spacing w:after="40" w:before="40" w:line="280"/>
      </w:pPr>
      <w:r>
        <w:t xml:space="preserve">Indent consolidation — Admin can group multiple MRs across projects for volume buying</w:t>
      </w:r>
    </w:p>
    <w:p>
      <w:pPr>
        <w:pStyle w:val="ListParagraph"/>
        <w:numPr>
          <w:ilvl w:val="0"/>
          <w:numId w:val="2"/>
        </w:numPr>
        <w:spacing w:after="40" w:before="40" w:line="280"/>
      </w:pPr>
      <w:r>
        <w:t xml:space="preserve">RFQ / quotation capture with comparison statement; reason for vendor selection</w:t>
      </w:r>
    </w:p>
    <w:p>
      <w:pPr>
        <w:pStyle w:val="ListParagraph"/>
        <w:numPr>
          <w:ilvl w:val="0"/>
          <w:numId w:val="2"/>
        </w:numPr>
        <w:spacing w:after="40" w:before="40" w:line="280"/>
      </w:pPr>
      <w:r>
        <w:t xml:space="preserve">PO issue with configurable approval matrix; commitment posted against project budget</w:t>
      </w:r>
    </w:p>
    <w:p>
      <w:pPr>
        <w:pStyle w:val="ListParagraph"/>
        <w:numPr>
          <w:ilvl w:val="0"/>
          <w:numId w:val="2"/>
        </w:numPr>
        <w:spacing w:after="40" w:before="40" w:line="280"/>
      </w:pPr>
      <w:r>
        <w:t xml:space="preserve">GRN with accepted / rejected quantities, quality check notes, photo evidence</w:t>
      </w:r>
    </w:p>
    <w:p>
      <w:pPr>
        <w:pStyle w:val="ListParagraph"/>
        <w:numPr>
          <w:ilvl w:val="0"/>
          <w:numId w:val="2"/>
        </w:numPr>
        <w:spacing w:after="40" w:before="40" w:line="280"/>
      </w:pPr>
      <w:r>
        <w:t xml:space="preserve">Material Issue Slip with digital acknowledgement by receiver; links back to the originating MR</w:t>
      </w:r>
    </w:p>
    <w:p>
      <w:pPr>
        <w:pStyle w:val="ListParagraph"/>
        <w:numPr>
          <w:ilvl w:val="0"/>
          <w:numId w:val="2"/>
        </w:numPr>
        <w:spacing w:after="40" w:before="40" w:line="280"/>
      </w:pPr>
      <w:r>
        <w:t xml:space="preserve">Multi-location stock ledger — central store and project-site stores</w:t>
      </w:r>
    </w:p>
    <w:p>
      <w:pPr>
        <w:pStyle w:val="ListParagraph"/>
        <w:numPr>
          <w:ilvl w:val="0"/>
          <w:numId w:val="2"/>
        </w:numPr>
        <w:spacing w:after="40" w:before="40" w:line="280"/>
      </w:pPr>
      <w:r>
        <w:t xml:space="preserve">Min stock / re-order alerts per item per location</w:t>
      </w:r>
    </w:p>
    <w:p>
      <w:pPr>
        <w:pStyle w:val="ListParagraph"/>
        <w:numPr>
          <w:ilvl w:val="0"/>
          <w:numId w:val="2"/>
        </w:numPr>
        <w:spacing w:after="40" w:before="40" w:line="280"/>
      </w:pPr>
      <w:r>
        <w:t xml:space="preserve">Material Return Note for excess or defective material with restocking decision</w:t>
      </w:r>
    </w:p>
    <w:p>
      <w:pPr>
        <w:pStyle w:val="ListParagraph"/>
        <w:numPr>
          <w:ilvl w:val="0"/>
          <w:numId w:val="2"/>
        </w:numPr>
        <w:spacing w:after="40" w:before="40" w:line="280"/>
      </w:pPr>
      <w:r>
        <w:t xml:space="preserve">Vendor performance tracking — OTIF (on-time-in-full), quality rejects, payment cycle</w:t>
      </w:r>
    </w:p>
    <w:p>
      <w:pPr>
        <w:pStyle w:val="ListParagraph"/>
        <w:numPr>
          <w:ilvl w:val="0"/>
          <w:numId w:val="2"/>
        </w:numPr>
        <w:spacing w:after="40" w:before="40" w:line="280"/>
      </w:pPr>
      <w:r>
        <w:t xml:space="preserve">Mobile approvals for PM and BU Head; barcode / QR scan for issue acknowledgement</w:t>
      </w:r>
    </w:p>
    <w:p>
      <w:pPr>
        <w:pStyle w:val="ListParagraph"/>
        <w:numPr>
          <w:ilvl w:val="0"/>
          <w:numId w:val="2"/>
        </w:numPr>
        <w:spacing w:after="40" w:before="40" w:line="280"/>
      </w:pPr>
      <w:r>
        <w:t xml:space="preserve">Accounting integration — PO commitment, inventory valuation, cost posting on issue</w:t>
      </w:r>
    </w:p>
    <w:p>
      <w:pPr>
        <w:pStyle w:val="Heading2"/>
        <w:spacing w:after="140" w:before="280"/>
      </w:pPr>
      <w:r>
        <w:t xml:space="preserve">7.5 Traceability View</w:t>
      </w:r>
    </w:p>
    <w:p>
      <w:pPr>
        <w:spacing w:after="80" w:before="80" w:line="300"/>
        <w:jc w:val="both"/>
      </w:pPr>
      <w:r>
        <w:t xml:space="preserve">A single "Material Trace" screen shows the complete lifecycle of any material item: the originating Material Request, approvals captured, the Indent it was consolidated into, the Purchase Order raised, the Goods Receipt recorded, and the Issue Slip it was delivered on. This collapses what is typically a multi-file paper trail into one auditable thread, invaluable for internal audit and client certification.</w:t>
      </w:r>
    </w:p>
    <w:p>
      <w:pPr>
        <w:pStyle w:val="Heading2"/>
        <w:spacing w:after="140" w:before="280"/>
      </w:pPr>
      <w:r>
        <w:t xml:space="preserve">7.6 Dashboards &amp; Controls</w:t>
      </w:r>
    </w:p>
    <w:p>
      <w:pPr>
        <w:pStyle w:val="ListParagraph"/>
        <w:numPr>
          <w:ilvl w:val="0"/>
          <w:numId w:val="2"/>
        </w:numPr>
        <w:spacing w:after="40" w:before="40" w:line="280"/>
      </w:pPr>
      <w:r>
        <w:t xml:space="preserve">Open MRs by project, priority and ageing</w:t>
      </w:r>
    </w:p>
    <w:p>
      <w:pPr>
        <w:pStyle w:val="ListParagraph"/>
        <w:numPr>
          <w:ilvl w:val="0"/>
          <w:numId w:val="2"/>
        </w:numPr>
        <w:spacing w:after="40" w:before="40" w:line="280"/>
      </w:pPr>
      <w:r>
        <w:t xml:space="preserve">PO commitment vs GRN vs Issue — identifies pending deliveries and un-issued stock</w:t>
      </w:r>
    </w:p>
    <w:p>
      <w:pPr>
        <w:pStyle w:val="ListParagraph"/>
        <w:numPr>
          <w:ilvl w:val="0"/>
          <w:numId w:val="2"/>
        </w:numPr>
        <w:spacing w:after="40" w:before="40" w:line="280"/>
      </w:pPr>
      <w:r>
        <w:t xml:space="preserve">Stock-out alerts and reorder recommendations</w:t>
      </w:r>
    </w:p>
    <w:p>
      <w:pPr>
        <w:pStyle w:val="ListParagraph"/>
        <w:numPr>
          <w:ilvl w:val="0"/>
          <w:numId w:val="2"/>
        </w:numPr>
        <w:spacing w:after="40" w:before="40" w:line="280"/>
      </w:pPr>
      <w:r>
        <w:t xml:space="preserve">Vendor scorecard — OTIF %, quality rejection %, dispute rate</w:t>
      </w:r>
    </w:p>
    <w:p>
      <w:pPr>
        <w:pStyle w:val="ListParagraph"/>
        <w:numPr>
          <w:ilvl w:val="0"/>
          <w:numId w:val="2"/>
        </w:numPr>
        <w:spacing w:after="40" w:before="40" w:line="280"/>
      </w:pPr>
      <w:r>
        <w:t xml:space="preserve">Project-wise material cost vs estimated</w:t>
      </w:r>
    </w:p>
    <w:p>
      <w:pPr>
        <w:pStyle w:val="ListParagraph"/>
        <w:numPr>
          <w:ilvl w:val="0"/>
          <w:numId w:val="2"/>
        </w:numPr>
        <w:spacing w:after="40" w:before="40" w:line="280"/>
      </w:pPr>
      <w:r>
        <w:t xml:space="preserve">Exception report — MRs aged beyond SLA at any stage</w:t>
      </w:r>
    </w:p>
    <w:p>
      <w:r>
        <w:br w:type="page"/>
      </w:r>
    </w:p>
    <w:p>
      <w:pPr>
        <w:pStyle w:val="Heading1"/>
        <w:spacing w:after="180" w:before="360"/>
      </w:pPr>
      <w:r>
        <w:t xml:space="preserve">8. Roles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00"/>
        <w:gridCol w:w="24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Role</w:t>
            </w:r>
          </w:p>
        </w:tc>
        <w:tc>
          <w:tcPr>
            <w:tcW w:type="dxa" w:w="4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Primary Responsibilities</w:t>
            </w:r>
          </w:p>
        </w:tc>
        <w:tc>
          <w:tcPr>
            <w:tcW w:type="dxa" w:w="24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Key Access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Super Admin</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Master data, users, roles, configuration</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Full system</w:t>
            </w:r>
          </w:p>
        </w:tc>
      </w:tr>
      <w:tr>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Compliance Officer</w:t>
            </w:r>
          </w:p>
        </w:tc>
        <w:tc>
          <w:tcPr>
            <w:tcW w:type="dxa" w:w="4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Maintain Organization Details, certifications, DSC</w:t>
            </w:r>
          </w:p>
        </w:tc>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Org module (write), others (read)</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 Head</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Accountable for Business Unit P&amp;L; approves go/no-go, project budgets, expense sheets and MRs above threshold</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Full read on their BU; approval rights across Sales, Execution, Expense and Procurement modules</w:t>
            </w:r>
          </w:p>
        </w:tc>
      </w:tr>
      <w:tr>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BD / Sales Manager</w:t>
            </w:r>
          </w:p>
        </w:tc>
        <w:tc>
          <w:tcPr>
            <w:tcW w:type="dxa" w:w="4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Own opportunities, strategy, go/no-go</w:t>
            </w:r>
          </w:p>
        </w:tc>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Sales module (full for own BU), Execution (read summary)</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Tender / Bid Manager</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Bid preparation, submission, EMD, compliance sheet</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Sales module (full)</w:t>
            </w:r>
          </w:p>
        </w:tc>
      </w:tr>
      <w:tr>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Pre-Sales / Solution</w:t>
            </w:r>
          </w:p>
        </w:tc>
        <w:tc>
          <w:tcPr>
            <w:tcW w:type="dxa" w:w="4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Technical write-up, BoQ, pricing inputs</w:t>
            </w:r>
          </w:p>
        </w:tc>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Sales (solution &amp; proposal)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Manager</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Plan, tasks, budget, risks, milestones; first-level approval on expenses and MRs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Execution module (full for own project)</w:t>
            </w:r>
          </w:p>
        </w:tc>
      </w:tr>
      <w:tr>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Task Owner</w:t>
            </w:r>
          </w:p>
        </w:tc>
        <w:tc>
          <w:tcPr>
            <w:tcW w:type="dxa" w:w="4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Update task status on Kanban, log effort and expenses</w:t>
            </w:r>
          </w:p>
        </w:tc>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Assigned tasks only</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Admin / Procurement Officer</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Indenting, vendor management, PO creation, GRN</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Procurement module (full), Stores (write)</w:t>
            </w:r>
          </w:p>
        </w:tc>
      </w:tr>
      <w:tr>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Stores / Inventory Officer</w:t>
            </w:r>
          </w:p>
        </w:tc>
        <w:tc>
          <w:tcPr>
            <w:tcW w:type="dxa" w:w="4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GRN, issue, returns, stock ledger, location management</w:t>
            </w:r>
          </w:p>
        </w:tc>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Stores and inventory (full)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Finance / Accounts</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Invoices, receipts, expense payments, PBG, cash flow</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Cost, inflow, expense and procurement modules (finance operations)</w:t>
            </w:r>
          </w:p>
        </w:tc>
      </w:tr>
      <w:tr>
        <w:tc>
          <w:tcPr>
            <w:tcW w:type="dxa" w:w="2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Employee / Claimant</w:t>
            </w:r>
          </w:p>
        </w:tc>
        <w:tc>
          <w:tcPr>
            <w:tcW w:type="dxa" w:w="49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Submit expense sheets and material requests from their projects</w:t>
            </w:r>
          </w:p>
        </w:tc>
        <w:tc>
          <w:tcPr>
            <w:tcW w:type="dxa" w:w="24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Own sheets / MRs only</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Leadership / CXO</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Dashboards, portfolio views, approvals above threshold</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Read-only dashboards + approvals</w:t>
            </w:r>
          </w:p>
        </w:tc>
      </w:tr>
    </w:tbl>
    <w:p>
      <w:pPr>
        <w:spacing w:after="80" w:before="80"/>
      </w:pPr>
      <w:r>
        <w:t xml:space="preserve"/>
      </w:r>
    </w:p>
    <w:p>
      <w:pPr>
        <w:pStyle w:val="Heading1"/>
        <w:spacing w:after="180" w:before="360"/>
      </w:pPr>
      <w:r>
        <w:t xml:space="preserve">9. Reports &amp;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Report / Dashboard</w:t>
            </w:r>
          </w:p>
        </w:tc>
        <w:tc>
          <w:tcPr>
            <w:tcW w:type="dxa" w:w="2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Audience</w:t>
            </w:r>
          </w:p>
        </w:tc>
        <w:tc>
          <w:tcPr>
            <w:tcW w:type="dxa" w:w="37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Purpose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Opportunity Funnel</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Sales Head, BU Head, CXO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Stage-wise value, win probability, ageing</w:t>
            </w:r>
          </w:p>
        </w:tc>
      </w:tr>
      <w:tr>
        <w:tc>
          <w:tcPr>
            <w:tcW w:type="dxa" w:w="3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Bid Win/Loss Analysis</w:t>
            </w:r>
          </w:p>
        </w:tc>
        <w:tc>
          <w:tcPr>
            <w:tcW w:type="dxa" w:w="26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Sales Head, BU Head</w:t>
            </w:r>
          </w:p>
        </w:tc>
        <w:tc>
          <w:tcPr>
            <w:tcW w:type="dxa" w:w="37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Win rate, loss reasons, competitor intelligence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Cost of Sale Dashboard</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CFO, Sales Head, BU Head</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Spend per opportunity, cost-per-win, ROI</w:t>
            </w:r>
          </w:p>
        </w:tc>
      </w:tr>
      <w:tr>
        <w:tc>
          <w:tcPr>
            <w:tcW w:type="dxa" w:w="3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 Portfolio Dashboard</w:t>
            </w:r>
          </w:p>
        </w:tc>
        <w:tc>
          <w:tcPr>
            <w:tcW w:type="dxa" w:w="26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 Head, CXO</w:t>
            </w:r>
          </w:p>
        </w:tc>
        <w:tc>
          <w:tcPr>
            <w:tcW w:type="dxa" w:w="37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Opportunities, projects, revenue, profitability and risks for the Business Unit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Health</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PMO, PM, BU Head, CXO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RAG status on scope, schedule, cost, risk</w:t>
            </w:r>
          </w:p>
        </w:tc>
      </w:tr>
      <w:tr>
        <w:tc>
          <w:tcPr>
            <w:tcW w:type="dxa" w:w="3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Budget vs Actual</w:t>
            </w:r>
          </w:p>
        </w:tc>
        <w:tc>
          <w:tcPr>
            <w:tcW w:type="dxa" w:w="26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PM, BU Head, Finance</w:t>
            </w:r>
          </w:p>
        </w:tc>
        <w:tc>
          <w:tcPr>
            <w:tcW w:type="dxa" w:w="37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Line-wise variance and forecast at completion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Cash Flow Forecast</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CFO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12-month rolling inflow/outflow, DSO</w:t>
            </w:r>
          </w:p>
        </w:tc>
      </w:tr>
      <w:tr>
        <w:tc>
          <w:tcPr>
            <w:tcW w:type="dxa" w:w="3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Milestone &amp; Inflow Tracker</w:t>
            </w:r>
          </w:p>
        </w:tc>
        <w:tc>
          <w:tcPr>
            <w:tcW w:type="dxa" w:w="26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PM, Finance</w:t>
            </w:r>
          </w:p>
        </w:tc>
        <w:tc>
          <w:tcPr>
            <w:tcW w:type="dxa" w:w="37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Billed vs received vs pending, retention status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Resource Utilization</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Delivery Head</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Allocation %, bench, over-allocation</w:t>
            </w:r>
          </w:p>
        </w:tc>
      </w:tr>
      <w:tr>
        <w:tc>
          <w:tcPr>
            <w:tcW w:type="dxa" w:w="3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Compliance &amp; Validity</w:t>
            </w:r>
          </w:p>
        </w:tc>
        <w:tc>
          <w:tcPr>
            <w:tcW w:type="dxa" w:w="26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Compliance Officer</w:t>
            </w:r>
          </w:p>
        </w:tc>
        <w:tc>
          <w:tcPr>
            <w:tcW w:type="dxa" w:w="37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Expiring certifications, BGs, DSCs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Expense Workbench</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Approver, Finance</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Pending approvals, pending payments, policy exceptions</w:t>
            </w:r>
          </w:p>
        </w:tc>
      </w:tr>
      <w:tr>
        <w:tc>
          <w:tcPr>
            <w:tcW w:type="dxa" w:w="3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Procurement Pipeline</w:t>
            </w:r>
          </w:p>
        </w:tc>
        <w:tc>
          <w:tcPr>
            <w:tcW w:type="dxa" w:w="26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Admin Head, BU Head</w:t>
            </w:r>
          </w:p>
        </w:tc>
        <w:tc>
          <w:tcPr>
            <w:tcW w:type="dxa" w:w="37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Open MRs, indents in flight, PO vs GRN vs Issue status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Vendor Scorecard</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Admin Head, Finance</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OTIF %, quality rejection %, payment cycle, dispute rate</w:t>
            </w:r>
          </w:p>
        </w:tc>
      </w:tr>
      <w:tr>
        <w:tc>
          <w:tcPr>
            <w:tcW w:type="dxa" w:w="3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Stock &amp; Reorder</w:t>
            </w:r>
          </w:p>
        </w:tc>
        <w:tc>
          <w:tcPr>
            <w:tcW w:type="dxa" w:w="26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Stores, Admin</w:t>
            </w:r>
          </w:p>
        </w:tc>
        <w:tc>
          <w:tcPr>
            <w:tcW w:type="dxa" w:w="37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Stock on hand by location, reorder alerts, slow-moving items</w:t>
            </w:r>
          </w:p>
        </w:tc>
      </w:tr>
    </w:tbl>
    <w:p>
      <w:pPr>
        <w:spacing w:after="80" w:before="80"/>
      </w:pPr>
      <w:r>
        <w:t xml:space="preserve"/>
      </w:r>
    </w:p>
    <w:p>
      <w:pPr>
        <w:pStyle w:val="Heading1"/>
        <w:spacing w:after="180" w:before="360"/>
      </w:pPr>
      <w: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Category</w:t>
            </w:r>
          </w:p>
        </w:tc>
        <w:tc>
          <w:tcPr>
            <w:tcW w:type="dxa" w:w="71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Requirement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Security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Role-based access, SSO, MFA for finance roles, encryption at rest and in transit, audit log for every financial change</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Data Residency</w:t>
            </w:r>
          </w:p>
        </w:tc>
        <w:tc>
          <w:tcPr>
            <w:tcW w:type="dxa" w:w="71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Hosting within India to meet government data-sovereignty clauses; backups in separate AZ</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Availability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99.5% monthly uptime; planned maintenance windows outside business hours</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Performance</w:t>
            </w:r>
          </w:p>
        </w:tc>
        <w:tc>
          <w:tcPr>
            <w:tcW w:type="dxa" w:w="71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Dashboard loads &lt; 3 s for 10k records; tender import &lt; 30 s per document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Scalability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Support 200 concurrent users, 10k opportunities and 1k active projects</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Auditability</w:t>
            </w:r>
          </w:p>
        </w:tc>
        <w:tc>
          <w:tcPr>
            <w:tcW w:type="dxa" w:w="71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Immutable audit trail for Cost of Sale, expenses, and inflow entries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Integrations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GeM / CPPP import, GST portal, banking (payment status), e-Sign / DSC, email, calendar, accounting system (Tally / Zoho / SAP)</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Backup &amp; DR</w:t>
            </w:r>
          </w:p>
        </w:tc>
        <w:tc>
          <w:tcPr>
            <w:tcW w:type="dxa" w:w="71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Daily incremental, weekly full; RPO ≤ 24 h, RTO ≤ 8 h</w:t>
            </w:r>
          </w:p>
        </w:tc>
      </w:tr>
    </w:tbl>
    <w:p>
      <w:pPr>
        <w:spacing w:after="80" w:before="80"/>
      </w:pPr>
      <w:r>
        <w:t xml:space="preserve"/>
      </w:r>
    </w:p>
    <w:p>
      <w:pPr>
        <w:pStyle w:val="Heading1"/>
        <w:spacing w:after="180" w:before="360"/>
      </w:pPr>
      <w:r>
        <w:t xml:space="preserve">11. Assumptions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w:t>
            </w:r>
          </w:p>
        </w:tc>
        <w:tc>
          <w:tcPr>
            <w:tcW w:type="dxa" w:w="8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Assumption or Constraint</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A1</w:t>
            </w:r>
          </w:p>
        </w:tc>
        <w:tc>
          <w:tcPr>
            <w:tcW w:type="dxa" w:w="8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The organization primarily responds to Indian government tenders published on GeM, CPPP and department portals</w:t>
            </w:r>
          </w:p>
        </w:tc>
      </w:tr>
      <w:tr>
        <w:tc>
          <w:tcPr>
            <w:tcW w:type="dxa" w:w="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A2</w:t>
            </w:r>
          </w:p>
        </w:tc>
        <w:tc>
          <w:tcPr>
            <w:tcW w:type="dxa" w:w="86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Accounting remains in an external system; this solution is the system of record for opportunities, projects and operational costs only</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A3</w:t>
            </w:r>
          </w:p>
        </w:tc>
        <w:tc>
          <w:tcPr>
            <w:tcW w:type="dxa" w:w="8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Milestone-based billing with retention (typically 5–10%) released after defect-liability period is the dominant revenue model</w:t>
            </w:r>
          </w:p>
        </w:tc>
      </w:tr>
      <w:tr>
        <w:tc>
          <w:tcPr>
            <w:tcW w:type="dxa" w:w="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A4</w:t>
            </w:r>
          </w:p>
        </w:tc>
        <w:tc>
          <w:tcPr>
            <w:tcW w:type="dxa" w:w="86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All users have corporate email and internet access; offline / mobile-first is desirable but not mandatory for v1</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C1</w:t>
            </w:r>
          </w:p>
        </w:tc>
        <w:tc>
          <w:tcPr>
            <w:tcW w:type="dxa" w:w="8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Statutory filings (GST, TDS) continue to be performed in the accounting system; only reference data flows into this solution</w:t>
            </w:r>
          </w:p>
        </w:tc>
      </w:tr>
      <w:tr>
        <w:tc>
          <w:tcPr>
            <w:tcW w:type="dxa" w:w="7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C2</w:t>
            </w:r>
          </w:p>
        </w:tc>
        <w:tc>
          <w:tcPr>
            <w:tcW w:type="dxa" w:w="86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Tender portals do not currently expose open APIs; opportunity import will use document parsing and manual correction for v1</w:t>
            </w:r>
          </w:p>
        </w:tc>
      </w:tr>
    </w:tbl>
    <w:p>
      <w:pPr>
        <w:spacing w:after="80" w:before="80"/>
      </w:pPr>
      <w:r>
        <w:t xml:space="preserve"/>
      </w:r>
    </w:p>
    <w:p>
      <w:pPr>
        <w:pStyle w:val="Heading1"/>
        <w:spacing w:after="180" w:before="360"/>
      </w:pPr>
      <w:r>
        <w:t xml:space="preserve">12. Implementation Roadmap</w:t>
      </w:r>
    </w:p>
    <w:p>
      <w:pPr>
        <w:spacing w:after="80" w:before="80" w:line="300"/>
        <w:jc w:val="both"/>
      </w:pPr>
      <w:r>
        <w:t xml:space="preserve">A phased rollout is recommended so that core organization data is in place before bid activity is moved online, and bid data in turn supports the Execution module. Indicative durations assume a mid-sized contractor with one implementation partner; actual timelines will be refined after requirements elaboration.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Phase</w:t>
            </w:r>
          </w:p>
        </w:tc>
        <w:tc>
          <w:tcPr>
            <w:tcW w:type="dxa" w:w="5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Scope</w:t>
            </w:r>
          </w:p>
        </w:tc>
        <w:tc>
          <w:tcPr>
            <w:tcW w:type="dxa" w:w="1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Duration (indicative)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Phase 1 – Foundation</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Organization Details (incl. Business Units), user &amp; role management, master data</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4–6 weeks</w:t>
            </w:r>
          </w:p>
        </w:tc>
      </w:tr>
      <w:tr>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Phase 2 – Sales</w:t>
            </w:r>
          </w:p>
        </w:tc>
        <w:tc>
          <w:tcPr>
            <w:tcW w:type="dxa" w:w="5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Opportunity, Managed Tenders, Active Tender import, Solution Proposal, Cost of Sale</w:t>
            </w:r>
          </w:p>
        </w:tc>
        <w:tc>
          <w:tcPr>
            <w:tcW w:type="dxa" w:w="1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6–8 weeks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Phase 3 – Execution Core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Project charter, Milestones, WBS, Kanban, basic expense capture</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6–8 weeks</w:t>
            </w:r>
          </w:p>
        </w:tc>
      </w:tr>
      <w:tr>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Phase 4 – Financial Layer</w:t>
            </w:r>
          </w:p>
        </w:tc>
        <w:tc>
          <w:tcPr>
            <w:tcW w:type="dxa" w:w="5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Estimated cost, Inflow plan, Cash flow, Budget vs Actual</w:t>
            </w:r>
          </w:p>
        </w:tc>
        <w:tc>
          <w:tcPr>
            <w:tcW w:type="dxa" w:w="1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4–6 weeks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Phase 5 – Expense Management</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Formal Expense Sheets (Pre-Project and During-Project) with multi-level approval and payment</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3–4 weeks</w:t>
            </w:r>
          </w:p>
        </w:tc>
      </w:tr>
      <w:tr>
        <w:tc>
          <w:tcPr>
            <w:tcW w:type="dxa" w:w="24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Phase 6 – Material &amp; Procurement</w:t>
            </w:r>
          </w:p>
        </w:tc>
        <w:tc>
          <w:tcPr>
            <w:tcW w:type="dxa" w:w="50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Item / Vendor masters, MR → Indent → PO → GRN → Issue cycle, stock ledger</w:t>
            </w:r>
          </w:p>
        </w:tc>
        <w:tc>
          <w:tcPr>
            <w:tcW w:type="dxa" w:w="19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5–7 weeks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Phase 7 – Intelligence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Dashboards, alerts, portfolio views, integrations</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4–6 weeks</w:t>
            </w:r>
          </w:p>
        </w:tc>
      </w:tr>
    </w:tbl>
    <w:p>
      <w:pPr>
        <w:spacing w:after="80" w:before="80"/>
      </w:pPr>
      <w:r>
        <w:t xml:space="preserve"/>
      </w:r>
    </w:p>
    <w:p>
      <w:pPr>
        <w:pStyle w:val="Heading1"/>
        <w:spacing w:after="180" w:before="360"/>
      </w:pPr>
      <w: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Term</w:t>
            </w:r>
          </w:p>
        </w:tc>
        <w:tc>
          <w:tcPr>
            <w:tcW w:type="dxa" w:w="71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20" w:before="20"/>
              <w:jc w:val="left"/>
            </w:pPr>
            <w:r>
              <w:rPr>
                <w:b/>
                <w:bCs/>
                <w:color w:val="FFFFFF"/>
                <w:sz w:val="20"/>
                <w:szCs w:val="20"/>
              </w:rPr>
              <w:t xml:space="preserve">Meaning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RFP / RFQ / RFI / EOI</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Request for Proposal / Quotation / Information / Expression of Interest – instruments used by government to source bids</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DPR</w:t>
            </w:r>
          </w:p>
        </w:tc>
        <w:tc>
          <w:tcPr>
            <w:tcW w:type="dxa" w:w="71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Detailed Project Report – comprehensive document covering scope, architecture, cost, timeline and benefits, submitted to the department for approval before procurement begins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Master SI</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Master System Integrator – the prime contractor that owns overall delivery responsibility and engages sub-contractors, OEMs and implementation partners</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TEC</w:t>
            </w:r>
          </w:p>
        </w:tc>
        <w:tc>
          <w:tcPr>
            <w:tcW w:type="dxa" w:w="71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Technical Evaluation Committee – panel of departmental officers and domain experts that scores the technical bid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QCBS / LCS / L1</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Quality &amp; Cost-Based Selection / Least-Cost Selection / lowest financial bidder among technically qualified — standard award mechanisms</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EMD / Bid Security</w:t>
            </w:r>
          </w:p>
        </w:tc>
        <w:tc>
          <w:tcPr>
            <w:tcW w:type="dxa" w:w="71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Earnest Money Deposit submitted with a bid and refunded after award or rejection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PBG</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Performance Bank Guarantee furnished by the awardee against performance obligations</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LoI / Work Order</w:t>
            </w:r>
          </w:p>
        </w:tc>
        <w:tc>
          <w:tcPr>
            <w:tcW w:type="dxa" w:w="71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Letter of Intent or Work Order confirming award of the contract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GeM</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Government e-Marketplace – national public procurement portal</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CPPP</w:t>
            </w:r>
          </w:p>
        </w:tc>
        <w:tc>
          <w:tcPr>
            <w:tcW w:type="dxa" w:w="71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Central Public Procurement Portal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BoQ</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Bill of Quantities – detailed item-wise pricing schedule</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DSC</w:t>
            </w:r>
          </w:p>
        </w:tc>
        <w:tc>
          <w:tcPr>
            <w:tcW w:type="dxa" w:w="71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Digital Signature Certificate required for e-tender submission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Retention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A percentage of each invoice withheld by the client and released post defect-liability period</w:t>
            </w:r>
          </w:p>
        </w:tc>
      </w:tr>
      <w:tr>
        <w:tc>
          <w:tcPr>
            <w:tcW w:type="dxa" w:w="220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DSO</w:t>
            </w:r>
          </w:p>
        </w:tc>
        <w:tc>
          <w:tcPr>
            <w:tcW w:type="dxa" w:w="7160"/>
            <w:tcBorders>
              <w:top w:val="single" w:color="BFBFBF" w:sz="4"/>
              <w:left w:val="single" w:color="BFBFBF" w:sz="4"/>
              <w:bottom w:val="single" w:color="BFBFBF" w:sz="4"/>
              <w:right w:val="single" w:color="BFBFBF" w:sz="4"/>
            </w:tcBorders>
            <w:shd w:fill="F2F5FA" w:color="auto" w:val="clear"/>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Days Sales Outstanding – average collection period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WBS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b w:val="false"/>
                <w:bCs w:val="false"/>
                <w:color w:val="000000"/>
                <w:sz w:val="20"/>
                <w:szCs w:val="20"/>
              </w:rPr>
              <w:t xml:space="preserve">Work Breakdown Structure – hierarchical decomposition of project scope</w:t>
            </w:r>
          </w:p>
        </w:tc>
      </w:tr>
    </w:tbl>
    <w:p>
      <w:pPr>
        <w:spacing w:after="80" w:before="80"/>
      </w:pPr>
      <w:r>
        <w:t xml:space="preserve"/>
      </w:r>
    </w:p>
    <w:p>
      <w:pPr>
        <w:pStyle w:val="Heading1"/>
        <w:spacing w:after="180" w:before="360"/>
      </w:pPr>
      <w:r>
        <w:t xml:space="preserve">14. Sign-off</w:t>
      </w:r>
    </w:p>
    <w:p>
      <w:pPr>
        <w:spacing w:after="80" w:before="80" w:line="300"/>
        <w:jc w:val="both"/>
      </w:pPr>
      <w:r>
        <w:t xml:space="preserve">This Solution Specification becomes the baseline for design and development once the signatures below are obtained.</w:t>
      </w:r>
    </w:p>
    <w:p>
      <w:pPr>
        <w:spacing w:after="40" w:before="300"/>
      </w:pPr>
      <w:r>
        <w:rPr>
          <w:color w:val="808080"/>
        </w:rPr>
        <w:t xml:space="preserve">_________________________________</w:t>
      </w:r>
    </w:p>
    <w:p>
      <w:pPr>
        <w:spacing w:after="240" w:before="0"/>
      </w:pPr>
      <w:r>
        <w:rPr>
          <w:color w:val="595959"/>
          <w:sz w:val="20"/>
          <w:szCs w:val="20"/>
        </w:rPr>
        <w:t xml:space="preserve">Business Sponsor   |   Name, Designation, Date</w:t>
      </w:r>
    </w:p>
    <w:p>
      <w:pPr>
        <w:spacing w:after="40" w:before="240"/>
      </w:pPr>
      <w:r>
        <w:rPr>
          <w:color w:val="808080"/>
        </w:rPr>
        <w:t xml:space="preserve">_________________________________</w:t>
      </w:r>
    </w:p>
    <w:p>
      <w:pPr>
        <w:spacing w:after="240" w:before="0"/>
      </w:pPr>
      <w:r>
        <w:rPr>
          <w:color w:val="595959"/>
          <w:sz w:val="20"/>
          <w:szCs w:val="20"/>
        </w:rPr>
        <w:t xml:space="preserve">Head of Sales   |   Name, Designation, Date</w:t>
      </w:r>
    </w:p>
    <w:p>
      <w:pPr>
        <w:spacing w:after="40" w:before="240"/>
      </w:pPr>
      <w:r>
        <w:rPr>
          <w:color w:val="808080"/>
        </w:rPr>
        <w:t xml:space="preserve">_________________________________</w:t>
      </w:r>
    </w:p>
    <w:p>
      <w:pPr>
        <w:spacing w:after="240" w:before="0"/>
      </w:pPr>
      <w:r>
        <w:rPr>
          <w:color w:val="595959"/>
          <w:sz w:val="20"/>
          <w:szCs w:val="20"/>
        </w:rPr>
        <w:t xml:space="preserve">Head of Delivery / PMO   |   Name, Designation, Date</w:t>
      </w:r>
    </w:p>
    <w:p>
      <w:pPr>
        <w:spacing w:after="40" w:before="240"/>
      </w:pPr>
      <w:r>
        <w:rPr>
          <w:color w:val="808080"/>
        </w:rPr>
        <w:t xml:space="preserve">_________________________________</w:t>
      </w:r>
    </w:p>
    <w:p>
      <w:pPr>
        <w:spacing w:after="240" w:before="0"/>
      </w:pPr>
      <w:r>
        <w:rPr>
          <w:color w:val="595959"/>
          <w:sz w:val="20"/>
          <w:szCs w:val="20"/>
        </w:rPr>
        <w:t xml:space="preserve">Chief Financial Officer   |   Name, Designation,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tabs>
        <w:tab w:val="right" w:pos="9026"/>
      </w:tabs>
      <w:jc w:val="left"/>
    </w:pPr>
    <w:r>
      <w:rPr>
        <w:color w:val="595959"/>
        <w:sz w:val="18"/>
        <w:szCs w:val="18"/>
      </w:rPr>
      <w:t xml:space="preserve">Confidential  |  Draft for Review</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026"/>
      </w:tabs>
      <w:jc w:val="left"/>
    </w:pPr>
    <w:r>
      <w:rPr>
        <w:b/>
        <w:bCs/>
        <w:color w:val="1F4E79"/>
        <w:sz w:val="18"/>
        <w:szCs w:val="18"/>
      </w:rPr>
      <w:t xml:space="preserve">Solution Specification</w:t>
    </w:r>
    <w:r>
      <w:rPr>
        <w:color w:val="595959"/>
        <w:sz w:val="18"/>
        <w:szCs w:val="18"/>
      </w:rPr>
      <w:t xml:space="preserve">	Government Projects Platform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Specification - Government Projects Platform</dc:title>
  <dc:creator>Solution Architect</dc:creator>
  <dc:description>Integrated Sales &amp; Project Execution Platform for Government Project Contractors</dc:description>
  <cp:lastModifiedBy>Un-named</cp:lastModifiedBy>
  <cp:revision>1</cp:revision>
  <dcterms:created xsi:type="dcterms:W3CDTF">2026-04-16T10:21:03.170Z</dcterms:created>
  <dcterms:modified xsi:type="dcterms:W3CDTF">2026-04-16T10:21:03.171Z</dcterms:modified>
</cp:coreProperties>
</file>

<file path=docProps/custom.xml><?xml version="1.0" encoding="utf-8"?>
<Properties xmlns="http://schemas.openxmlformats.org/officeDocument/2006/custom-properties" xmlns:vt="http://schemas.openxmlformats.org/officeDocument/2006/docPropsVTypes"/>
</file>