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Drive Exceptional Growth in Revenue for Capture a Trip with a Well Planned Funnel Strategy.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</w:rPr>
        <w:drawing>
          <wp:inline distB="114300" distT="114300" distL="114300" distR="114300">
            <wp:extent cx="5731200" cy="38227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Capture a Trip stands as a premier travel company in India, renowned for over 6 years for crafting unforgettable journeys that unite people and satisfy their thirst for adventure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 Objective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aimed to boost sales by leveraging impactful performance marketing strategies.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3581400</wp:posOffset>
            </wp:positionH>
            <wp:positionV relativeFrom="paragraph">
              <wp:posOffset>128829</wp:posOffset>
            </wp:positionV>
            <wp:extent cx="2752504" cy="1838021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504" cy="1838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approach entailed a holistic performance marketing, incorporating a robust funnel strategy to enhance conversion rates. We deployed Meta Engagement Ads, YouTube Video Ads, Email, and WhatsApp Marketing. Additionally, we devised a remarketing campaign to target individuals who had previously interacted with our brand.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3824288</wp:posOffset>
            </wp:positionH>
            <wp:positionV relativeFrom="paragraph">
              <wp:posOffset>114300</wp:posOffset>
            </wp:positionV>
            <wp:extent cx="2386013" cy="2995654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9956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Faced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initial stages, they grappled with elevated Cost Per Acquisition (CPA) metrics and lacked a structured funnel system. Consequently, their expenditure was dispersed haphazardly, resulting in ineffective allocation of budgetary resources.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Modus Operandi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a span of just 2 months, we successfully slashed their Cost Per Acquisition (CPA) by an impressive 30%. Our tailored funnel strategy enabled them to pinpoint and prioritise trips, culminating in a remarkable 35% surge in revenue.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Platform Used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 leveraged Meta Ads Manager to craft engaging campaigns spanning both Top of the Funnel and Remarketing phases. Complementing this, we executed a YouTube ad initiative through Google Ads. Furthermore, we capitalized on Email Marketing and WhatsApp Marketing channels to deliver personalized messages, driving enhanced conversion rates.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Metrics and Analytics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We diligently monitored Key Performance Indicators (KPIs) throughout the campaign. Within two months, notable achievements included a 30% reduction in Cost Per Acquisition (CPA) and an impressive 2500% increase in Return on Investment (ROI)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695325</wp:posOffset>
            </wp:positionH>
            <wp:positionV relativeFrom="paragraph">
              <wp:posOffset>144206</wp:posOffset>
            </wp:positionV>
            <wp:extent cx="3938588" cy="3487155"/>
            <wp:effectExtent b="0" l="0" r="0" t="0"/>
            <wp:wrapSquare wrapText="bothSides" distB="114300" distT="11430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48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Results and Achievements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Return on Investment - 2500%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Conclusion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summary, Capture a Trip's performance marketing endeavor surpassed client expectations, yielding exceptional outcomes characterized by triple-digit sales escalation and an astonishing 2500% return on investment. These results underscore the effectiveness of our strategic approach.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