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1B365D"/>
          <w:sz w:val="40"/>
        </w:rPr>
        <w:t>Solution Requirements Document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3D3D3"/>
          <w:left w:val="none"/>
          <w:bottom w:val="single" w:sz="6" w:space="0" w:color="D3D3D3"/>
          <w:right w:val="none"/>
          <w:insideH w:val="single" w:sz="6" w:space="0" w:color="D3D3D3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Date:</w:t>
            </w:r>
            <w:r>
              <w:rPr>
                <w:rFonts w:ascii="Calibri" w:hAnsi="Calibri"/>
                <w:color w:val="323232"/>
                <w:sz w:val="20"/>
              </w:rPr>
              <w:t xml:space="preserve"> 29-09-2026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>Team ID:</w:t>
            </w:r>
            <w:r>
              <w:rPr>
                <w:rFonts w:ascii="Calibri" w:hAnsi="Calibri"/>
                <w:color w:val="323232"/>
                <w:sz w:val="20"/>
              </w:rPr>
              <w:t xml:space="preserve"> SWTID-2026-2740</w:t>
            </w:r>
          </w:p>
        </w:tc>
        <w:tc>
          <w:tcPr>
            <w:tcW w:type="dxa" w:w="4320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/>
        </w:tc>
      </w:tr>
      <w:tr>
        <w:tc>
          <w:tcPr>
            <w:tcW w:type="dxa" w:w="8640"/>
            <w:gridSpan w:val="2"/>
            <w:shd w:fill="F8F9F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0"/>
              </w:rPr>
              <w:t xml:space="preserve">Project Title: </w:t>
            </w:r>
            <w:r>
              <w:rPr>
                <w:rFonts w:ascii="Calibri" w:hAnsi="Calibri"/>
                <w:color w:val="323232"/>
                <w:sz w:val="20"/>
              </w:rPr>
              <w:t>Streamlining IT Procurement: Automating Standard Laptop Orders with Flow Designer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Calibri" w:hAnsi="Calibri"/>
          <w:sz w:val="21"/>
        </w:rPr>
        <w:t>Define Functional and Non-Functional Requirements:</w:t>
        <w:br/>
        <w:t>Create a comprehensive list of requirements to define exactly what your solution will do and how well it will perform.</w:t>
      </w:r>
    </w:p>
    <w:p>
      <w:pPr>
        <w:spacing w:before="200" w:after="80"/>
      </w:pPr>
      <w:r>
        <w:rPr>
          <w:rFonts w:ascii="Calibri" w:hAnsi="Calibri"/>
          <w:b/>
          <w:color w:val="1B365D"/>
          <w:sz w:val="26"/>
        </w:rPr>
        <w:t>Step 1: Functional Requirements (FR)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S.No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Requirement Category</w:t>
            </w:r>
          </w:p>
        </w:tc>
        <w:tc>
          <w:tcPr>
            <w:tcW w:type="dxa" w:w="460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Requirement Description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Priority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1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Authentication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Users securely log in to the ServiceNow portal using enterprise single sign-on (SSO) or credentials.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Authorization levels</w:t>
            </w:r>
          </w:p>
        </w:tc>
        <w:tc>
          <w:tcPr>
            <w:tcW w:type="dxa" w:w="4608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Defines user roles including Requester, Approver (Manager/Director), and Hardware Fulfillment Team with specific access permissions.</w:t>
            </w:r>
          </w:p>
        </w:tc>
        <w:tc>
          <w:tcPr>
            <w:tcW w:type="dxa" w:w="1728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3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External interfaces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Integrates with ServiceNow notification engine for email alerts and corporate directory (LDAP/Azure AD) for user profiles.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Medium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4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Transactions processing</w:t>
            </w:r>
          </w:p>
        </w:tc>
        <w:tc>
          <w:tcPr>
            <w:tcW w:type="dxa" w:w="4608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Handles service catalog request submission (REQ), requested item generation (RITM), and catalog task routing (SCTASK).</w:t>
            </w:r>
          </w:p>
        </w:tc>
        <w:tc>
          <w:tcPr>
            <w:tcW w:type="dxa" w:w="1728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5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Reporting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Generates real-time dashboards and reports tracking procurement status, fulfillment times, and department resource utilization.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Medium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6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Business rules, etc.</w:t>
            </w:r>
          </w:p>
        </w:tc>
        <w:tc>
          <w:tcPr>
            <w:tcW w:type="dxa" w:w="4608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Automates flow execution via Flow Designer: upon request approval, automatically generates catalog task assigned to the Hardware group with updated short description.</w:t>
            </w:r>
          </w:p>
        </w:tc>
        <w:tc>
          <w:tcPr>
            <w:tcW w:type="dxa" w:w="1728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7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Compliance to laws or regulations</w:t>
            </w:r>
          </w:p>
        </w:tc>
        <w:tc>
          <w:tcPr>
            <w:tcW w:type="dxa" w:w="460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Adheres to corporate IT asset management policies, data privacy guidelines, and secure audit logging standards.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8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Other</w:t>
            </w:r>
          </w:p>
        </w:tc>
        <w:tc>
          <w:tcPr>
            <w:tcW w:type="dxa" w:w="4608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Provides self-service tracking interface for users to check order status, delivery dates, and configuration updates.</w:t>
            </w:r>
          </w:p>
        </w:tc>
        <w:tc>
          <w:tcPr>
            <w:tcW w:type="dxa" w:w="1728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Low</w:t>
            </w:r>
          </w:p>
        </w:tc>
      </w:tr>
    </w:tbl>
    <w:p>
      <w:pPr>
        <w:spacing w:after="200"/>
      </w:pPr>
    </w:p>
    <w:p>
      <w:pPr>
        <w:spacing w:before="200" w:after="80"/>
      </w:pPr>
      <w:r>
        <w:rPr>
          <w:rFonts w:ascii="Calibri" w:hAnsi="Calibri"/>
          <w:b/>
          <w:color w:val="1B365D"/>
          <w:sz w:val="26"/>
        </w:rPr>
        <w:t>Step 2: Non-Functional Requirements (NFR)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S.No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NFR Category</w:t>
            </w:r>
          </w:p>
        </w:tc>
        <w:tc>
          <w:tcPr>
            <w:tcW w:type="dxa" w:w="3600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Requirement Description</w:t>
            </w:r>
          </w:p>
        </w:tc>
        <w:tc>
          <w:tcPr>
            <w:tcW w:type="dxa" w:w="2736"/>
            <w:shd w:fill="1B365D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1"/>
              </w:rPr>
              <w:t>Target Metric / Acceptance Criteria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1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Performance &amp; Speed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System ensures rapid page loading and rapid flow execution for catalog submissions.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Page loads in &lt; 2 seconds; flow triggers within 1 second.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2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Scalability</w:t>
            </w:r>
          </w:p>
        </w:tc>
        <w:tc>
          <w:tcPr>
            <w:tcW w:type="dxa" w:w="360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Platform scales smoothly to handle growing numbers of employees and concurrent IT procurement requests.</w:t>
            </w:r>
          </w:p>
        </w:tc>
        <w:tc>
          <w:tcPr>
            <w:tcW w:type="dxa" w:w="2736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Supports up to 10,000 concurrent users without degradation.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3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Security &amp; Data Privacy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Ensures role-based access control, secure data transmission, and encryption for sensitive employee and asset data.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End-to-end HTTPS/TLS encryption and role-based ACLs.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4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Reliability &amp; Availability</w:t>
            </w:r>
          </w:p>
        </w:tc>
        <w:tc>
          <w:tcPr>
            <w:tcW w:type="dxa" w:w="360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High availability of the ServiceNow cloud infrastructure to ensure continuous IT procurement operations.</w:t>
            </w:r>
          </w:p>
        </w:tc>
        <w:tc>
          <w:tcPr>
            <w:tcW w:type="dxa" w:w="2736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99.9% uptime per month.</w:t>
            </w:r>
          </w:p>
        </w:tc>
      </w:tr>
      <w:tr>
        <w:tc>
          <w:tcPr>
            <w:tcW w:type="dxa" w:w="86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5</w:t>
            </w:r>
          </w:p>
        </w:tc>
        <w:tc>
          <w:tcPr>
            <w:tcW w:type="dxa" w:w="216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Usability &amp; Accessibility</w:t>
            </w:r>
          </w:p>
        </w:tc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Intuitive user interface adhering to modern accessibility and design standards for all employees.</w:t>
            </w:r>
          </w:p>
        </w:tc>
        <w:tc>
          <w:tcPr>
            <w:tcW w:type="dxa" w:w="2736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Complies with WCAG 2.1 AA standards.</w:t>
            </w:r>
          </w:p>
        </w:tc>
      </w:tr>
      <w:tr>
        <w:tc>
          <w:tcPr>
            <w:tcW w:type="dxa" w:w="864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6</w:t>
            </w:r>
          </w:p>
        </w:tc>
        <w:tc>
          <w:tcPr>
            <w:tcW w:type="dxa" w:w="216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Other (Maintainability)</w:t>
            </w:r>
          </w:p>
        </w:tc>
        <w:tc>
          <w:tcPr>
            <w:tcW w:type="dxa" w:w="3600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Modular design using Flow Designer subflows and catalog items for easy future modifications and maintenance.</w:t>
            </w:r>
          </w:p>
        </w:tc>
        <w:tc>
          <w:tcPr>
            <w:tcW w:type="dxa" w:w="2736"/>
            <w:shd w:fill="F1F3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323232"/>
                <w:sz w:val="20"/>
              </w:rPr>
              <w:t>Updates and modifications deployable via Update Sets.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