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Scalability &amp; Future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before="0"/>
            </w:pPr>
            <w:r>
              <w:rPr>
                <w:rFonts w:ascii="Arial" w:hAnsi="Arial"/>
                <w:b/>
                <w:sz w:val="18"/>
              </w:rPr>
              <w:t>Date</w:t>
            </w:r>
          </w:p>
        </w:tc>
        <w:tc>
          <w:tcPr>
            <w:tcW w:type="dxa" w:w="5112"/>
            <w:vAlign w:val="center"/>
          </w:tcPr>
          <w:p>
            <w:pPr>
              <w:spacing w:after="0" w:before="0"/>
            </w:pPr>
            <w:r>
              <w:rPr>
                <w:rFonts w:ascii="Arial" w:hAnsi="Arial"/>
                <w:sz w:val="18"/>
              </w:rPr>
              <w:t>29-09-2026</w:t>
            </w:r>
          </w:p>
        </w:tc>
      </w:tr>
      <w:tr>
        <w:tc>
          <w:tcPr>
            <w:tcW w:type="dxa" w:w="5112"/>
            <w:vAlign w:val="center"/>
          </w:tcPr>
          <w:p>
            <w:pPr>
              <w:spacing w:after="0" w:before="0"/>
            </w:pPr>
            <w:r>
              <w:rPr>
                <w:rFonts w:ascii="Arial" w:hAnsi="Arial"/>
                <w:b/>
                <w:sz w:val="18"/>
              </w:rPr>
              <w:t>Team ID</w:t>
            </w:r>
          </w:p>
        </w:tc>
        <w:tc>
          <w:tcPr>
            <w:tcW w:type="dxa" w:w="5112"/>
            <w:vAlign w:val="center"/>
          </w:tcPr>
          <w:p>
            <w:pPr>
              <w:spacing w:after="0" w:before="0"/>
            </w:pPr>
            <w:r>
              <w:rPr>
                <w:rFonts w:ascii="Arial" w:hAnsi="Arial"/>
                <w:sz w:val="18"/>
              </w:rPr>
              <w:t>SWTID-2026-2740</w:t>
            </w:r>
          </w:p>
        </w:tc>
      </w:tr>
      <w:tr>
        <w:tc>
          <w:tcPr>
            <w:tcW w:type="dxa" w:w="5112"/>
            <w:vAlign w:val="center"/>
          </w:tcPr>
          <w:p>
            <w:pPr>
              <w:spacing w:after="0" w:before="0"/>
            </w:pPr>
            <w:r>
              <w:rPr>
                <w:rFonts w:ascii="Arial" w:hAnsi="Arial"/>
                <w:b/>
                <w:sz w:val="18"/>
              </w:rPr>
              <w:t>Project Name</w:t>
            </w:r>
          </w:p>
        </w:tc>
        <w:tc>
          <w:tcPr>
            <w:tcW w:type="dxa" w:w="5112"/>
            <w:vAlign w:val="center"/>
          </w:tcPr>
          <w:p>
            <w:pPr>
              <w:spacing w:after="0" w:before="0"/>
            </w:pPr>
            <w:r>
              <w:rPr>
                <w:rFonts w:ascii="Arial" w:hAnsi="Arial"/>
                <w:sz w:val="18"/>
              </w:rPr>
              <w:t>Streamlining IT Procurement: Automating Standard Laptop Orders with Flow Designer</w:t>
            </w:r>
          </w:p>
        </w:tc>
      </w:tr>
    </w:tbl>
    <w:p/>
    <w:p>
      <w:r>
        <w:rPr>
          <w:rFonts w:ascii="Arial" w:hAnsi="Arial"/>
          <w:b/>
        </w:rPr>
        <w:t>Scalability &amp; Future Plan:</w:t>
      </w:r>
    </w:p>
    <w:p>
      <w:r>
        <w:t>This document outlines how the current ServiceNow Flow Designer solution for standard laptop procurement can be scaled to support more requests, larger IT operations, and additional automation features in the future. It also provides a roadmap for improving the automated procurement and configuration workflow.</w:t>
      </w:r>
    </w:p>
    <w:p>
      <w:r>
        <w:rPr>
          <w:rFonts w:ascii="Arial" w:hAnsi="Arial"/>
          <w:b/>
        </w:rPr>
        <w:t>Current System Limitations: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before="0"/>
            </w:pPr>
            <w:r>
              <w:rPr>
                <w:rFonts w:ascii="Arial" w:hAnsi="Arial"/>
                <w:b/>
                <w:sz w:val="18"/>
              </w:rPr>
              <w:t>S.No</w:t>
            </w:r>
          </w:p>
        </w:tc>
        <w:tc>
          <w:tcPr>
            <w:tcW w:type="dxa" w:w="2556"/>
            <w:vAlign w:val="center"/>
          </w:tcPr>
          <w:p>
            <w:pPr>
              <w:spacing w:after="0" w:before="0"/>
            </w:pPr>
            <w:r>
              <w:rPr>
                <w:rFonts w:ascii="Arial" w:hAnsi="Arial"/>
                <w:b/>
                <w:sz w:val="18"/>
              </w:rPr>
              <w:t>Limitation</w:t>
            </w:r>
          </w:p>
        </w:tc>
        <w:tc>
          <w:tcPr>
            <w:tcW w:type="dxa" w:w="2556"/>
            <w:vAlign w:val="center"/>
          </w:tcPr>
          <w:p>
            <w:pPr>
              <w:spacing w:after="0" w:before="0"/>
            </w:pPr>
            <w:r>
              <w:rPr>
                <w:rFonts w:ascii="Arial" w:hAnsi="Arial"/>
                <w:b/>
                <w:sz w:val="18"/>
              </w:rPr>
              <w:t>Impact</w:t>
            </w:r>
          </w:p>
        </w:tc>
        <w:tc>
          <w:tcPr>
            <w:tcW w:type="dxa" w:w="2556"/>
            <w:vAlign w:val="center"/>
          </w:tcPr>
          <w:p>
            <w:pPr>
              <w:spacing w:after="0" w:before="0"/>
            </w:pPr>
            <w:r>
              <w:rPr>
                <w:rFonts w:ascii="Arial" w:hAnsi="Arial"/>
                <w:b/>
                <w:sz w:val="18"/>
              </w:rPr>
              <w:t>Priority to Address</w:t>
            </w:r>
          </w:p>
        </w:tc>
      </w:tr>
      <w:tr>
        <w:tc>
          <w:tcPr>
            <w:tcW w:type="dxa" w:w="2556"/>
            <w:vAlign w:val="center"/>
          </w:tcPr>
          <w:p>
            <w:pPr>
              <w:spacing w:after="0" w:before="0"/>
            </w:pPr>
            <w:r>
              <w:rPr>
                <w:rFonts w:ascii="Arial" w:hAnsi="Arial"/>
                <w:sz w:val="18"/>
              </w:rPr>
              <w:t>1</w:t>
            </w:r>
          </w:p>
        </w:tc>
        <w:tc>
          <w:tcPr>
            <w:tcW w:type="dxa" w:w="2556"/>
            <w:vAlign w:val="center"/>
          </w:tcPr>
          <w:p>
            <w:pPr>
              <w:spacing w:after="0" w:before="0"/>
            </w:pPr>
            <w:r>
              <w:rPr>
                <w:rFonts w:ascii="Arial" w:hAnsi="Arial"/>
                <w:sz w:val="18"/>
              </w:rPr>
              <w:t>The current workflow is focused on standard laptop orders.</w:t>
            </w:r>
          </w:p>
        </w:tc>
        <w:tc>
          <w:tcPr>
            <w:tcW w:type="dxa" w:w="2556"/>
            <w:vAlign w:val="center"/>
          </w:tcPr>
          <w:p>
            <w:pPr>
              <w:spacing w:after="0" w:before="0"/>
            </w:pPr>
            <w:r>
              <w:rPr>
                <w:rFonts w:ascii="Arial" w:hAnsi="Arial"/>
                <w:sz w:val="18"/>
              </w:rPr>
              <w:t>Non-standard or special laptop requests may still require additional manual handling.</w:t>
            </w:r>
          </w:p>
        </w:tc>
        <w:tc>
          <w:tcPr>
            <w:tcW w:type="dxa" w:w="2556"/>
            <w:vAlign w:val="center"/>
          </w:tcPr>
          <w:p>
            <w:pPr>
              <w:spacing w:after="0" w:before="0"/>
            </w:pPr>
            <w:r>
              <w:rPr>
                <w:rFonts w:ascii="Arial" w:hAnsi="Arial"/>
                <w:sz w:val="18"/>
              </w:rPr>
              <w:t>Medium</w:t>
            </w:r>
          </w:p>
        </w:tc>
      </w:tr>
      <w:tr>
        <w:tc>
          <w:tcPr>
            <w:tcW w:type="dxa" w:w="2556"/>
            <w:vAlign w:val="center"/>
          </w:tcPr>
          <w:p>
            <w:pPr>
              <w:spacing w:after="0" w:before="0"/>
            </w:pPr>
            <w:r>
              <w:rPr>
                <w:rFonts w:ascii="Arial" w:hAnsi="Arial"/>
                <w:sz w:val="18"/>
              </w:rPr>
              <w:t>2</w:t>
            </w:r>
          </w:p>
        </w:tc>
        <w:tc>
          <w:tcPr>
            <w:tcW w:type="dxa" w:w="2556"/>
            <w:vAlign w:val="center"/>
          </w:tcPr>
          <w:p>
            <w:pPr>
              <w:spacing w:after="0" w:before="0"/>
            </w:pPr>
            <w:r>
              <w:rPr>
                <w:rFonts w:ascii="Arial" w:hAnsi="Arial"/>
                <w:sz w:val="18"/>
              </w:rPr>
              <w:t>The flow mainly creates and assigns the catalog task to the Hardware group after approval.</w:t>
            </w:r>
          </w:p>
        </w:tc>
        <w:tc>
          <w:tcPr>
            <w:tcW w:type="dxa" w:w="2556"/>
            <w:vAlign w:val="center"/>
          </w:tcPr>
          <w:p>
            <w:pPr>
              <w:spacing w:after="0" w:before="0"/>
            </w:pPr>
            <w:r>
              <w:rPr>
                <w:rFonts w:ascii="Arial" w:hAnsi="Arial"/>
                <w:sz w:val="18"/>
              </w:rPr>
              <w:t>Further procurement and configuration steps may need manual coordination.</w:t>
            </w:r>
          </w:p>
        </w:tc>
        <w:tc>
          <w:tcPr>
            <w:tcW w:type="dxa" w:w="2556"/>
            <w:vAlign w:val="center"/>
          </w:tcPr>
          <w:p>
            <w:pPr>
              <w:spacing w:after="0" w:before="0"/>
            </w:pPr>
            <w:r>
              <w:rPr>
                <w:rFonts w:ascii="Arial" w:hAnsi="Arial"/>
                <w:sz w:val="18"/>
              </w:rPr>
              <w:t>Medium</w:t>
            </w:r>
          </w:p>
        </w:tc>
      </w:tr>
      <w:tr>
        <w:tc>
          <w:tcPr>
            <w:tcW w:type="dxa" w:w="2556"/>
            <w:vAlign w:val="center"/>
          </w:tcPr>
          <w:p>
            <w:pPr>
              <w:spacing w:after="0" w:before="0"/>
            </w:pPr>
            <w:r>
              <w:rPr>
                <w:rFonts w:ascii="Arial" w:hAnsi="Arial"/>
                <w:sz w:val="18"/>
              </w:rPr>
              <w:t>3</w:t>
            </w:r>
          </w:p>
        </w:tc>
        <w:tc>
          <w:tcPr>
            <w:tcW w:type="dxa" w:w="2556"/>
            <w:vAlign w:val="center"/>
          </w:tcPr>
          <w:p>
            <w:pPr>
              <w:spacing w:after="0" w:before="0"/>
            </w:pPr>
            <w:r>
              <w:rPr>
                <w:rFonts w:ascii="Arial" w:hAnsi="Arial"/>
                <w:sz w:val="18"/>
              </w:rPr>
              <w:t>The current project does not include advanced reporting, notifications, or integration with external procurement systems.</w:t>
            </w:r>
          </w:p>
        </w:tc>
        <w:tc>
          <w:tcPr>
            <w:tcW w:type="dxa" w:w="2556"/>
            <w:vAlign w:val="center"/>
          </w:tcPr>
          <w:p>
            <w:pPr>
              <w:spacing w:after="0" w:before="0"/>
            </w:pPr>
            <w:r>
              <w:rPr>
                <w:rFonts w:ascii="Arial" w:hAnsi="Arial"/>
                <w:sz w:val="18"/>
              </w:rPr>
              <w:t>Limited visibility and automation beyond the ServiceNow catalog workflow.</w:t>
            </w:r>
          </w:p>
        </w:tc>
        <w:tc>
          <w:tcPr>
            <w:tcW w:type="dxa" w:w="2556"/>
            <w:vAlign w:val="center"/>
          </w:tcPr>
          <w:p>
            <w:pPr>
              <w:spacing w:after="0" w:before="0"/>
            </w:pPr>
            <w:r>
              <w:rPr>
                <w:rFonts w:ascii="Arial" w:hAnsi="Arial"/>
                <w:sz w:val="18"/>
              </w:rPr>
              <w:t>Low</w:t>
            </w:r>
          </w:p>
        </w:tc>
      </w:tr>
    </w:tbl>
    <w:p/>
    <w:p>
      <w:r>
        <w:rPr>
          <w:rFonts w:ascii="Arial" w:hAnsi="Arial"/>
          <w:b/>
        </w:rPr>
        <w:t>Scalability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before="0"/>
            </w:pPr>
            <w:r>
              <w:rPr>
                <w:rFonts w:ascii="Arial" w:hAnsi="Arial"/>
                <w:b/>
                <w:sz w:val="18"/>
              </w:rPr>
              <w:t>S.No</w:t>
            </w:r>
          </w:p>
        </w:tc>
        <w:tc>
          <w:tcPr>
            <w:tcW w:type="dxa" w:w="2556"/>
            <w:vAlign w:val="center"/>
          </w:tcPr>
          <w:p>
            <w:pPr>
              <w:spacing w:after="0" w:before="0"/>
            </w:pPr>
            <w:r>
              <w:rPr>
                <w:rFonts w:ascii="Arial" w:hAnsi="Arial"/>
                <w:b/>
                <w:sz w:val="18"/>
              </w:rPr>
              <w:t>Scalability Aspect</w:t>
            </w:r>
          </w:p>
        </w:tc>
        <w:tc>
          <w:tcPr>
            <w:tcW w:type="dxa" w:w="2556"/>
            <w:vAlign w:val="center"/>
          </w:tcPr>
          <w:p>
            <w:pPr>
              <w:spacing w:after="0" w:before="0"/>
            </w:pPr>
            <w:r>
              <w:rPr>
                <w:rFonts w:ascii="Arial" w:hAnsi="Arial"/>
                <w:b/>
                <w:sz w:val="18"/>
              </w:rPr>
              <w:t>Current State</w:t>
            </w:r>
          </w:p>
        </w:tc>
        <w:tc>
          <w:tcPr>
            <w:tcW w:type="dxa" w:w="2556"/>
            <w:vAlign w:val="center"/>
          </w:tcPr>
          <w:p>
            <w:pPr>
              <w:spacing w:after="0" w:before="0"/>
            </w:pPr>
            <w:r>
              <w:rPr>
                <w:rFonts w:ascii="Arial" w:hAnsi="Arial"/>
                <w:b/>
                <w:sz w:val="18"/>
              </w:rPr>
              <w:t>Proposed Upgrade / Solution</w:t>
            </w:r>
          </w:p>
        </w:tc>
      </w:tr>
      <w:tr>
        <w:tc>
          <w:tcPr>
            <w:tcW w:type="dxa" w:w="2556"/>
            <w:vAlign w:val="center"/>
          </w:tcPr>
          <w:p>
            <w:pPr>
              <w:spacing w:after="0" w:before="0"/>
            </w:pPr>
            <w:r>
              <w:rPr>
                <w:rFonts w:ascii="Arial" w:hAnsi="Arial"/>
                <w:sz w:val="18"/>
              </w:rPr>
              <w:t>1</w:t>
            </w:r>
          </w:p>
        </w:tc>
        <w:tc>
          <w:tcPr>
            <w:tcW w:type="dxa" w:w="2556"/>
            <w:vAlign w:val="center"/>
          </w:tcPr>
          <w:p>
            <w:pPr>
              <w:spacing w:after="0" w:before="0"/>
            </w:pPr>
            <w:r>
              <w:rPr>
                <w:rFonts w:ascii="Arial" w:hAnsi="Arial"/>
                <w:sz w:val="18"/>
              </w:rPr>
              <w:t>User Load</w:t>
            </w:r>
          </w:p>
        </w:tc>
        <w:tc>
          <w:tcPr>
            <w:tcW w:type="dxa" w:w="2556"/>
            <w:vAlign w:val="center"/>
          </w:tcPr>
          <w:p>
            <w:pPr>
              <w:spacing w:after="0" w:before="0"/>
            </w:pPr>
            <w:r>
              <w:rPr>
                <w:rFonts w:ascii="Arial" w:hAnsi="Arial"/>
                <w:sz w:val="18"/>
              </w:rPr>
              <w:t>The flow handles standard laptop requests through the Service Catalog.</w:t>
            </w:r>
          </w:p>
        </w:tc>
        <w:tc>
          <w:tcPr>
            <w:tcW w:type="dxa" w:w="2556"/>
            <w:vAlign w:val="center"/>
          </w:tcPr>
          <w:p>
            <w:pPr>
              <w:spacing w:after="0" w:before="0"/>
            </w:pPr>
            <w:r>
              <w:rPr>
                <w:rFonts w:ascii="Arial" w:hAnsi="Arial"/>
                <w:sz w:val="18"/>
              </w:rPr>
              <w:t>Extend the automated flow to support a larger number of users and requests while keeping automatic task creation and assignment.</w:t>
            </w:r>
          </w:p>
        </w:tc>
      </w:tr>
      <w:tr>
        <w:tc>
          <w:tcPr>
            <w:tcW w:type="dxa" w:w="2556"/>
            <w:vAlign w:val="center"/>
          </w:tcPr>
          <w:p>
            <w:pPr>
              <w:spacing w:after="0" w:before="0"/>
            </w:pPr>
            <w:r>
              <w:rPr>
                <w:rFonts w:ascii="Arial" w:hAnsi="Arial"/>
                <w:sz w:val="18"/>
              </w:rPr>
              <w:t>2</w:t>
            </w:r>
          </w:p>
        </w:tc>
        <w:tc>
          <w:tcPr>
            <w:tcW w:type="dxa" w:w="2556"/>
            <w:vAlign w:val="center"/>
          </w:tcPr>
          <w:p>
            <w:pPr>
              <w:spacing w:after="0" w:before="0"/>
            </w:pPr>
            <w:r>
              <w:rPr>
                <w:rFonts w:ascii="Arial" w:hAnsi="Arial"/>
                <w:sz w:val="18"/>
              </w:rPr>
              <w:t>Data Storage</w:t>
            </w:r>
          </w:p>
        </w:tc>
        <w:tc>
          <w:tcPr>
            <w:tcW w:type="dxa" w:w="2556"/>
            <w:vAlign w:val="center"/>
          </w:tcPr>
          <w:p>
            <w:pPr>
              <w:spacing w:after="0" w:before="0"/>
            </w:pPr>
            <w:r>
              <w:rPr>
                <w:rFonts w:ascii="Arial" w:hAnsi="Arial"/>
                <w:sz w:val="18"/>
              </w:rPr>
              <w:t>Request, approval, requested item, and catalog task information are maintained in ServiceNow.</w:t>
            </w:r>
          </w:p>
        </w:tc>
        <w:tc>
          <w:tcPr>
            <w:tcW w:type="dxa" w:w="2556"/>
            <w:vAlign w:val="center"/>
          </w:tcPr>
          <w:p>
            <w:pPr>
              <w:spacing w:after="0" w:before="0"/>
            </w:pPr>
            <w:r>
              <w:rPr>
                <w:rFonts w:ascii="Arial" w:hAnsi="Arial"/>
                <w:sz w:val="18"/>
              </w:rPr>
              <w:t>Use structured ServiceNow records and improve data organization and retention as procurement records increase.</w:t>
            </w:r>
          </w:p>
        </w:tc>
      </w:tr>
      <w:tr>
        <w:tc>
          <w:tcPr>
            <w:tcW w:type="dxa" w:w="2556"/>
            <w:vAlign w:val="center"/>
          </w:tcPr>
          <w:p>
            <w:pPr>
              <w:spacing w:after="0" w:before="0"/>
            </w:pPr>
            <w:r>
              <w:rPr>
                <w:rFonts w:ascii="Arial" w:hAnsi="Arial"/>
                <w:sz w:val="18"/>
              </w:rPr>
              <w:t>3</w:t>
            </w:r>
          </w:p>
        </w:tc>
        <w:tc>
          <w:tcPr>
            <w:tcW w:type="dxa" w:w="2556"/>
            <w:vAlign w:val="center"/>
          </w:tcPr>
          <w:p>
            <w:pPr>
              <w:spacing w:after="0" w:before="0"/>
            </w:pPr>
            <w:r>
              <w:rPr>
                <w:rFonts w:ascii="Arial" w:hAnsi="Arial"/>
                <w:sz w:val="18"/>
              </w:rPr>
              <w:t>Performance</w:t>
            </w:r>
          </w:p>
        </w:tc>
        <w:tc>
          <w:tcPr>
            <w:tcW w:type="dxa" w:w="2556"/>
            <w:vAlign w:val="center"/>
          </w:tcPr>
          <w:p>
            <w:pPr>
              <w:spacing w:after="0" w:before="0"/>
            </w:pPr>
            <w:r>
              <w:rPr>
                <w:rFonts w:ascii="Arial" w:hAnsi="Arial"/>
                <w:sz w:val="18"/>
              </w:rPr>
              <w:t>Flow Designer automatically creates the catalog task after the required approval.</w:t>
            </w:r>
          </w:p>
        </w:tc>
        <w:tc>
          <w:tcPr>
            <w:tcW w:type="dxa" w:w="2556"/>
            <w:vAlign w:val="center"/>
          </w:tcPr>
          <w:p>
            <w:pPr>
              <w:spacing w:after="0" w:before="0"/>
            </w:pPr>
            <w:r>
              <w:rPr>
                <w:rFonts w:ascii="Arial" w:hAnsi="Arial"/>
                <w:sz w:val="18"/>
              </w:rPr>
              <w:t>Optimize flows and actions for higher request volumes and add monitoring to identify processing delays.</w:t>
            </w:r>
          </w:p>
        </w:tc>
      </w:tr>
      <w:tr>
        <w:tc>
          <w:tcPr>
            <w:tcW w:type="dxa" w:w="2556"/>
            <w:vAlign w:val="center"/>
          </w:tcPr>
          <w:p>
            <w:pPr>
              <w:spacing w:after="0" w:before="0"/>
            </w:pPr>
            <w:r>
              <w:rPr>
                <w:rFonts w:ascii="Arial" w:hAnsi="Arial"/>
                <w:sz w:val="18"/>
              </w:rPr>
              <w:t>4</w:t>
            </w:r>
          </w:p>
        </w:tc>
        <w:tc>
          <w:tcPr>
            <w:tcW w:type="dxa" w:w="2556"/>
            <w:vAlign w:val="center"/>
          </w:tcPr>
          <w:p>
            <w:pPr>
              <w:spacing w:after="0" w:before="0"/>
            </w:pPr>
            <w:r>
              <w:rPr>
                <w:rFonts w:ascii="Arial" w:hAnsi="Arial"/>
                <w:sz w:val="18"/>
              </w:rPr>
              <w:t>Security</w:t>
            </w:r>
          </w:p>
        </w:tc>
        <w:tc>
          <w:tcPr>
            <w:tcW w:type="dxa" w:w="2556"/>
            <w:vAlign w:val="center"/>
          </w:tcPr>
          <w:p>
            <w:pPr>
              <w:spacing w:after="0" w:before="0"/>
            </w:pPr>
            <w:r>
              <w:rPr>
                <w:rFonts w:ascii="Arial" w:hAnsi="Arial"/>
                <w:sz w:val="18"/>
              </w:rPr>
              <w:t>The flow runs as a System user and uses approval before creating the task.</w:t>
            </w:r>
          </w:p>
        </w:tc>
        <w:tc>
          <w:tcPr>
            <w:tcW w:type="dxa" w:w="2556"/>
            <w:vAlign w:val="center"/>
          </w:tcPr>
          <w:p>
            <w:pPr>
              <w:spacing w:after="0" w:before="0"/>
            </w:pPr>
            <w:r>
              <w:rPr>
                <w:rFonts w:ascii="Arial" w:hAnsi="Arial"/>
                <w:sz w:val="18"/>
              </w:rPr>
              <w:t>Strengthen role-based access, approval controls, and audit tracking for procurement and hardware activities.</w:t>
            </w:r>
          </w:p>
        </w:tc>
      </w:tr>
    </w:tbl>
    <w:p/>
    <w:p>
      <w:r>
        <w:rPr>
          <w:rFonts w:ascii="Arial" w:hAnsi="Arial"/>
          <w:b/>
        </w:rPr>
        <w:t>Future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before="0"/>
            </w:pPr>
            <w:r>
              <w:rPr>
                <w:rFonts w:ascii="Arial" w:hAnsi="Arial"/>
                <w:b/>
                <w:sz w:val="18"/>
              </w:rPr>
              <w:t>Phase</w:t>
            </w:r>
          </w:p>
        </w:tc>
        <w:tc>
          <w:tcPr>
            <w:tcW w:type="dxa" w:w="2556"/>
            <w:vAlign w:val="center"/>
          </w:tcPr>
          <w:p>
            <w:pPr>
              <w:spacing w:after="0" w:before="0"/>
            </w:pPr>
            <w:r>
              <w:rPr>
                <w:rFonts w:ascii="Arial" w:hAnsi="Arial"/>
                <w:b/>
                <w:sz w:val="18"/>
              </w:rPr>
              <w:t>Planned Feature / Enhancement</w:t>
            </w:r>
          </w:p>
        </w:tc>
        <w:tc>
          <w:tcPr>
            <w:tcW w:type="dxa" w:w="2556"/>
            <w:vAlign w:val="center"/>
          </w:tcPr>
          <w:p>
            <w:pPr>
              <w:spacing w:after="0" w:before="0"/>
            </w:pPr>
            <w:r>
              <w:rPr>
                <w:rFonts w:ascii="Arial" w:hAnsi="Arial"/>
                <w:b/>
                <w:sz w:val="18"/>
              </w:rPr>
              <w:t>Target Timeline</w:t>
            </w:r>
          </w:p>
        </w:tc>
        <w:tc>
          <w:tcPr>
            <w:tcW w:type="dxa" w:w="2556"/>
            <w:vAlign w:val="center"/>
          </w:tcPr>
          <w:p>
            <w:pPr>
              <w:spacing w:after="0" w:before="0"/>
            </w:pPr>
            <w:r>
              <w:rPr>
                <w:rFonts w:ascii="Arial" w:hAnsi="Arial"/>
                <w:b/>
                <w:sz w:val="18"/>
              </w:rPr>
              <w:t>Expected Impact</w:t>
            </w:r>
          </w:p>
        </w:tc>
      </w:tr>
      <w:tr>
        <w:tc>
          <w:tcPr>
            <w:tcW w:type="dxa" w:w="2556"/>
            <w:vAlign w:val="center"/>
          </w:tcPr>
          <w:p>
            <w:pPr>
              <w:spacing w:after="0" w:before="0"/>
            </w:pPr>
            <w:r>
              <w:rPr>
                <w:rFonts w:ascii="Arial" w:hAnsi="Arial"/>
                <w:sz w:val="18"/>
              </w:rPr>
              <w:t>Phase 1</w:t>
            </w:r>
          </w:p>
        </w:tc>
        <w:tc>
          <w:tcPr>
            <w:tcW w:type="dxa" w:w="2556"/>
            <w:vAlign w:val="center"/>
          </w:tcPr>
          <w:p>
            <w:pPr>
              <w:spacing w:after="0" w:before="0"/>
            </w:pPr>
            <w:r>
              <w:rPr>
                <w:rFonts w:ascii="Arial" w:hAnsi="Arial"/>
                <w:sz w:val="18"/>
              </w:rPr>
              <w:t>Extend the Flow Designer workflow with automated user notifications for request approval and catalog-task creation.</w:t>
            </w:r>
          </w:p>
        </w:tc>
        <w:tc>
          <w:tcPr>
            <w:tcW w:type="dxa" w:w="2556"/>
            <w:vAlign w:val="center"/>
          </w:tcPr>
          <w:p>
            <w:pPr>
              <w:spacing w:after="0" w:before="0"/>
            </w:pPr>
            <w:r>
              <w:rPr>
                <w:rFonts w:ascii="Arial" w:hAnsi="Arial"/>
                <w:sz w:val="18"/>
              </w:rPr>
              <w:t>Short Term</w:t>
            </w:r>
          </w:p>
        </w:tc>
        <w:tc>
          <w:tcPr>
            <w:tcW w:type="dxa" w:w="2556"/>
            <w:vAlign w:val="center"/>
          </w:tcPr>
          <w:p>
            <w:pPr>
              <w:spacing w:after="0" w:before="0"/>
            </w:pPr>
            <w:r>
              <w:rPr>
                <w:rFonts w:ascii="Arial" w:hAnsi="Arial"/>
                <w:sz w:val="18"/>
              </w:rPr>
              <w:t>Improves visibility and reduces the need for users to manually check request status.</w:t>
            </w:r>
          </w:p>
        </w:tc>
      </w:tr>
      <w:tr>
        <w:tc>
          <w:tcPr>
            <w:tcW w:type="dxa" w:w="2556"/>
            <w:vAlign w:val="center"/>
          </w:tcPr>
          <w:p>
            <w:pPr>
              <w:spacing w:after="0" w:before="0"/>
            </w:pPr>
            <w:r>
              <w:rPr>
                <w:rFonts w:ascii="Arial" w:hAnsi="Arial"/>
                <w:sz w:val="18"/>
              </w:rPr>
              <w:t>Phase 2</w:t>
            </w:r>
          </w:p>
        </w:tc>
        <w:tc>
          <w:tcPr>
            <w:tcW w:type="dxa" w:w="2556"/>
            <w:vAlign w:val="center"/>
          </w:tcPr>
          <w:p>
            <w:pPr>
              <w:spacing w:after="0" w:before="0"/>
            </w:pPr>
            <w:r>
              <w:rPr>
                <w:rFonts w:ascii="Arial" w:hAnsi="Arial"/>
                <w:sz w:val="18"/>
              </w:rPr>
              <w:t>Add automated handling for additional laptop request types and configuration requirements.</w:t>
            </w:r>
          </w:p>
        </w:tc>
        <w:tc>
          <w:tcPr>
            <w:tcW w:type="dxa" w:w="2556"/>
            <w:vAlign w:val="center"/>
          </w:tcPr>
          <w:p>
            <w:pPr>
              <w:spacing w:after="0" w:before="0"/>
            </w:pPr>
            <w:r>
              <w:rPr>
                <w:rFonts w:ascii="Arial" w:hAnsi="Arial"/>
                <w:sz w:val="18"/>
              </w:rPr>
              <w:t>Medium Term</w:t>
            </w:r>
          </w:p>
        </w:tc>
        <w:tc>
          <w:tcPr>
            <w:tcW w:type="dxa" w:w="2556"/>
            <w:vAlign w:val="center"/>
          </w:tcPr>
          <w:p>
            <w:pPr>
              <w:spacing w:after="0" w:before="0"/>
            </w:pPr>
            <w:r>
              <w:rPr>
                <w:rFonts w:ascii="Arial" w:hAnsi="Arial"/>
                <w:sz w:val="18"/>
              </w:rPr>
              <w:t>Reduces manual processing for a wider range of IT procurement requests.</w:t>
            </w:r>
          </w:p>
        </w:tc>
      </w:tr>
      <w:tr>
        <w:tc>
          <w:tcPr>
            <w:tcW w:type="dxa" w:w="2556"/>
            <w:vAlign w:val="center"/>
          </w:tcPr>
          <w:p>
            <w:pPr>
              <w:spacing w:after="0" w:before="0"/>
            </w:pPr>
            <w:r>
              <w:rPr>
                <w:rFonts w:ascii="Arial" w:hAnsi="Arial"/>
                <w:sz w:val="18"/>
              </w:rPr>
              <w:t>Phase 3</w:t>
            </w:r>
          </w:p>
        </w:tc>
        <w:tc>
          <w:tcPr>
            <w:tcW w:type="dxa" w:w="2556"/>
            <w:vAlign w:val="center"/>
          </w:tcPr>
          <w:p>
            <w:pPr>
              <w:spacing w:after="0" w:before="0"/>
            </w:pPr>
            <w:r>
              <w:rPr>
                <w:rFonts w:ascii="Arial" w:hAnsi="Arial"/>
                <w:sz w:val="18"/>
              </w:rPr>
              <w:t>Integrate procurement, inventory, and hardware configuration activities with the ServiceNow workflow.</w:t>
            </w:r>
          </w:p>
        </w:tc>
        <w:tc>
          <w:tcPr>
            <w:tcW w:type="dxa" w:w="2556"/>
            <w:vAlign w:val="center"/>
          </w:tcPr>
          <w:p>
            <w:pPr>
              <w:spacing w:after="0" w:before="0"/>
            </w:pPr>
            <w:r>
              <w:rPr>
                <w:rFonts w:ascii="Arial" w:hAnsi="Arial"/>
                <w:sz w:val="18"/>
              </w:rPr>
              <w:t>Medium to Long Term</w:t>
            </w:r>
          </w:p>
        </w:tc>
        <w:tc>
          <w:tcPr>
            <w:tcW w:type="dxa" w:w="2556"/>
            <w:vAlign w:val="center"/>
          </w:tcPr>
          <w:p>
            <w:pPr>
              <w:spacing w:after="0" w:before="0"/>
            </w:pPr>
            <w:r>
              <w:rPr>
                <w:rFonts w:ascii="Arial" w:hAnsi="Arial"/>
                <w:sz w:val="18"/>
              </w:rPr>
              <w:t>Creates a more connected end-to-end procurement process and improves resource utilization.</w:t>
            </w:r>
          </w:p>
        </w:tc>
      </w:tr>
      <w:tr>
        <w:tc>
          <w:tcPr>
            <w:tcW w:type="dxa" w:w="2556"/>
            <w:vAlign w:val="center"/>
          </w:tcPr>
          <w:p>
            <w:pPr>
              <w:spacing w:after="0" w:before="0"/>
            </w:pPr>
            <w:r>
              <w:rPr>
                <w:rFonts w:ascii="Arial" w:hAnsi="Arial"/>
                <w:sz w:val="18"/>
              </w:rPr>
              <w:t>Phase 4</w:t>
            </w:r>
          </w:p>
        </w:tc>
        <w:tc>
          <w:tcPr>
            <w:tcW w:type="dxa" w:w="2556"/>
            <w:vAlign w:val="center"/>
          </w:tcPr>
          <w:p>
            <w:pPr>
              <w:spacing w:after="0" w:before="0"/>
            </w:pPr>
            <w:r>
              <w:rPr>
                <w:rFonts w:ascii="Arial" w:hAnsi="Arial"/>
                <w:sz w:val="18"/>
              </w:rPr>
              <w:t>Introduce reporting, dashboards, monitoring, and performance tracking for laptop procurement requests.</w:t>
            </w:r>
          </w:p>
        </w:tc>
        <w:tc>
          <w:tcPr>
            <w:tcW w:type="dxa" w:w="2556"/>
            <w:vAlign w:val="center"/>
          </w:tcPr>
          <w:p>
            <w:pPr>
              <w:spacing w:after="0" w:before="0"/>
            </w:pPr>
            <w:r>
              <w:rPr>
                <w:rFonts w:ascii="Arial" w:hAnsi="Arial"/>
                <w:sz w:val="18"/>
              </w:rPr>
              <w:t>Long Term</w:t>
            </w:r>
          </w:p>
        </w:tc>
        <w:tc>
          <w:tcPr>
            <w:tcW w:type="dxa" w:w="2556"/>
            <w:vAlign w:val="center"/>
          </w:tcPr>
          <w:p>
            <w:pPr>
              <w:spacing w:after="0" w:before="0"/>
            </w:pPr>
            <w:r>
              <w:rPr>
                <w:rFonts w:ascii="Arial" w:hAnsi="Arial"/>
                <w:sz w:val="18"/>
              </w:rPr>
              <w:t>Provides better operational visibility and supports continuous improvement of the procurement process.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