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680"/>
        <w:gridCol w:w="4680"/>
      </w:tblGrid>
      <w:tr>
        <w:tc>
          <w:tcPr>
            <w:tcW w:type="dxa" w:w="2592"/>
          </w:tcPr>
          <w:p>
            <w:r>
              <w:rPr>
                <w:b/>
                <w:sz w:val="20"/>
              </w:rPr>
              <w:t>Team ID:</w:t>
            </w:r>
          </w:p>
        </w:tc>
        <w:tc>
          <w:tcPr>
            <w:tcW w:type="dxa" w:w="6768"/>
          </w:tcPr>
          <w:p>
            <w:r>
              <w:rPr>
                <w:sz w:val="20"/>
              </w:rPr>
              <w:t>SWTID-2026-2740</w:t>
            </w:r>
          </w:p>
        </w:tc>
      </w:tr>
      <w:tr>
        <w:tc>
          <w:tcPr>
            <w:tcW w:type="dxa" w:w="2592"/>
          </w:tcPr>
          <w:p>
            <w:r>
              <w:rPr>
                <w:b/>
                <w:sz w:val="20"/>
              </w:rPr>
              <w:t>Project Name:</w:t>
            </w:r>
          </w:p>
        </w:tc>
        <w:tc>
          <w:tcPr>
            <w:tcW w:type="dxa" w:w="6768"/>
          </w:tcPr>
          <w:p>
            <w:r>
              <w:rPr>
                <w:sz w:val="20"/>
              </w:rPr>
              <w:t>Streamlining IT Procurement: Automating Standard Laptop Orders with Flow Designer</w:t>
            </w:r>
          </w:p>
        </w:tc>
      </w:tr>
      <w:tr>
        <w:tc>
          <w:tcPr>
            <w:tcW w:type="dxa" w:w="2592"/>
          </w:tcPr>
          <w:p>
            <w:r>
              <w:rPr>
                <w:b/>
                <w:sz w:val="20"/>
              </w:rPr>
              <w:t>Date:</w:t>
            </w:r>
          </w:p>
        </w:tc>
        <w:tc>
          <w:tcPr>
            <w:tcW w:type="dxa" w:w="6768"/>
          </w:tcPr>
          <w:p>
            <w:r>
              <w:rPr>
                <w:sz w:val="20"/>
              </w:rPr>
              <w:t>29-09-2026</w:t>
            </w:r>
          </w:p>
        </w:tc>
      </w:tr>
    </w:tbl>
    <w:p>
      <w:pPr>
        <w:spacing w:after="240"/>
      </w:pPr>
    </w:p>
    <w:p>
      <w:pPr>
        <w:spacing w:after="240"/>
      </w:pPr>
      <w:r>
        <w:rPr>
          <w:b/>
          <w:color w:val="003366"/>
          <w:sz w:val="36"/>
        </w:rPr>
        <w:t>Scalability &amp; Future Plan</w:t>
      </w:r>
    </w:p>
    <w:p>
      <w:r>
        <w:t>This document outlines how the current project solution can be scaled to handle larger user bases, increased data loads, or extended features in the future. It also captures the team's roadmap for enhancing and evolving the project beyond its current state.</w:t>
      </w:r>
    </w:p>
    <w:p>
      <w:pPr>
        <w:spacing w:before="240" w:after="120"/>
      </w:pPr>
      <w:r>
        <w:rPr>
          <w:b/>
          <w:color w:val="003366"/>
          <w:sz w:val="26"/>
        </w:rPr>
        <w:t>Current System Limitations</w:t>
      </w:r>
    </w:p>
    <w:tbl>
      <w:tblPr>
        <w:tblW w:type="auto" w:w="0"/>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790041600"/>
        <w:gridCol w:w="5661964800"/>
        <w:gridCol w:w="2106777600"/>
      </w:tblGrid>
      <w:tr>
        <w:tc>
          <w:tcPr>
            <w:tcW w:type="dxa" w:w="3120"/>
            <w:shd w:fill="003366"/>
          </w:tcPr>
          <w:p>
            <w:r>
              <w:rPr>
                <w:b/>
                <w:color w:val="FFFFFF"/>
                <w:sz w:val="19"/>
              </w:rPr>
              <w:t>S.No</w:t>
            </w:r>
          </w:p>
        </w:tc>
        <w:tc>
          <w:tcPr>
            <w:tcW w:type="dxa" w:w="3120"/>
            <w:shd w:fill="003366"/>
          </w:tcPr>
          <w:p>
            <w:r>
              <w:rPr>
                <w:b/>
                <w:color w:val="FFFFFF"/>
                <w:sz w:val="19"/>
              </w:rPr>
              <w:t>Limitation</w:t>
            </w:r>
          </w:p>
        </w:tc>
        <w:tc>
          <w:tcPr>
            <w:tcW w:type="dxa" w:w="3120"/>
            <w:shd w:fill="003366"/>
          </w:tcPr>
          <w:p>
            <w:r>
              <w:rPr>
                <w:b/>
                <w:color w:val="FFFFFF"/>
                <w:sz w:val="19"/>
              </w:rPr>
              <w:t>Priority</w:t>
            </w:r>
          </w:p>
        </w:tc>
      </w:tr>
      <w:tr>
        <w:tc>
          <w:tcPr>
            <w:tcW w:type="dxa" w:w="3120"/>
            <w:shd w:fill="F2F4F7"/>
          </w:tcPr>
          <w:p>
            <w:r>
              <w:rPr>
                <w:sz w:val="19"/>
              </w:rPr>
              <w:t>1</w:t>
            </w:r>
          </w:p>
        </w:tc>
        <w:tc>
          <w:tcPr>
            <w:tcW w:type="dxa" w:w="3120"/>
            <w:shd w:fill="F2F4F7"/>
          </w:tcPr>
          <w:p>
            <w:r>
              <w:rPr>
                <w:sz w:val="19"/>
              </w:rPr>
              <w:t>Manual task routing and notifications outside ServiceNow for non-standard hardware requests</w:t>
            </w:r>
          </w:p>
        </w:tc>
        <w:tc>
          <w:tcPr>
            <w:tcW w:type="dxa" w:w="3120"/>
            <w:shd w:fill="F2F4F7"/>
          </w:tcPr>
          <w:p>
            <w:r>
              <w:rPr>
                <w:sz w:val="19"/>
              </w:rPr>
              <w:t>Medium</w:t>
            </w:r>
          </w:p>
        </w:tc>
      </w:tr>
      <w:tr>
        <w:tc>
          <w:tcPr>
            <w:tcW w:type="dxa" w:w="3120"/>
          </w:tcPr>
          <w:p>
            <w:r>
              <w:rPr>
                <w:sz w:val="19"/>
              </w:rPr>
              <w:t>2</w:t>
            </w:r>
          </w:p>
        </w:tc>
        <w:tc>
          <w:tcPr>
            <w:tcW w:type="dxa" w:w="3120"/>
          </w:tcPr>
          <w:p>
            <w:r>
              <w:rPr>
                <w:sz w:val="19"/>
              </w:rPr>
              <w:t>Limited automated multi-tier management approvals for bulk laptop purchases exceeding budget thresholds</w:t>
            </w:r>
          </w:p>
        </w:tc>
        <w:tc>
          <w:tcPr>
            <w:tcW w:type="dxa" w:w="3120"/>
          </w:tcPr>
          <w:p>
            <w:r>
              <w:rPr>
                <w:sz w:val="19"/>
              </w:rPr>
              <w:t>High</w:t>
            </w:r>
          </w:p>
        </w:tc>
      </w:tr>
      <w:tr>
        <w:tc>
          <w:tcPr>
            <w:tcW w:type="dxa" w:w="3120"/>
            <w:shd w:fill="F2F4F7"/>
          </w:tcPr>
          <w:p>
            <w:r>
              <w:rPr>
                <w:sz w:val="19"/>
              </w:rPr>
              <w:t>3</w:t>
            </w:r>
          </w:p>
        </w:tc>
        <w:tc>
          <w:tcPr>
            <w:tcW w:type="dxa" w:w="3120"/>
            <w:shd w:fill="F2F4F7"/>
          </w:tcPr>
          <w:p>
            <w:r>
              <w:rPr>
                <w:sz w:val="19"/>
              </w:rPr>
              <w:t>Absence of real-time inventory stock level verification before catalog submission</w:t>
            </w:r>
          </w:p>
        </w:tc>
        <w:tc>
          <w:tcPr>
            <w:tcW w:type="dxa" w:w="3120"/>
            <w:shd w:fill="F2F4F7"/>
          </w:tcPr>
          <w:p>
            <w:r>
              <w:rPr>
                <w:sz w:val="19"/>
              </w:rPr>
              <w:t>Medium</w:t>
            </w:r>
          </w:p>
        </w:tc>
      </w:tr>
    </w:tbl>
    <w:p>
      <w:pPr>
        <w:spacing w:before="320" w:after="120"/>
      </w:pPr>
      <w:r>
        <w:rPr>
          <w:b/>
          <w:color w:val="003366"/>
          <w:sz w:val="26"/>
        </w:rPr>
        <w:t>Scalability Plan</w:t>
      </w:r>
    </w:p>
    <w:tbl>
      <w:tblPr>
        <w:tblW w:type="auto" w:w="0"/>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790041600"/>
        <w:gridCol w:w="2633472000"/>
        <w:gridCol w:w="5135270400"/>
      </w:tblGrid>
      <w:tr>
        <w:tc>
          <w:tcPr>
            <w:tcW w:type="dxa" w:w="3120"/>
            <w:shd w:fill="003366"/>
          </w:tcPr>
          <w:p>
            <w:r>
              <w:rPr>
                <w:b/>
                <w:color w:val="FFFFFF"/>
                <w:sz w:val="19"/>
              </w:rPr>
              <w:t>S.No</w:t>
            </w:r>
          </w:p>
        </w:tc>
        <w:tc>
          <w:tcPr>
            <w:tcW w:type="dxa" w:w="3120"/>
            <w:shd w:fill="003366"/>
          </w:tcPr>
          <w:p>
            <w:r>
              <w:rPr>
                <w:b/>
                <w:color w:val="FFFFFF"/>
                <w:sz w:val="19"/>
              </w:rPr>
              <w:t>Scalability Aspect</w:t>
            </w:r>
          </w:p>
        </w:tc>
        <w:tc>
          <w:tcPr>
            <w:tcW w:type="dxa" w:w="3120"/>
            <w:shd w:fill="003366"/>
          </w:tcPr>
          <w:p>
            <w:r>
              <w:rPr>
                <w:b/>
                <w:color w:val="FFFFFF"/>
                <w:sz w:val="19"/>
              </w:rPr>
              <w:t>Proposed Upgrade / Solution</w:t>
            </w:r>
          </w:p>
        </w:tc>
      </w:tr>
      <w:tr>
        <w:tc>
          <w:tcPr>
            <w:tcW w:type="dxa" w:w="3120"/>
            <w:shd w:fill="F2F4F7"/>
          </w:tcPr>
          <w:p>
            <w:r>
              <w:rPr>
                <w:sz w:val="19"/>
              </w:rPr>
              <w:t>1</w:t>
            </w:r>
          </w:p>
        </w:tc>
        <w:tc>
          <w:tcPr>
            <w:tcW w:type="dxa" w:w="3120"/>
            <w:shd w:fill="F2F4F7"/>
          </w:tcPr>
          <w:p>
            <w:r>
              <w:rPr>
                <w:sz w:val="19"/>
              </w:rPr>
              <w:t>User Load</w:t>
            </w:r>
          </w:p>
        </w:tc>
        <w:tc>
          <w:tcPr>
            <w:tcW w:type="dxa" w:w="3120"/>
            <w:shd w:fill="F2F4F7"/>
          </w:tcPr>
          <w:p>
            <w:r>
              <w:rPr>
                <w:sz w:val="19"/>
              </w:rPr>
              <w:t>Scale Flow Designer execution contexts to support simultaneous multi-departmental laptop procurement requests across enterprise branches.</w:t>
            </w:r>
          </w:p>
        </w:tc>
      </w:tr>
      <w:tr>
        <w:tc>
          <w:tcPr>
            <w:tcW w:type="dxa" w:w="3120"/>
          </w:tcPr>
          <w:p>
            <w:r>
              <w:rPr>
                <w:sz w:val="19"/>
              </w:rPr>
              <w:t>2</w:t>
            </w:r>
          </w:p>
        </w:tc>
        <w:tc>
          <w:tcPr>
            <w:tcW w:type="dxa" w:w="3120"/>
          </w:tcPr>
          <w:p>
            <w:r>
              <w:rPr>
                <w:sz w:val="19"/>
              </w:rPr>
              <w:t>Data Storage</w:t>
            </w:r>
          </w:p>
        </w:tc>
        <w:tc>
          <w:tcPr>
            <w:tcW w:type="dxa" w:w="3120"/>
          </w:tcPr>
          <w:p>
            <w:r>
              <w:rPr>
                <w:sz w:val="19"/>
              </w:rPr>
              <w:t>Implement archived table partitioning in ServiceNow for historical RITM and Catalog Task records exceeding 12 months.</w:t>
            </w:r>
          </w:p>
        </w:tc>
      </w:tr>
      <w:tr>
        <w:tc>
          <w:tcPr>
            <w:tcW w:type="dxa" w:w="3120"/>
            <w:shd w:fill="F2F4F7"/>
          </w:tcPr>
          <w:p>
            <w:r>
              <w:rPr>
                <w:sz w:val="19"/>
              </w:rPr>
              <w:t>3</w:t>
            </w:r>
          </w:p>
        </w:tc>
        <w:tc>
          <w:tcPr>
            <w:tcW w:type="dxa" w:w="3120"/>
            <w:shd w:fill="F2F4F7"/>
          </w:tcPr>
          <w:p>
            <w:r>
              <w:rPr>
                <w:sz w:val="19"/>
              </w:rPr>
              <w:t>Performance</w:t>
            </w:r>
          </w:p>
        </w:tc>
        <w:tc>
          <w:tcPr>
            <w:tcW w:type="dxa" w:w="3120"/>
            <w:shd w:fill="F2F4F7"/>
          </w:tcPr>
          <w:p>
            <w:r>
              <w:rPr>
                <w:sz w:val="19"/>
              </w:rPr>
              <w:t>Optimize Flow trigger conditions and asynchronous subflows to minimize transaction response times during peak requisition windows.</w:t>
            </w:r>
          </w:p>
        </w:tc>
      </w:tr>
      <w:tr>
        <w:tc>
          <w:tcPr>
            <w:tcW w:type="dxa" w:w="3120"/>
          </w:tcPr>
          <w:p>
            <w:r>
              <w:rPr>
                <w:sz w:val="19"/>
              </w:rPr>
              <w:t>4</w:t>
            </w:r>
          </w:p>
        </w:tc>
        <w:tc>
          <w:tcPr>
            <w:tcW w:type="dxa" w:w="3120"/>
          </w:tcPr>
          <w:p>
            <w:r>
              <w:rPr>
                <w:sz w:val="19"/>
              </w:rPr>
              <w:t>Security</w:t>
            </w:r>
          </w:p>
        </w:tc>
        <w:tc>
          <w:tcPr>
            <w:tcW w:type="dxa" w:w="3120"/>
          </w:tcPr>
          <w:p>
            <w:r>
              <w:rPr>
                <w:sz w:val="19"/>
              </w:rPr>
              <w:t>Enforce strict domain separation and role-based access controls (RBAC) restricted exclusively to IT hardware fulfillment groups.</w:t>
            </w:r>
          </w:p>
        </w:tc>
      </w:tr>
    </w:tbl>
    <w:p>
      <w:pPr>
        <w:spacing w:before="320" w:after="120"/>
      </w:pPr>
      <w:r>
        <w:rPr>
          <w:b/>
          <w:color w:val="003366"/>
          <w:sz w:val="26"/>
        </w:rPr>
        <w:t>Future Roadmap</w:t>
      </w:r>
    </w:p>
    <w:tbl>
      <w:tblPr>
        <w:tblW w:type="auto" w:w="0"/>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1185062400"/>
        <w:gridCol w:w="2896819200"/>
        <w:gridCol w:w="1843430400"/>
        <w:gridCol w:w="2633472000"/>
      </w:tblGrid>
      <w:tr>
        <w:tc>
          <w:tcPr>
            <w:tcW w:type="dxa" w:w="2340"/>
            <w:shd w:fill="003366"/>
          </w:tcPr>
          <w:p>
            <w:r>
              <w:rPr>
                <w:b/>
                <w:color w:val="FFFFFF"/>
                <w:sz w:val="19"/>
              </w:rPr>
              <w:t>Phase</w:t>
            </w:r>
          </w:p>
        </w:tc>
        <w:tc>
          <w:tcPr>
            <w:tcW w:type="dxa" w:w="2340"/>
            <w:shd w:fill="003366"/>
          </w:tcPr>
          <w:p>
            <w:r>
              <w:rPr>
                <w:b/>
                <w:color w:val="FFFFFF"/>
                <w:sz w:val="19"/>
              </w:rPr>
              <w:t>Planned Feature / Enhancement</w:t>
            </w:r>
          </w:p>
        </w:tc>
        <w:tc>
          <w:tcPr>
            <w:tcW w:type="dxa" w:w="2340"/>
            <w:shd w:fill="003366"/>
          </w:tcPr>
          <w:p>
            <w:r>
              <w:rPr>
                <w:b/>
                <w:color w:val="FFFFFF"/>
                <w:sz w:val="19"/>
              </w:rPr>
              <w:t>Target Timeline</w:t>
            </w:r>
          </w:p>
        </w:tc>
        <w:tc>
          <w:tcPr>
            <w:tcW w:type="dxa" w:w="2340"/>
            <w:shd w:fill="003366"/>
          </w:tcPr>
          <w:p>
            <w:r>
              <w:rPr>
                <w:b/>
                <w:color w:val="FFFFFF"/>
                <w:sz w:val="19"/>
              </w:rPr>
              <w:t>Expected Impact</w:t>
            </w:r>
          </w:p>
        </w:tc>
      </w:tr>
      <w:tr>
        <w:tc>
          <w:tcPr>
            <w:tcW w:type="dxa" w:w="2340"/>
            <w:shd w:fill="F2F4F7"/>
          </w:tcPr>
          <w:p>
            <w:r>
              <w:rPr>
                <w:sz w:val="19"/>
              </w:rPr>
              <w:t>Phase 2</w:t>
            </w:r>
          </w:p>
        </w:tc>
        <w:tc>
          <w:tcPr>
            <w:tcW w:type="dxa" w:w="2340"/>
            <w:shd w:fill="F2F4F7"/>
          </w:tcPr>
          <w:p>
            <w:r>
              <w:rPr>
                <w:sz w:val="19"/>
              </w:rPr>
              <w:t>Automated Inventory Stock Level Verification</w:t>
            </w:r>
          </w:p>
        </w:tc>
        <w:tc>
          <w:tcPr>
            <w:tcW w:type="dxa" w:w="2340"/>
            <w:shd w:fill="F2F4F7"/>
          </w:tcPr>
          <w:p>
            <w:r>
              <w:rPr>
                <w:sz w:val="19"/>
              </w:rPr>
              <w:t>Q4 2026</w:t>
            </w:r>
          </w:p>
        </w:tc>
        <w:tc>
          <w:tcPr>
            <w:tcW w:type="dxa" w:w="2340"/>
            <w:shd w:fill="F2F4F7"/>
          </w:tcPr>
          <w:p>
            <w:r>
              <w:rPr>
                <w:sz w:val="19"/>
              </w:rPr>
              <w:t>Prevents ordering backordered laptop configurations.</w:t>
            </w:r>
          </w:p>
        </w:tc>
      </w:tr>
      <w:tr>
        <w:tc>
          <w:tcPr>
            <w:tcW w:type="dxa" w:w="2340"/>
          </w:tcPr>
          <w:p>
            <w:r>
              <w:rPr>
                <w:sz w:val="19"/>
              </w:rPr>
              <w:t>Phase 3</w:t>
            </w:r>
          </w:p>
        </w:tc>
        <w:tc>
          <w:tcPr>
            <w:tcW w:type="dxa" w:w="2340"/>
          </w:tcPr>
          <w:p>
            <w:r>
              <w:rPr>
                <w:sz w:val="19"/>
              </w:rPr>
              <w:t>Multi-Tier Approval Matrix based on Cost Centers</w:t>
            </w:r>
          </w:p>
        </w:tc>
        <w:tc>
          <w:tcPr>
            <w:tcW w:type="dxa" w:w="2340"/>
          </w:tcPr>
          <w:p>
            <w:r>
              <w:rPr>
                <w:sz w:val="19"/>
              </w:rPr>
              <w:t>Q1 2027</w:t>
            </w:r>
          </w:p>
        </w:tc>
        <w:tc>
          <w:tcPr>
            <w:tcW w:type="dxa" w:w="2340"/>
          </w:tcPr>
          <w:p>
            <w:r>
              <w:rPr>
                <w:sz w:val="19"/>
              </w:rPr>
              <w:t>Streamlines financial sign-offs for high-value orders.</w:t>
            </w:r>
          </w:p>
        </w:tc>
      </w:tr>
      <w:tr>
        <w:tc>
          <w:tcPr>
            <w:tcW w:type="dxa" w:w="2340"/>
            <w:shd w:fill="F2F4F7"/>
          </w:tcPr>
          <w:p>
            <w:r>
              <w:rPr>
                <w:sz w:val="19"/>
              </w:rPr>
              <w:t>Phase 4</w:t>
            </w:r>
          </w:p>
        </w:tc>
        <w:tc>
          <w:tcPr>
            <w:tcW w:type="dxa" w:w="2340"/>
            <w:shd w:fill="F2F4F7"/>
          </w:tcPr>
          <w:p>
            <w:r>
              <w:rPr>
                <w:sz w:val="19"/>
              </w:rPr>
              <w:t>Integration with Asset Management &amp; Auto-Provisioning</w:t>
            </w:r>
          </w:p>
        </w:tc>
        <w:tc>
          <w:tcPr>
            <w:tcW w:type="dxa" w:w="2340"/>
            <w:shd w:fill="F2F4F7"/>
          </w:tcPr>
          <w:p>
            <w:r>
              <w:rPr>
                <w:sz w:val="19"/>
              </w:rPr>
              <w:t>Q2 2027</w:t>
            </w:r>
          </w:p>
        </w:tc>
        <w:tc>
          <w:tcPr>
            <w:tcW w:type="dxa" w:w="2340"/>
            <w:shd w:fill="F2F4F7"/>
          </w:tcPr>
          <w:p>
            <w:r>
              <w:rPr>
                <w:sz w:val="19"/>
              </w:rPr>
              <w:t>Reduces manual hardware setup and deployment turnaround time.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