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56B3"/>
          <w:sz w:val="20"/>
        </w:rPr>
        <w:t>SMARTBRIDGE / SKILL WALLET</w:t>
        <w:br/>
      </w:r>
      <w:r>
        <w:rPr>
          <w:b/>
          <w:color w:val="1A202C"/>
          <w:sz w:val="44"/>
        </w:rPr>
        <w:t>Project Proposal (Proposed Solution) Report</w:t>
      </w:r>
    </w:p>
    <w:p/>
    <w:tbl>
      <w:tblPr>
        <w:tblW w:type="auto" w:w="0"/>
        <w:jc w:val="center"/>
        <w:tblLook w:firstColumn="1" w:firstRow="1" w:lastColumn="0" w:lastRow="0" w:noHBand="0" w:noVBand="1" w:val="04A0"/>
      </w:tblPr>
      <w:tblGrid>
        <w:gridCol w:w="4680"/>
        <w:gridCol w:w="4680"/>
      </w:tblGrid>
      <w:tr>
        <w:tc>
          <w:tcPr>
            <w:tcW w:type="dxa" w:w="4680"/>
            <w:shd w:fill="F7FAFC"/>
          </w:tcPr>
          <w:p>
            <w:r>
              <w:rPr>
                <w:b/>
                <w:color w:val="4A5568"/>
              </w:rPr>
              <w:t>Date</w:t>
            </w:r>
          </w:p>
        </w:tc>
        <w:tc>
          <w:tcPr>
            <w:tcW w:type="dxa" w:w="4680"/>
            <w:shd w:fill="F7FAFC"/>
          </w:tcPr>
          <w:p>
            <w:r>
              <w:rPr>
                <w:color w:val="2D3748"/>
              </w:rPr>
              <w:t>29-09-2026</w:t>
            </w:r>
          </w:p>
        </w:tc>
      </w:tr>
      <w:tr>
        <w:tc>
          <w:tcPr>
            <w:tcW w:type="dxa" w:w="4680"/>
            <w:shd w:fill="F7FAFC"/>
          </w:tcPr>
          <w:p>
            <w:r>
              <w:rPr>
                <w:b/>
                <w:color w:val="4A5568"/>
              </w:rPr>
              <w:t>Team ID</w:t>
            </w:r>
          </w:p>
        </w:tc>
        <w:tc>
          <w:tcPr>
            <w:tcW w:type="dxa" w:w="4680"/>
            <w:shd w:fill="F7FAFC"/>
          </w:tcPr>
          <w:p>
            <w:r>
              <w:rPr>
                <w:color w:val="2D3748"/>
              </w:rPr>
              <w:t>SWTID-2026-2740</w:t>
            </w:r>
          </w:p>
        </w:tc>
      </w:tr>
      <w:tr>
        <w:tc>
          <w:tcPr>
            <w:tcW w:type="dxa" w:w="4680"/>
            <w:shd w:fill="F7FAFC"/>
          </w:tcPr>
          <w:p>
            <w:r>
              <w:rPr>
                <w:b/>
                <w:color w:val="4A5568"/>
              </w:rPr>
              <w:t>Project Title</w:t>
            </w:r>
          </w:p>
        </w:tc>
        <w:tc>
          <w:tcPr>
            <w:tcW w:type="dxa" w:w="4680"/>
            <w:shd w:fill="F7FAFC"/>
          </w:tcPr>
          <w:p>
            <w:r>
              <w:rPr>
                <w:color w:val="2D3748"/>
              </w:rPr>
              <w:t>Streamlining IT Procurement: Automating Standard Laptop Orders with Flow Designer</w:t>
            </w:r>
          </w:p>
        </w:tc>
      </w:tr>
    </w:tbl>
    <w:p>
      <w:pPr>
        <w:spacing w:after="240"/>
      </w:pPr>
    </w:p>
    <w:p>
      <w:pPr>
        <w:spacing w:after="200"/>
      </w:pPr>
      <w:r>
        <w:t>This proposal report outlines the transformation of IT procurement using ServiceNow Flow Designer, boosting efficiency and automation for standard laptop orders. It tackles manual processing inefficiencies, promising rapid configurations, reduced overhead, and higher employee satisfaction.</w:t>
      </w:r>
    </w:p>
    <w:p>
      <w:pPr>
        <w:pStyle w:val="Heading1"/>
        <w:spacing w:before="280" w:after="120"/>
      </w:pPr>
      <w:r>
        <w:rPr>
          <w:color w:val="1A202C"/>
          <w:sz w:val="30"/>
        </w:rPr>
        <w:t>Project Overview</w:t>
      </w:r>
    </w:p>
    <w:tbl>
      <w:tblPr>
        <w:tblW w:type="auto" w:w="0"/>
        <w:jc w:val="center"/>
        <w:tblLook w:firstColumn="1" w:firstRow="1" w:lastColumn="0" w:lastRow="0" w:noHBand="0" w:noVBand="1" w:val="04A0"/>
      </w:tblPr>
      <w:tblGrid>
        <w:gridCol w:w="4680"/>
        <w:gridCol w:w="4680"/>
      </w:tblGrid>
      <w:tr>
        <w:tc>
          <w:tcPr>
            <w:tcW w:type="dxa" w:w="4680"/>
            <w:shd w:fill="F7FAFC"/>
          </w:tcPr>
          <w:p>
            <w:r>
              <w:rPr>
                <w:b/>
              </w:rPr>
              <w:t>Objective</w:t>
            </w:r>
          </w:p>
        </w:tc>
        <w:tc>
          <w:tcPr>
            <w:tcW w:type="dxa" w:w="4680"/>
            <w:shd w:fill="F7FAFC"/>
          </w:tcPr>
          <w:p>
            <w:r>
              <w:t>The primary objective is to revolutionize standard laptop procurement by implementing automated workflows via ServiceNow Flow Designer, ensuring prompt task assignment and configuration.</w:t>
            </w:r>
          </w:p>
        </w:tc>
      </w:tr>
      <w:tr>
        <w:tc>
          <w:tcPr>
            <w:tcW w:type="dxa" w:w="4680"/>
            <w:shd w:fill="F7FAFC"/>
          </w:tcPr>
          <w:p>
            <w:r>
              <w:rPr>
                <w:b/>
              </w:rPr>
              <w:t>Scope</w:t>
            </w:r>
          </w:p>
        </w:tc>
        <w:tc>
          <w:tcPr>
            <w:tcW w:type="dxa" w:w="4680"/>
            <w:shd w:fill="F7FAFC"/>
          </w:tcPr>
          <w:p>
            <w:r>
              <w:t>The project comprehensively streamlines the IT procurement lifecycle, from service catalog request submission and managerial approval to automated hardware task generation and team assignment.</w:t>
            </w:r>
          </w:p>
        </w:tc>
      </w:tr>
    </w:tbl>
    <w:p>
      <w:pPr>
        <w:spacing w:after="160"/>
      </w:pPr>
    </w:p>
    <w:p>
      <w:pPr>
        <w:pStyle w:val="Heading1"/>
        <w:spacing w:before="280" w:after="120"/>
      </w:pPr>
      <w:r>
        <w:rPr>
          <w:color w:val="1A202C"/>
          <w:sz w:val="30"/>
        </w:rPr>
        <w:t>Problem Statement</w:t>
      </w:r>
    </w:p>
    <w:tbl>
      <w:tblPr>
        <w:tblW w:type="auto" w:w="0"/>
        <w:jc w:val="center"/>
        <w:tblLook w:firstColumn="1" w:firstRow="1" w:lastColumn="0" w:lastRow="0" w:noHBand="0" w:noVBand="1" w:val="04A0"/>
      </w:tblPr>
      <w:tblGrid>
        <w:gridCol w:w="4680"/>
        <w:gridCol w:w="4680"/>
      </w:tblGrid>
      <w:tr>
        <w:tc>
          <w:tcPr>
            <w:tcW w:type="dxa" w:w="4680"/>
            <w:shd w:fill="F7FAFC"/>
          </w:tcPr>
          <w:p>
            <w:r>
              <w:rPr>
                <w:b/>
              </w:rPr>
              <w:t>Description</w:t>
            </w:r>
          </w:p>
        </w:tc>
        <w:tc>
          <w:tcPr>
            <w:tcW w:type="dxa" w:w="4680"/>
            <w:shd w:fill="F7FAFC"/>
          </w:tcPr>
          <w:p>
            <w:r>
              <w:t>The current IT procurement process lacks efficiency and automation, resulting in delays and manual overhead when handling standard laptop orders. Configuration steps are prone to oversight and bottlenecks.</w:t>
            </w:r>
          </w:p>
        </w:tc>
      </w:tr>
      <w:tr>
        <w:tc>
          <w:tcPr>
            <w:tcW w:type="dxa" w:w="4680"/>
            <w:shd w:fill="F7FAFC"/>
          </w:tcPr>
          <w:p>
            <w:r>
              <w:rPr>
                <w:b/>
              </w:rPr>
              <w:t>Impact</w:t>
            </w:r>
          </w:p>
        </w:tc>
        <w:tc>
          <w:tcPr>
            <w:tcW w:type="dxa" w:w="4680"/>
            <w:shd w:fill="F7FAFC"/>
          </w:tcPr>
          <w:p>
            <w:r>
              <w:t>Addressing these issues eliminates manual intervention and user frustration, ensuring timely laptop provisioning, optimized resource utilization, and enhanced IT operational efficiency.</w:t>
            </w:r>
          </w:p>
        </w:tc>
      </w:tr>
    </w:tbl>
    <w:p>
      <w:pPr>
        <w:spacing w:after="160"/>
      </w:pPr>
    </w:p>
    <w:p>
      <w:pPr>
        <w:pStyle w:val="Heading1"/>
        <w:spacing w:before="280" w:after="120"/>
      </w:pPr>
      <w:r>
        <w:rPr>
          <w:color w:val="1A202C"/>
          <w:sz w:val="30"/>
        </w:rPr>
        <w:t>Proposed Solution</w:t>
      </w:r>
    </w:p>
    <w:tbl>
      <w:tblPr>
        <w:tblW w:type="auto" w:w="0"/>
        <w:jc w:val="center"/>
        <w:tblLook w:firstColumn="1" w:firstRow="1" w:lastColumn="0" w:lastRow="0" w:noHBand="0" w:noVBand="1" w:val="04A0"/>
      </w:tblPr>
      <w:tblGrid>
        <w:gridCol w:w="4680"/>
        <w:gridCol w:w="4680"/>
      </w:tblGrid>
      <w:tr>
        <w:tc>
          <w:tcPr>
            <w:tcW w:type="dxa" w:w="4680"/>
            <w:shd w:fill="F7FAFC"/>
          </w:tcPr>
          <w:p>
            <w:r>
              <w:rPr>
                <w:b/>
              </w:rPr>
              <w:t>Approach</w:t>
            </w:r>
          </w:p>
        </w:tc>
        <w:tc>
          <w:tcPr>
            <w:tcW w:type="dxa" w:w="4680"/>
            <w:shd w:fill="F7FAFC"/>
          </w:tcPr>
          <w:p>
            <w:r>
              <w:t>Employing ServiceNow Flow Designer to automate service catalog fulfillment, routing approved standard laptop orders directly to the hardware team with predefined task parameters.</w:t>
            </w:r>
          </w:p>
        </w:tc>
      </w:tr>
      <w:tr>
        <w:tc>
          <w:tcPr>
            <w:tcW w:type="dxa" w:w="4680"/>
            <w:shd w:fill="F7FAFC"/>
          </w:tcPr>
          <w:p>
            <w:r>
              <w:rPr>
                <w:b/>
              </w:rPr>
              <w:t>Key Features</w:t>
            </w:r>
          </w:p>
        </w:tc>
        <w:tc>
          <w:tcPr>
            <w:tcW w:type="dxa" w:w="4680"/>
            <w:shd w:fill="F7FAFC"/>
          </w:tcPr>
          <w:p>
            <w:r>
              <w:t>- Automated catalog task generation upon manager approval.</w:t>
              <w:br/>
              <w:t>- Dynamic assignment of configuration tasks to the Hardware group.</w:t>
              <w:br/>
              <w:t>- Real-time status tracking and streamlined procurement lifecycle management.</w:t>
            </w:r>
          </w:p>
        </w:tc>
      </w:tr>
    </w:tbl>
    <w:p>
      <w:pPr>
        <w:spacing w:after="160"/>
      </w:pPr>
    </w:p>
    <w:p>
      <w:pPr>
        <w:pStyle w:val="Heading1"/>
        <w:spacing w:before="280" w:after="120"/>
      </w:pPr>
      <w:r>
        <w:rPr>
          <w:color w:val="1A202C"/>
          <w:sz w:val="30"/>
        </w:rPr>
        <w:t>Resource Requirements</w:t>
      </w:r>
    </w:p>
    <w:tbl>
      <w:tblPr>
        <w:tblW w:type="auto" w:w="0"/>
        <w:jc w:val="center"/>
        <w:tblLook w:firstColumn="1" w:firstRow="1" w:lastColumn="0" w:lastRow="0" w:noHBand="0" w:noVBand="1" w:val="04A0"/>
      </w:tblPr>
      <w:tblGrid>
        <w:gridCol w:w="3120"/>
        <w:gridCol w:w="3120"/>
        <w:gridCol w:w="3120"/>
      </w:tblGrid>
      <w:tr>
        <w:tc>
          <w:tcPr>
            <w:tcW w:type="dxa" w:w="3120"/>
            <w:shd w:fill="2B6CB0"/>
          </w:tcPr>
          <w:p>
            <w:r>
              <w:rPr>
                <w:b/>
                <w:color w:val="FFFFFF"/>
              </w:rPr>
              <w:t>Resource Type</w:t>
            </w:r>
          </w:p>
        </w:tc>
        <w:tc>
          <w:tcPr>
            <w:tcW w:type="dxa" w:w="3120"/>
            <w:shd w:fill="2B6CB0"/>
          </w:tcPr>
          <w:p>
            <w:r>
              <w:rPr>
                <w:b/>
                <w:color w:val="FFFFFF"/>
              </w:rPr>
              <w:t>Description</w:t>
            </w:r>
          </w:p>
        </w:tc>
        <w:tc>
          <w:tcPr>
            <w:tcW w:type="dxa" w:w="3120"/>
            <w:shd w:fill="2B6CB0"/>
          </w:tcPr>
          <w:p>
            <w:r>
              <w:rPr>
                <w:b/>
                <w:color w:val="FFFFFF"/>
              </w:rPr>
              <w:t>Specification / Allocation</w:t>
            </w:r>
          </w:p>
        </w:tc>
      </w:tr>
      <w:tr>
        <w:tc>
          <w:tcPr>
            <w:tcW w:type="dxa" w:w="3120"/>
            <w:shd w:fill="F7FAFC"/>
          </w:tcPr>
          <w:p>
            <w:r>
              <w:rPr>
                <w:sz w:val="20"/>
              </w:rPr>
              <w:t>Hardware</w:t>
            </w:r>
          </w:p>
        </w:tc>
        <w:tc>
          <w:tcPr>
            <w:tcW w:type="dxa" w:w="3120"/>
            <w:shd w:fill="F7FAFC"/>
          </w:tcPr>
          <w:p>
            <w:r>
              <w:rPr>
                <w:sz w:val="20"/>
              </w:rPr>
              <w:t>Computing Resources</w:t>
            </w:r>
          </w:p>
        </w:tc>
        <w:tc>
          <w:tcPr>
            <w:tcW w:type="dxa" w:w="3120"/>
            <w:shd w:fill="F7FAFC"/>
          </w:tcPr>
          <w:p>
            <w:r>
              <w:rPr>
                <w:sz w:val="20"/>
              </w:rPr>
              <w:t>Cloud-hosted virtual instance (Standard PC / Workstation)</w:t>
            </w:r>
          </w:p>
        </w:tc>
      </w:tr>
      <w:tr>
        <w:tc>
          <w:tcPr>
            <w:tcW w:type="dxa" w:w="3120"/>
            <w:shd w:fill="FFFFFF"/>
          </w:tcPr>
          <w:p>
            <w:r>
              <w:rPr>
                <w:sz w:val="20"/>
              </w:rPr>
              <w:t>Software</w:t>
            </w:r>
          </w:p>
        </w:tc>
        <w:tc>
          <w:tcPr>
            <w:tcW w:type="dxa" w:w="3120"/>
            <w:shd w:fill="FFFFFF"/>
          </w:tcPr>
          <w:p>
            <w:r>
              <w:rPr>
                <w:sz w:val="20"/>
              </w:rPr>
              <w:t>Workflow &amp; Platform Engine</w:t>
            </w:r>
          </w:p>
        </w:tc>
        <w:tc>
          <w:tcPr>
            <w:tcW w:type="dxa" w:w="3120"/>
            <w:shd w:fill="FFFFFF"/>
          </w:tcPr>
          <w:p>
            <w:r>
              <w:rPr>
                <w:sz w:val="20"/>
              </w:rPr>
              <w:t>ServiceNow Developer Instance (Vancouver / Washington Release)</w:t>
            </w:r>
          </w:p>
        </w:tc>
      </w:tr>
      <w:tr>
        <w:tc>
          <w:tcPr>
            <w:tcW w:type="dxa" w:w="3120"/>
            <w:shd w:fill="F7FAFC"/>
          </w:tcPr>
          <w:p>
            <w:r>
              <w:rPr>
                <w:sz w:val="20"/>
              </w:rPr>
              <w:t>Development Environment</w:t>
            </w:r>
          </w:p>
        </w:tc>
        <w:tc>
          <w:tcPr>
            <w:tcW w:type="dxa" w:w="3120"/>
            <w:shd w:fill="F7FAFC"/>
          </w:tcPr>
          <w:p>
            <w:r>
              <w:rPr>
                <w:sz w:val="20"/>
              </w:rPr>
              <w:t>IDE &amp; Administration Tools</w:t>
            </w:r>
          </w:p>
        </w:tc>
        <w:tc>
          <w:tcPr>
            <w:tcW w:type="dxa" w:w="3120"/>
            <w:shd w:fill="F7FAFC"/>
          </w:tcPr>
          <w:p>
            <w:r>
              <w:rPr>
                <w:sz w:val="20"/>
              </w:rPr>
              <w:t>ServiceNow Flow Designer, Service Catalog Builder</w:t>
            </w:r>
          </w:p>
        </w:tc>
      </w:tr>
      <w:tr>
        <w:tc>
          <w:tcPr>
            <w:tcW w:type="dxa" w:w="3120"/>
            <w:shd w:fill="FFFFFF"/>
          </w:tcPr>
          <w:p>
            <w:r>
              <w:rPr>
                <w:sz w:val="20"/>
              </w:rPr>
              <w:t>Data</w:t>
            </w:r>
          </w:p>
        </w:tc>
        <w:tc>
          <w:tcPr>
            <w:tcW w:type="dxa" w:w="3120"/>
            <w:shd w:fill="FFFFFF"/>
          </w:tcPr>
          <w:p>
            <w:r>
              <w:rPr>
                <w:sz w:val="20"/>
              </w:rPr>
              <w:t>Service Catalog &amp; Task Schema</w:t>
            </w:r>
          </w:p>
        </w:tc>
        <w:tc>
          <w:tcPr>
            <w:tcW w:type="dxa" w:w="3120"/>
            <w:shd w:fill="FFFFFF"/>
          </w:tcPr>
          <w:p>
            <w:r>
              <w:rPr>
                <w:sz w:val="20"/>
              </w:rPr>
              <w:t>Custom IT Catalog Items, sc_task, sys_user tables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