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0"/>
          <w:szCs w:val="30"/>
        </w:rPr>
        <w:t xml:space="preserve">Streamlining IT Procurement: Automating Standard Laptop Orders with Flow Designer</w:t>
      </w:r>
    </w:p>
    <w:p>
      <w:pPr>
        <w:pBdr>
          <w:bottom w:val="single" w:color="1F3864" w:sz="6" w:space="8"/>
        </w:pBdr>
        <w:spacing w:after="300"/>
        <w:jc w:val="center"/>
      </w:pPr>
      <w:r>
        <w:rPr>
          <w:b/>
          <w:bCs/>
          <w:color w:val="2E5395"/>
          <w:sz w:val="26"/>
          <w:szCs w:val="26"/>
        </w:rPr>
        <w:t xml:space="preserve">Brainstorming &amp; Ideation Phase</w:t>
      </w:r>
    </w:p>
    <w:p>
      <w:pPr>
        <w:pStyle w:val="Heading1"/>
        <w:spacing w:after="150" w:before="300"/>
      </w:pPr>
      <w:r>
        <w:rPr>
          <w:b/>
          <w:bCs/>
          <w:color w:val="1F3864"/>
        </w:rPr>
        <w:t xml:space="preserve">1. Purpose of This Phase</w:t>
      </w:r>
    </w:p>
    <w:p>
      <w:pPr>
        <w:spacing w:after="150"/>
      </w:pPr>
      <w:r>
        <w:t xml:space="preserve">Before building the Flow Designer automation, the team stepped back to explore the problem space broadly, weigh alternative approaches, and agree on the direction that best balanced speed of implementation, maintainability, and user experience. This document captures that exploration.</w:t>
      </w:r>
    </w:p>
    <w:p>
      <w:pPr>
        <w:pStyle w:val="Heading1"/>
        <w:spacing w:after="150" w:before="300"/>
      </w:pPr>
      <w:r>
        <w:rPr>
          <w:b/>
          <w:bCs/>
          <w:color w:val="1F3864"/>
        </w:rPr>
        <w:t xml:space="preserve">2. Problem Framing</w:t>
      </w:r>
    </w:p>
    <w:p>
      <w:pPr>
        <w:spacing w:after="150"/>
      </w:pPr>
      <w:r>
        <w:t xml:space="preserve">The starting pain point: standard laptop requests submitted through the Service Catalog required a human to notice the approved request, manually raise a hardware configuration task, and assign it to the right team. This created delay, was easy to forget, and gave no consistent short description or assignment group for the hardware team to work from.</w:t>
      </w:r>
    </w:p>
    <w:p>
      <w:pPr>
        <w:pStyle w:val="Heading2"/>
        <w:spacing w:after="100" w:before="200"/>
      </w:pPr>
      <w:r>
        <w:rPr>
          <w:b/>
          <w:bCs/>
          <w:color w:val="2E5395"/>
        </w:rPr>
        <w:t xml:space="preserve">Key questions the team asked</w:t>
      </w:r>
    </w:p>
    <w:p>
      <w:pPr>
        <w:pStyle w:val="ListParagraph"/>
        <w:numPr>
          <w:ilvl w:val="0"/>
          <w:numId w:val="2"/>
        </w:numPr>
        <w:spacing w:after="80"/>
      </w:pPr>
      <w:r>
        <w:t xml:space="preserve">Where exactly in the request lifecycle does the manual step happen, and can it be triggered automatically?</w:t>
      </w:r>
    </w:p>
    <w:p>
      <w:pPr>
        <w:pStyle w:val="ListParagraph"/>
        <w:numPr>
          <w:ilvl w:val="0"/>
          <w:numId w:val="2"/>
        </w:numPr>
        <w:spacing w:after="80"/>
      </w:pPr>
      <w:r>
        <w:t xml:space="preserve">Is the bottleneck a process problem (no defined owner) or a tooling problem (no automation configured)?</w:t>
      </w:r>
    </w:p>
    <w:p>
      <w:pPr>
        <w:pStyle w:val="ListParagraph"/>
        <w:numPr>
          <w:ilvl w:val="0"/>
          <w:numId w:val="2"/>
        </w:numPr>
        <w:spacing w:after="80"/>
      </w:pPr>
      <w:r>
        <w:t xml:space="preserve">Should the fix be specific to the Standard Laptop item, or general enough to extend to other hardware requests later?</w:t>
      </w:r>
    </w:p>
    <w:p>
      <w:pPr>
        <w:pStyle w:val="ListParagraph"/>
        <w:numPr>
          <w:ilvl w:val="0"/>
          <w:numId w:val="2"/>
        </w:numPr>
        <w:spacing w:after="80"/>
      </w:pPr>
      <w:r>
        <w:t xml:space="preserve">What is the minimum set of fields the hardware team actually needs to act on a task (short description, assignment group, approval status)?</w:t>
      </w:r>
    </w:p>
    <w:p>
      <w:pPr>
        <w:pStyle w:val="Heading1"/>
        <w:spacing w:after="150" w:before="300"/>
      </w:pPr>
      <w:r>
        <w:rPr>
          <w:b/>
          <w:bCs/>
          <w:color w:val="1F3864"/>
        </w:rPr>
        <w:t xml:space="preserve">3. Ideas Generated</w:t>
      </w:r>
    </w:p>
    <w:p>
      <w:pPr>
        <w:spacing w:after="150"/>
      </w:pPr>
      <w:r>
        <w:t xml:space="preserve">The team brainstormed several ways to close the gap between an approved request and a ready-to-work hardware task, evaluated them, and selected the approach best suited to ServiceNow's native tooling.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val="clear"/>
          </w:tcPr>
          <w:p>
            <w:r>
              <w:rPr>
                <w:b/>
                <w:bCs/>
                <w:color w:val="FFFFFF"/>
              </w:rPr>
              <w:t xml:space="preserve">Option</w:t>
            </w:r>
          </w:p>
        </w:tc>
        <w:tc>
          <w:tcPr>
            <w:tcW w:type="dxa" w:w="3120"/>
            <w:shd w:fill="1F3864" w:val="clear"/>
          </w:tcPr>
          <w:p>
            <w:r>
              <w:rPr>
                <w:b/>
                <w:bCs/>
                <w:color w:val="FFFFFF"/>
              </w:rPr>
              <w:t xml:space="preserve">Description</w:t>
            </w:r>
          </w:p>
        </w:tc>
        <w:tc>
          <w:tcPr>
            <w:tcW w:type="dxa" w:w="3120"/>
            <w:shd w:fill="1F3864" w:val="clear"/>
          </w:tcPr>
          <w:p>
            <w:r>
              <w:rPr>
                <w:b/>
                <w:bCs/>
                <w:color w:val="FFFFFF"/>
              </w:rPr>
              <w:t xml:space="preserve">Verdict</w:t>
            </w:r>
          </w:p>
        </w:tc>
      </w:tr>
      <w:tr>
        <w:tc>
          <w:tcPr>
            <w:tcW w:type="dxa" w:w="3120"/>
            <w:shd w:fill="F2F5FA" w:val="clear"/>
          </w:tcPr>
          <w:p>
            <w:r>
              <w:t xml:space="preserve">Manual SOP / checklist</w:t>
            </w:r>
          </w:p>
        </w:tc>
        <w:tc>
          <w:tcPr>
            <w:tcW w:type="dxa" w:w="3120"/>
            <w:shd w:fill="F2F5FA" w:val="clear"/>
          </w:tcPr>
          <w:p>
            <w:r>
              <w:t xml:space="preserve">Document a standard procedure for procurement staff to manually raise a catalog task after each approval.</w:t>
            </w:r>
          </w:p>
        </w:tc>
        <w:tc>
          <w:tcPr>
            <w:tcW w:type="dxa" w:w="3120"/>
            <w:shd w:fill="F2F5FA" w:val="clear"/>
          </w:tcPr>
          <w:p>
            <w:r>
              <w:t xml:space="preserve">Rejected — still relies on a human remembering; doesn't scale.</w:t>
            </w:r>
          </w:p>
        </w:tc>
      </w:tr>
      <w:tr>
        <w:tc>
          <w:tcPr>
            <w:tcW w:type="dxa" w:w="3120"/>
            <w:shd w:fill="FFFFFF" w:val="clear"/>
          </w:tcPr>
          <w:p>
            <w:r>
              <w:t xml:space="preserve">Business Rule (server script)</w:t>
            </w:r>
          </w:p>
        </w:tc>
        <w:tc>
          <w:tcPr>
            <w:tcW w:type="dxa" w:w="3120"/>
            <w:shd w:fill="FFFFFF" w:val="clear"/>
          </w:tcPr>
          <w:p>
            <w:r>
              <w:t xml:space="preserve">Write a server-side Business Rule on the Requested Item table to auto-create a Catalog Task on approval.</w:t>
            </w:r>
          </w:p>
        </w:tc>
        <w:tc>
          <w:tcPr>
            <w:tcW w:type="dxa" w:w="3120"/>
            <w:shd w:fill="FFFFFF" w:val="clear"/>
          </w:tcPr>
          <w:p>
            <w:r>
              <w:t xml:space="preserve">Considered — powerful, but harder to maintain/visualize than a flow; more code to test.</w:t>
            </w:r>
          </w:p>
        </w:tc>
      </w:tr>
      <w:tr>
        <w:tc>
          <w:tcPr>
            <w:tcW w:type="dxa" w:w="3120"/>
            <w:shd w:fill="F2F5FA" w:val="clear"/>
          </w:tcPr>
          <w:p>
            <w:r>
              <w:t xml:space="preserve">Scheduled Job / polling script</w:t>
            </w:r>
          </w:p>
        </w:tc>
        <w:tc>
          <w:tcPr>
            <w:tcW w:type="dxa" w:w="3120"/>
            <w:shd w:fill="F2F5FA" w:val="clear"/>
          </w:tcPr>
          <w:p>
            <w:r>
              <w:t xml:space="preserve">Run a periodic script that scans for newly approved items and creates tasks.</w:t>
            </w:r>
          </w:p>
        </w:tc>
        <w:tc>
          <w:tcPr>
            <w:tcW w:type="dxa" w:w="3120"/>
            <w:shd w:fill="F2F5FA" w:val="clear"/>
          </w:tcPr>
          <w:p>
            <w:r>
              <w:t xml:space="preserve">Rejected — introduces unnecessary delay and polling overhead for something that should be event-driven.</w:t>
            </w:r>
          </w:p>
        </w:tc>
      </w:tr>
      <w:tr>
        <w:tc>
          <w:tcPr>
            <w:tcW w:type="dxa" w:w="3120"/>
            <w:shd w:fill="FFFFFF" w:val="clear"/>
          </w:tcPr>
          <w:p>
            <w:r>
              <w:t xml:space="preserve">Flow Designer workflow</w:t>
            </w:r>
          </w:p>
        </w:tc>
        <w:tc>
          <w:tcPr>
            <w:tcW w:type="dxa" w:w="3120"/>
            <w:shd w:fill="FFFFFF" w:val="clear"/>
          </w:tcPr>
          <w:p>
            <w:r>
              <w:t xml:space="preserve">Build a no-code Flow triggered by the Service Catalog that creates a Catalog Task with pre-set short description, assignment group, and approval status.</w:t>
            </w:r>
          </w:p>
        </w:tc>
        <w:tc>
          <w:tcPr>
            <w:tcW w:type="dxa" w:w="3120"/>
            <w:shd w:fill="FFFFFF" w:val="clear"/>
          </w:tcPr>
          <w:p>
            <w:r>
              <w:t xml:space="preserve">Selected — event-driven, low-code, easy to visualize/maintain, fits ServiceNow's recommended automation pattern.</w:t>
            </w:r>
          </w:p>
        </w:tc>
      </w:tr>
      <w:tr>
        <w:tc>
          <w:tcPr>
            <w:tcW w:type="dxa" w:w="3120"/>
            <w:shd w:fill="F2F5FA" w:val="clear"/>
          </w:tcPr>
          <w:p>
            <w:r>
              <w:t xml:space="preserve">Legacy Workflow Editor</w:t>
            </w:r>
          </w:p>
        </w:tc>
        <w:tc>
          <w:tcPr>
            <w:tcW w:type="dxa" w:w="3120"/>
            <w:shd w:fill="F2F5FA" w:val="clear"/>
          </w:tcPr>
          <w:p>
            <w:r>
              <w:t xml:space="preserve">Use the older Workflow (graphical) engine instead of Flow Designer.</w:t>
            </w:r>
          </w:p>
        </w:tc>
        <w:tc>
          <w:tcPr>
            <w:tcW w:type="dxa" w:w="3120"/>
            <w:shd w:fill="F2F5FA" w:val="clear"/>
          </w:tcPr>
          <w:p>
            <w:r>
              <w:t xml:space="preserve">Rejected — Workflow Editor is being deprecated in favor of Flow Designer; not future-proof.</w:t>
            </w:r>
          </w:p>
        </w:tc>
      </w:tr>
    </w:tbl>
    <w:p>
      <w:pPr>
        <w:pStyle w:val="Heading1"/>
        <w:spacing w:after="150" w:before="300"/>
      </w:pPr>
      <w:r>
        <w:rPr>
          <w:b/>
          <w:bCs/>
          <w:color w:val="1F3864"/>
        </w:rPr>
        <w:t xml:space="preserve">4. Why Flow Designer Was Chosen</w:t>
      </w:r>
    </w:p>
    <w:p>
      <w:pPr>
        <w:pStyle w:val="ListParagraph"/>
        <w:numPr>
          <w:ilvl w:val="0"/>
          <w:numId w:val="2"/>
        </w:numPr>
        <w:spacing w:after="80"/>
      </w:pPr>
      <w:r>
        <w:t xml:space="preserve">Native, event-driven trigger on the Service Catalog — no polling, no custom scripting needed.</w:t>
      </w:r>
    </w:p>
    <w:p>
      <w:pPr>
        <w:pStyle w:val="ListParagraph"/>
        <w:numPr>
          <w:ilvl w:val="0"/>
          <w:numId w:val="2"/>
        </w:numPr>
        <w:spacing w:after="80"/>
      </w:pPr>
      <w:r>
        <w:t xml:space="preserve">Visual, low-code builder that non-developers on the procurement team can read and maintain.</w:t>
      </w:r>
    </w:p>
    <w:p>
      <w:pPr>
        <w:pStyle w:val="ListParagraph"/>
        <w:numPr>
          <w:ilvl w:val="0"/>
          <w:numId w:val="2"/>
        </w:numPr>
        <w:spacing w:after="80"/>
      </w:pPr>
      <w:r>
        <w:t xml:space="preserve">Directly supports the required outcome: auto-creating a Catalog Task with short description, assignment group (Hardware), and approval status pre-populated.</w:t>
      </w:r>
    </w:p>
    <w:p>
      <w:pPr>
        <w:pStyle w:val="ListParagraph"/>
        <w:numPr>
          <w:ilvl w:val="0"/>
          <w:numId w:val="2"/>
        </w:numPr>
        <w:spacing w:after="80"/>
      </w:pPr>
      <w:r>
        <w:t xml:space="preserve">Integrates cleanly with the catalog item's Process Engine field, so it can be attached to the Standard Laptop item without touching other items.</w:t>
      </w:r>
    </w:p>
    <w:p>
      <w:pPr>
        <w:pStyle w:val="ListParagraph"/>
        <w:numPr>
          <w:ilvl w:val="0"/>
          <w:numId w:val="2"/>
        </w:numPr>
        <w:spacing w:after="80"/>
      </w:pPr>
      <w:r>
        <w:t xml:space="preserve">Aligned with ServiceNow's current best practice, since Flow Designer is the actively supported and recommended automation tool going forward.</w:t>
      </w:r>
    </w:p>
    <w:p>
      <w:pPr>
        <w:pStyle w:val="Heading1"/>
        <w:spacing w:after="150" w:before="300"/>
      </w:pPr>
      <w:r>
        <w:rPr>
          <w:b/>
          <w:bCs/>
          <w:color w:val="1F3864"/>
        </w:rPr>
        <w:t xml:space="preserve">5. Solution Concept Sketch</w:t>
      </w:r>
    </w:p>
    <w:p>
      <w:pPr>
        <w:spacing w:after="150"/>
      </w:pPr>
      <w:r>
        <w:t xml:space="preserve">The agreed concept, later built out in the Task Initiation phase, follows this shape:</w:t>
      </w:r>
    </w:p>
    <w:p>
      <w:pPr>
        <w:pStyle w:val="ListParagraph"/>
        <w:numPr>
          <w:ilvl w:val="0"/>
          <w:numId w:val="2"/>
        </w:numPr>
        <w:spacing w:after="80"/>
      </w:pPr>
      <w:r>
        <w:t xml:space="preserve">Trigger: Service Catalog request is approved.</w:t>
      </w:r>
    </w:p>
    <w:p>
      <w:pPr>
        <w:pStyle w:val="ListParagraph"/>
        <w:numPr>
          <w:ilvl w:val="0"/>
          <w:numId w:val="2"/>
        </w:numPr>
        <w:spacing w:after="80"/>
      </w:pPr>
      <w:r>
        <w:t xml:space="preserve">Action: Create Catalog Task, populated from the Requested Item record.</w:t>
      </w:r>
    </w:p>
    <w:p>
      <w:pPr>
        <w:pStyle w:val="ListParagraph"/>
        <w:numPr>
          <w:ilvl w:val="0"/>
          <w:numId w:val="2"/>
        </w:numPr>
        <w:spacing w:after="80"/>
      </w:pPr>
      <w:r>
        <w:t xml:space="preserve">Task fields set automatically: Short description = "Laptop needs to Configured"; Assignment group = Hardware; Approval = Approved.</w:t>
      </w:r>
    </w:p>
    <w:p>
      <w:pPr>
        <w:pStyle w:val="ListParagraph"/>
        <w:numPr>
          <w:ilvl w:val="0"/>
          <w:numId w:val="2"/>
        </w:numPr>
        <w:spacing w:after="80"/>
      </w:pPr>
      <w:r>
        <w:t xml:space="preserve">Attachment point: the flow is linked to the Standard Laptop catalog item via its Process Engine setting, replacing any prior ad hoc automation.</w:t>
      </w:r>
    </w:p>
    <w:p>
      <w:pPr>
        <w:pStyle w:val="Heading1"/>
        <w:spacing w:after="150" w:before="300"/>
      </w:pPr>
      <w:r>
        <w:rPr>
          <w:b/>
          <w:bCs/>
          <w:color w:val="1F3864"/>
        </w:rPr>
        <w:t xml:space="preserve">6. Success Criteria Identified</w:t>
      </w:r>
    </w:p>
    <w:p>
      <w:pPr>
        <w:pStyle w:val="ListParagraph"/>
        <w:numPr>
          <w:ilvl w:val="0"/>
          <w:numId w:val="2"/>
        </w:numPr>
        <w:spacing w:after="80"/>
      </w:pPr>
      <w:r>
        <w:t xml:space="preserve">A hardware configuration task is created automatically the moment a Standard Laptop request is approved — no manual step.</w:t>
      </w:r>
    </w:p>
    <w:p>
      <w:pPr>
        <w:pStyle w:val="ListParagraph"/>
        <w:numPr>
          <w:ilvl w:val="0"/>
          <w:numId w:val="2"/>
        </w:numPr>
        <w:spacing w:after="80"/>
      </w:pPr>
      <w:r>
        <w:t xml:space="preserve">The task always carries a clear short description and is routed to the correct assignment group.</w:t>
      </w:r>
    </w:p>
    <w:p>
      <w:pPr>
        <w:pStyle w:val="ListParagraph"/>
        <w:numPr>
          <w:ilvl w:val="0"/>
          <w:numId w:val="2"/>
        </w:numPr>
        <w:spacing w:after="80"/>
      </w:pPr>
      <w:r>
        <w:t xml:space="preserve">The approach can be reused or extended to other standard hardware catalog items with minimal rework.</w:t>
      </w:r>
    </w:p>
    <w:p>
      <w:pPr>
        <w:pStyle w:val="ListParagraph"/>
        <w:numPr>
          <w:ilvl w:val="0"/>
          <w:numId w:val="2"/>
        </w:numPr>
        <w:spacing w:after="80"/>
      </w:pPr>
      <w:r>
        <w:t xml:space="preserve">End users experience shorter wait times between ordering and receiving a configured laptop.</w:t>
      </w:r>
    </w:p>
    <w:p>
      <w:pPr>
        <w:pStyle w:val="Heading1"/>
        <w:spacing w:after="150" w:before="300"/>
      </w:pPr>
      <w:r>
        <w:rPr>
          <w:b/>
          <w:bCs/>
          <w:color w:val="1F3864"/>
        </w:rPr>
        <w:t xml:space="preserve">7. Next Step</w:t>
      </w:r>
    </w:p>
    <w:p>
      <w:pPr>
        <w:spacing w:after="150"/>
      </w:pPr>
      <w:r>
        <w:t xml:space="preserve">With the approach agreed, the team moved into the Task Initiation phase to build the flow in Flow Designer, attach it to the Standard Laptop catalog item, and validate it end-to-end through the Service Catalog.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2026-09-25T09:22:03.465Z</dcterms:created>
  <dcterms:modified xsi:type="dcterms:W3CDTF">2026-09-25T09:22:03.475Z</dcterms:modified>
</cp:coreProperties>
</file>

<file path=docProps/custom.xml><?xml version="1.0" encoding="utf-8"?>
<Properties xmlns="http://schemas.openxmlformats.org/officeDocument/2006/custom-properties" xmlns:vt="http://schemas.openxmlformats.org/officeDocument/2006/docPropsVTypes"/>
</file>