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Project Demonstration Phase</w:t>
      </w:r>
    </w:p>
    <w:p>
      <w:pPr>
        <w:pStyle w:val="Heading1"/>
        <w:spacing w:after="150" w:before="300"/>
      </w:pPr>
      <w:r>
        <w:rPr>
          <w:b/>
          <w:bCs/>
          <w:color w:val="1F3864"/>
        </w:rPr>
        <w:t xml:space="preserve">1. Purpose of This Phase</w:t>
      </w:r>
    </w:p>
    <w:p>
      <w:pPr>
        <w:spacing w:after="150"/>
      </w:pPr>
      <w:r>
        <w:t xml:space="preserve">This phase presents the finished solution to stakeholders as a live, end-to-end walkthrough — showing the automation working exactly as designed, from placing a request through to a configured hardware task landing with the Hardware team, with no manual steps in between.</w:t>
      </w:r>
    </w:p>
    <w:p>
      <w:pPr>
        <w:pStyle w:val="Heading1"/>
        <w:spacing w:after="150" w:before="300"/>
      </w:pPr>
      <w:r>
        <w:rPr>
          <w:b/>
          <w:bCs/>
          <w:color w:val="1F3864"/>
        </w:rPr>
        <w:t xml:space="preserve">2. Audience</w:t>
      </w:r>
    </w:p>
    <w:p>
      <w:pPr>
        <w:pStyle w:val="ListParagraph"/>
        <w:numPr>
          <w:ilvl w:val="0"/>
          <w:numId w:val="2"/>
        </w:numPr>
        <w:spacing w:after="80"/>
      </w:pPr>
      <w:r>
        <w:t xml:space="preserve">IT procurement team — to confirm the process now matches their user story.</w:t>
      </w:r>
    </w:p>
    <w:p>
      <w:pPr>
        <w:pStyle w:val="ListParagraph"/>
        <w:numPr>
          <w:ilvl w:val="0"/>
          <w:numId w:val="2"/>
        </w:numPr>
        <w:spacing w:after="80"/>
      </w:pPr>
      <w:r>
        <w:t xml:space="preserve">Hardware team — to see how tasks will arrive in their queue going forward.</w:t>
      </w:r>
    </w:p>
    <w:p>
      <w:pPr>
        <w:pStyle w:val="ListParagraph"/>
        <w:numPr>
          <w:ilvl w:val="0"/>
          <w:numId w:val="2"/>
        </w:numPr>
        <w:spacing w:after="80"/>
      </w:pPr>
      <w:r>
        <w:t xml:space="preserve">ServiceNow admin stakeholders — to see the flow and catalog item configuration behind the scenes.</w:t>
      </w:r>
    </w:p>
    <w:p>
      <w:pPr>
        <w:pStyle w:val="Heading1"/>
        <w:spacing w:after="150" w:before="300"/>
      </w:pPr>
      <w:r>
        <w:rPr>
          <w:b/>
          <w:bCs/>
          <w:color w:val="1F3864"/>
        </w:rPr>
        <w:t xml:space="preserve">3. Demonstration Objectives</w:t>
      </w:r>
    </w:p>
    <w:p>
      <w:pPr>
        <w:pStyle w:val="ListParagraph"/>
        <w:numPr>
          <w:ilvl w:val="0"/>
          <w:numId w:val="2"/>
        </w:numPr>
        <w:spacing w:after="80"/>
      </w:pPr>
      <w:r>
        <w:t xml:space="preserve">Show that a Standard Laptop request can be placed and approved with no change to the requester's experience.</w:t>
      </w:r>
    </w:p>
    <w:p>
      <w:pPr>
        <w:pStyle w:val="ListParagraph"/>
        <w:numPr>
          <w:ilvl w:val="0"/>
          <w:numId w:val="2"/>
        </w:numPr>
        <w:spacing w:after="80"/>
      </w:pPr>
      <w:r>
        <w:t xml:space="preserve">Show that approval alone — with no manual task creation — produces a fully configured Catalog Task.</w:t>
      </w:r>
    </w:p>
    <w:p>
      <w:pPr>
        <w:pStyle w:val="ListParagraph"/>
        <w:numPr>
          <w:ilvl w:val="0"/>
          <w:numId w:val="2"/>
        </w:numPr>
        <w:spacing w:after="80"/>
      </w:pPr>
      <w:r>
        <w:t xml:space="preserve">Show where the automation lives (Flow Designer) and how it is attached to the catalog item (Process Engine), so the audience understands what is driving the result.</w:t>
      </w:r>
    </w:p>
    <w:p>
      <w:pPr>
        <w:pStyle w:val="Heading1"/>
        <w:spacing w:after="150" w:before="300"/>
      </w:pPr>
      <w:r>
        <w:rPr>
          <w:b/>
          <w:bCs/>
          <w:color w:val="1F3864"/>
        </w:rPr>
        <w:t xml:space="preserve">4. Demo Script</w:t>
      </w:r>
    </w:p>
    <w:p>
      <w:pPr>
        <w:pStyle w:val="Heading2"/>
        <w:spacing w:after="100" w:before="200"/>
      </w:pPr>
      <w:r>
        <w:rPr>
          <w:b/>
          <w:bCs/>
          <w:color w:val="2E5395"/>
        </w:rPr>
        <w:t xml:space="preserve">Part 1 — Behind the scenes: the automation</w:t>
      </w:r>
    </w:p>
    <w:p>
      <w:pPr>
        <w:pStyle w:val="ListParagraph"/>
        <w:numPr>
          <w:ilvl w:val="0"/>
          <w:numId w:val="3"/>
        </w:numPr>
        <w:spacing w:after="60"/>
      </w:pPr>
      <w:r>
        <w:t xml:space="preserve">Open Flow Designer and show the "Standard Laptop task" flow in Active status.</w:t>
      </w:r>
    </w:p>
    <w:p>
      <w:pPr>
        <w:pStyle w:val="ListParagraph"/>
        <w:numPr>
          <w:ilvl w:val="0"/>
          <w:numId w:val="3"/>
        </w:numPr>
        <w:spacing w:after="60"/>
      </w:pPr>
      <w:r>
        <w:t xml:space="preserve">Walk through the trigger (Service Catalog) and the Create Catalog Task action, pointing out the Short description, Assignment group (Hardware), and Approval (Approved) field values.</w:t>
      </w:r>
    </w:p>
    <w:p>
      <w:pPr>
        <w:pStyle w:val="ListParagraph"/>
        <w:numPr>
          <w:ilvl w:val="0"/>
          <w:numId w:val="3"/>
        </w:numPr>
        <w:spacing w:after="60"/>
      </w:pPr>
      <w:r>
        <w:t xml:space="preserve">Open Maintain Items and show the Standard Laptop catalog item's Process Engine tab, with the Flow field pointing to "Standard Laptop task".</w:t>
      </w:r>
    </w:p>
    <w:p>
      <w:pPr>
        <w:pStyle w:val="Heading2"/>
        <w:spacing w:after="100" w:before="200"/>
      </w:pPr>
      <w:r>
        <w:rPr>
          <w:b/>
          <w:bCs/>
          <w:color w:val="2E5395"/>
        </w:rPr>
        <w:t xml:space="preserve">Part 2 — Requester experience</w:t>
      </w:r>
    </w:p>
    <w:p>
      <w:pPr>
        <w:pStyle w:val="ListParagraph"/>
        <w:numPr>
          <w:ilvl w:val="0"/>
          <w:numId w:val="3"/>
        </w:numPr>
        <w:spacing w:after="60"/>
      </w:pPr>
      <w:r>
        <w:t xml:space="preserve">Navigate to Service Catalog &gt; Hardware &gt; Standard Laptop.</w:t>
      </w:r>
    </w:p>
    <w:p>
      <w:pPr>
        <w:pStyle w:val="ListParagraph"/>
        <w:numPr>
          <w:ilvl w:val="0"/>
          <w:numId w:val="3"/>
        </w:numPr>
        <w:spacing w:after="60"/>
      </w:pPr>
      <w:r>
        <w:t xml:space="preserve">Click Order Now to place a live request.</w:t>
      </w:r>
    </w:p>
    <w:p>
      <w:pPr>
        <w:pStyle w:val="ListParagraph"/>
        <w:numPr>
          <w:ilvl w:val="0"/>
          <w:numId w:val="3"/>
        </w:numPr>
        <w:spacing w:after="60"/>
      </w:pPr>
      <w:r>
        <w:t xml:space="preserve">Show the Order Status confirmation and the Request Number generated.</w:t>
      </w:r>
    </w:p>
    <w:p>
      <w:pPr>
        <w:pStyle w:val="Heading2"/>
        <w:spacing w:after="100" w:before="200"/>
      </w:pPr>
      <w:r>
        <w:rPr>
          <w:b/>
          <w:bCs/>
          <w:color w:val="2E5395"/>
        </w:rPr>
        <w:t xml:space="preserve">Part 3 — Approval and automatic task creation</w:t>
      </w:r>
    </w:p>
    <w:p>
      <w:pPr>
        <w:pStyle w:val="ListParagraph"/>
        <w:numPr>
          <w:ilvl w:val="0"/>
          <w:numId w:val="3"/>
        </w:numPr>
        <w:spacing w:after="60"/>
      </w:pPr>
      <w:r>
        <w:t xml:space="preserve">Open the Request record and scroll to the Approvers section.</w:t>
      </w:r>
    </w:p>
    <w:p>
      <w:pPr>
        <w:pStyle w:val="ListParagraph"/>
        <w:numPr>
          <w:ilvl w:val="0"/>
          <w:numId w:val="3"/>
        </w:numPr>
        <w:spacing w:after="60"/>
      </w:pPr>
      <w:r>
        <w:t xml:space="preserve">Right-click the approver record and select Approve.</w:t>
      </w:r>
    </w:p>
    <w:p>
      <w:pPr>
        <w:pStyle w:val="ListParagraph"/>
        <w:numPr>
          <w:ilvl w:val="0"/>
          <w:numId w:val="3"/>
        </w:numPr>
        <w:spacing w:after="60"/>
      </w:pPr>
      <w:r>
        <w:t xml:space="preserve">Open the Requested Item and its Catalog Tasks related list to show the task that was just created automatically.</w:t>
      </w:r>
    </w:p>
    <w:p>
      <w:pPr>
        <w:pStyle w:val="ListParagraph"/>
        <w:numPr>
          <w:ilvl w:val="0"/>
          <w:numId w:val="3"/>
        </w:numPr>
        <w:spacing w:after="60"/>
      </w:pPr>
      <w:r>
        <w:t xml:space="preserve">Open the Catalog Task and highlight the short description, Assignment group, and Approval fields — all pre-filled with no manual entry.</w:t>
      </w:r>
    </w:p>
    <w:p>
      <w:pPr>
        <w:pStyle w:val="Heading1"/>
        <w:spacing w:after="150" w:before="300"/>
      </w:pPr>
      <w:r>
        <w:rPr>
          <w:b/>
          <w:bCs/>
          <w:color w:val="1F3864"/>
        </w:rPr>
        <w:t xml:space="preserve">5. Key Moments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Moment</w:t>
            </w:r>
          </w:p>
        </w:tc>
        <w:tc>
          <w:tcPr>
            <w:tcW w:type="dxa" w:w="4680"/>
            <w:shd w:fill="1F3864" w:val="clear"/>
          </w:tcPr>
          <w:p>
            <w:r>
              <w:rPr>
                <w:b/>
                <w:bCs/>
                <w:color w:val="FFFFFF"/>
              </w:rPr>
              <w:t xml:space="preserve">Why It Matters</w:t>
            </w:r>
          </w:p>
        </w:tc>
      </w:tr>
      <w:tr>
        <w:tc>
          <w:tcPr>
            <w:tcW w:type="dxa" w:w="4680"/>
            <w:shd w:fill="F2F5FA" w:val="clear"/>
          </w:tcPr>
          <w:p>
            <w:r>
              <w:t xml:space="preserve">Flow shows Active status</w:t>
            </w:r>
          </w:p>
        </w:tc>
        <w:tc>
          <w:tcPr>
            <w:tcW w:type="dxa" w:w="4680"/>
            <w:shd w:fill="F2F5FA" w:val="clear"/>
          </w:tcPr>
          <w:p>
            <w:r>
              <w:t xml:space="preserve">Confirms the automation is live, not just designed.</w:t>
            </w:r>
          </w:p>
        </w:tc>
      </w:tr>
      <w:tr>
        <w:tc>
          <w:tcPr>
            <w:tcW w:type="dxa" w:w="4680"/>
            <w:shd w:fill="FFFFFF" w:val="clear"/>
          </w:tcPr>
          <w:p>
            <w:r>
              <w:t xml:space="preserve">Order placed with zero extra steps for the requester</w:t>
            </w:r>
          </w:p>
        </w:tc>
        <w:tc>
          <w:tcPr>
            <w:tcW w:type="dxa" w:w="4680"/>
            <w:shd w:fill="FFFFFF" w:val="clear"/>
          </w:tcPr>
          <w:p>
            <w:r>
              <w:t xml:space="preserve">Shows the fix is invisible to end users — no new training needed.</w:t>
            </w:r>
          </w:p>
        </w:tc>
      </w:tr>
      <w:tr>
        <w:tc>
          <w:tcPr>
            <w:tcW w:type="dxa" w:w="4680"/>
            <w:shd w:fill="F2F5FA" w:val="clear"/>
          </w:tcPr>
          <w:p>
            <w:r>
              <w:t xml:space="preserve">Task appears the instant approval happens</w:t>
            </w:r>
          </w:p>
        </w:tc>
        <w:tc>
          <w:tcPr>
            <w:tcW w:type="dxa" w:w="4680"/>
            <w:shd w:fill="F2F5FA" w:val="clear"/>
          </w:tcPr>
          <w:p>
            <w:r>
              <w:t xml:space="preserve">Directly demonstrates the elimination of manual overhead described in the problem statement.</w:t>
            </w:r>
          </w:p>
        </w:tc>
      </w:tr>
      <w:tr>
        <w:tc>
          <w:tcPr>
            <w:tcW w:type="dxa" w:w="4680"/>
            <w:shd w:fill="FFFFFF" w:val="clear"/>
          </w:tcPr>
          <w:p>
            <w:r>
              <w:t xml:space="preserve">Pre-filled short description and Assignment group</w:t>
            </w:r>
          </w:p>
        </w:tc>
        <w:tc>
          <w:tcPr>
            <w:tcW w:type="dxa" w:w="4680"/>
            <w:shd w:fill="FFFFFF" w:val="clear"/>
          </w:tcPr>
          <w:p>
            <w:r>
              <w:t xml:space="preserve">Shows the Hardware team gets clear, consistent task details every time.</w:t>
            </w:r>
          </w:p>
        </w:tc>
      </w:tr>
    </w:tbl>
    <w:p>
      <w:pPr>
        <w:pStyle w:val="Heading1"/>
        <w:spacing w:after="150" w:before="300"/>
      </w:pPr>
      <w:r>
        <w:rPr>
          <w:b/>
          <w:bCs/>
          <w:color w:val="1F3864"/>
        </w:rPr>
        <w:t xml:space="preserve">6. Before-vs-After Talking Point</w:t>
      </w:r>
    </w:p>
    <w:p>
      <w:pPr>
        <w:spacing w:after="150"/>
      </w:pPr>
      <w:r>
        <w:t xml:space="preserve">Before: an approved laptop request relied on someone remembering to manually raise and route a configuration task, risking delay or oversight. After: the same approval instantly and consistently produces a correctly assigned Catalog Task — no manual step, no risk of it being missed.</w:t>
      </w:r>
    </w:p>
    <w:p>
      <w:pPr>
        <w:pStyle w:val="Heading1"/>
        <w:spacing w:after="150" w:before="300"/>
      </w:pPr>
      <w:r>
        <w:rPr>
          <w:b/>
          <w:bCs/>
          <w:color w:val="1F3864"/>
        </w:rPr>
        <w:t xml:space="preserve">7. Anticipated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Question</w:t>
            </w:r>
          </w:p>
        </w:tc>
        <w:tc>
          <w:tcPr>
            <w:tcW w:type="dxa" w:w="4680"/>
            <w:shd w:fill="1F3864" w:val="clear"/>
          </w:tcPr>
          <w:p>
            <w:r>
              <w:rPr>
                <w:b/>
                <w:bCs/>
                <w:color w:val="FFFFFF"/>
              </w:rPr>
              <w:t xml:space="preserve">Answer</w:t>
            </w:r>
          </w:p>
        </w:tc>
      </w:tr>
      <w:tr>
        <w:tc>
          <w:tcPr>
            <w:tcW w:type="dxa" w:w="4680"/>
            <w:shd w:fill="F2F5FA" w:val="clear"/>
          </w:tcPr>
          <w:p>
            <w:r>
              <w:t xml:space="preserve">What happens if the request is rejected instead of approved?</w:t>
            </w:r>
          </w:p>
        </w:tc>
        <w:tc>
          <w:tcPr>
            <w:tcW w:type="dxa" w:w="4680"/>
            <w:shd w:fill="F2F5FA" w:val="clear"/>
          </w:tcPr>
          <w:p>
            <w:r>
              <w:t xml:space="preserve">No Catalog Task is created, since the flow's trigger path is tied to the approved state.</w:t>
            </w:r>
          </w:p>
        </w:tc>
      </w:tr>
      <w:tr>
        <w:tc>
          <w:tcPr>
            <w:tcW w:type="dxa" w:w="4680"/>
            <w:shd w:fill="FFFFFF" w:val="clear"/>
          </w:tcPr>
          <w:p>
            <w:r>
              <w:t xml:space="preserve">Can this be extended to other hardware items (monitors, peripherals)?</w:t>
            </w:r>
          </w:p>
        </w:tc>
        <w:tc>
          <w:tcPr>
            <w:tcW w:type="dxa" w:w="4680"/>
            <w:shd w:fill="FFFFFF" w:val="clear"/>
          </w:tcPr>
          <w:p>
            <w:r>
              <w:t xml:space="preserve">Yes — the same flow pattern (trigger + Create Catalog Task action) can be attached to another catalog item's Process Engine with its own field values.</w:t>
            </w:r>
          </w:p>
        </w:tc>
      </w:tr>
      <w:tr>
        <w:tc>
          <w:tcPr>
            <w:tcW w:type="dxa" w:w="4680"/>
            <w:shd w:fill="F2F5FA" w:val="clear"/>
          </w:tcPr>
          <w:p>
            <w:r>
              <w:t xml:space="preserve">What happens if someone edits the catalog item's Process Engine later?</w:t>
            </w:r>
          </w:p>
        </w:tc>
        <w:tc>
          <w:tcPr>
            <w:tcW w:type="dxa" w:w="4680"/>
            <w:shd w:fill="F2F5FA" w:val="clear"/>
          </w:tcPr>
          <w:p>
            <w:r>
              <w:t xml:space="preserve">Whoever configures it must ensure only one engine (Flow, Workflow, or Execution Plan) is selected, or automation could stop or duplicate.</w:t>
            </w:r>
          </w:p>
        </w:tc>
      </w:tr>
      <w:tr>
        <w:tc>
          <w:tcPr>
            <w:tcW w:type="dxa" w:w="4680"/>
            <w:shd w:fill="FFFFFF" w:val="clear"/>
          </w:tcPr>
          <w:p>
            <w:r>
              <w:t xml:space="preserve">Does this require any custom scripting to maintain?</w:t>
            </w:r>
          </w:p>
        </w:tc>
        <w:tc>
          <w:tcPr>
            <w:tcW w:type="dxa" w:w="4680"/>
            <w:shd w:fill="FFFFFF" w:val="clear"/>
          </w:tcPr>
          <w:p>
            <w:r>
              <w:t xml:space="preserve">No — the entire solution is built declaratively in Flow Designer and the catalog item admin screens.</w:t>
            </w:r>
          </w:p>
        </w:tc>
      </w:tr>
    </w:tbl>
    <w:p>
      <w:pPr>
        <w:pStyle w:val="Heading1"/>
        <w:spacing w:after="150" w:before="300"/>
      </w:pPr>
      <w:r>
        <w:rPr>
          <w:b/>
          <w:bCs/>
          <w:color w:val="1F3864"/>
        </w:rPr>
        <w:t xml:space="preserve">8. Demonstration Checklist</w:t>
      </w:r>
    </w:p>
    <w:p>
      <w:pPr>
        <w:pStyle w:val="ListParagraph"/>
        <w:numPr>
          <w:ilvl w:val="0"/>
          <w:numId w:val="2"/>
        </w:numPr>
        <w:spacing w:after="80"/>
      </w:pPr>
      <w:r>
        <w:t xml:space="preserve">Confirm the flow is Active before starting.</w:t>
      </w:r>
    </w:p>
    <w:p>
      <w:pPr>
        <w:pStyle w:val="ListParagraph"/>
        <w:numPr>
          <w:ilvl w:val="0"/>
          <w:numId w:val="2"/>
        </w:numPr>
        <w:spacing w:after="80"/>
      </w:pPr>
      <w:r>
        <w:t xml:space="preserve">Confirm a valid approver is available to action the live request during the demo.</w:t>
      </w:r>
    </w:p>
    <w:p>
      <w:pPr>
        <w:pStyle w:val="ListParagraph"/>
        <w:numPr>
          <w:ilvl w:val="0"/>
          <w:numId w:val="2"/>
        </w:numPr>
        <w:spacing w:after="80"/>
      </w:pPr>
      <w:r>
        <w:t xml:space="preserve">Have the Flow Designer canvas and the Standard Laptop catalog item pre-opened in separate tabs to move quickly between them.</w:t>
      </w:r>
    </w:p>
    <w:p>
      <w:pPr>
        <w:pStyle w:val="ListParagraph"/>
        <w:numPr>
          <w:ilvl w:val="0"/>
          <w:numId w:val="2"/>
        </w:numPr>
        <w:spacing w:after="80"/>
      </w:pPr>
      <w:r>
        <w:t xml:space="preserve">Have a rollback/reset plan for the test request created during the demo, if the instance should be left clean afterward.</w:t>
      </w:r>
    </w:p>
    <w:p>
      <w:pPr>
        <w:pStyle w:val="Heading1"/>
        <w:spacing w:after="150" w:before="300"/>
      </w:pPr>
      <w:r>
        <w:rPr>
          <w:b/>
          <w:bCs/>
          <w:color w:val="1F3864"/>
        </w:rPr>
        <w:t xml:space="preserve">9. Closing Summary for the Demo</w:t>
      </w:r>
    </w:p>
    <w:p>
      <w:pPr>
        <w:spacing w:after="150"/>
      </w:pPr>
      <w:r>
        <w:t xml:space="preserve">By automating the standard laptop procurement process with ServiceNow's Flow Designer, the project removes manual overhead, ensures timely configuration of laptops, minimizes user wait times, and improves productivity within the IT department — as just shown end-to-end,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2026-09-25T09:45:11.564Z</dcterms:created>
  <dcterms:modified xsi:type="dcterms:W3CDTF">2026-09-25T09:45:11.575Z</dcterms:modified>
</cp:coreProperties>
</file>

<file path=docProps/custom.xml><?xml version="1.0" encoding="utf-8"?>
<Properties xmlns="http://schemas.openxmlformats.org/officeDocument/2006/custom-properties" xmlns:vt="http://schemas.openxmlformats.org/officeDocument/2006/docPropsVTypes"/>
</file>