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Project Design Phase</w:t>
      </w:r>
    </w:p>
    <w:p>
      <w:pPr>
        <w:pStyle w:val="Heading1"/>
        <w:spacing w:after="150" w:before="300"/>
      </w:pPr>
      <w:r>
        <w:rPr>
          <w:b/>
          <w:bCs/>
          <w:color w:val="1F3864"/>
        </w:rPr>
        <w:t xml:space="preserve">1. Purpose of This Phase</w:t>
      </w:r>
    </w:p>
    <w:p>
      <w:pPr>
        <w:spacing w:after="150"/>
      </w:pPr>
      <w:r>
        <w:t xml:space="preserve">With requirements confirmed, this phase translates them into a concrete technical design: the end-to-end process flow, the components to be built in ServiceNow, the data each component reads or writes, and how the pieces connect. This design is what the Task Initiation phase builds against.</w:t>
      </w:r>
    </w:p>
    <w:p>
      <w:pPr>
        <w:pStyle w:val="Heading1"/>
        <w:spacing w:after="150" w:before="300"/>
      </w:pPr>
      <w:r>
        <w:rPr>
          <w:b/>
          <w:bCs/>
          <w:color w:val="1F3864"/>
        </w:rPr>
        <w:t xml:space="preserve">2. Solution Architecture Overview</w:t>
      </w:r>
    </w:p>
    <w:p>
      <w:pPr>
        <w:spacing w:after="150"/>
      </w:pPr>
      <w:r>
        <w:t xml:space="preserve">The design uses three native ServiceNow building blocks working together, with no custom scripting required:</w:t>
      </w:r>
    </w:p>
    <w:p>
      <w:pPr>
        <w:pStyle w:val="ListParagraph"/>
        <w:numPr>
          <w:ilvl w:val="0"/>
          <w:numId w:val="2"/>
        </w:numPr>
        <w:spacing w:after="80"/>
      </w:pPr>
      <w:r>
        <w:t xml:space="preserve">Service Catalog — front-end entry point where the requester orders the Standard Laptop item and the approver actions the request.</w:t>
      </w:r>
    </w:p>
    <w:p>
      <w:pPr>
        <w:pStyle w:val="ListParagraph"/>
        <w:numPr>
          <w:ilvl w:val="0"/>
          <w:numId w:val="2"/>
        </w:numPr>
        <w:spacing w:after="80"/>
      </w:pPr>
      <w:r>
        <w:t xml:space="preserve">Flow Designer flow ("Standard Laptop task") — the automation engine that listens for the Service Catalog trigger and creates the hardware task.</w:t>
      </w:r>
    </w:p>
    <w:p>
      <w:pPr>
        <w:pStyle w:val="ListParagraph"/>
        <w:numPr>
          <w:ilvl w:val="0"/>
          <w:numId w:val="2"/>
        </w:numPr>
        <w:spacing w:after="80"/>
      </w:pPr>
      <w:r>
        <w:t xml:space="preserve">Catalog Item Process Engine — the attachment point that binds the flow to the Standard Laptop item so it fires for that item specifically.</w:t>
      </w:r>
    </w:p>
    <w:p>
      <w:pPr>
        <w:pStyle w:val="Heading1"/>
        <w:spacing w:after="150" w:before="300"/>
      </w:pPr>
      <w:r>
        <w:rPr>
          <w:b/>
          <w:bCs/>
          <w:color w:val="1F3864"/>
        </w:rPr>
        <w:t xml:space="preserve">3. End-to-End Process Flow</w:t>
      </w:r>
    </w:p>
    <w:p>
      <w:pPr>
        <w:pStyle w:val="ListParagraph"/>
        <w:numPr>
          <w:ilvl w:val="0"/>
          <w:numId w:val="2"/>
        </w:numPr>
        <w:spacing w:after="80"/>
      </w:pPr>
      <w:r>
        <w:t xml:space="preserve">1. Requester opens Service Catalog &gt; Hardware &gt; Standard Laptop and clicks Order Now.</w:t>
      </w:r>
    </w:p>
    <w:p>
      <w:pPr>
        <w:pStyle w:val="ListParagraph"/>
        <w:numPr>
          <w:ilvl w:val="0"/>
          <w:numId w:val="2"/>
        </w:numPr>
        <w:spacing w:after="80"/>
      </w:pPr>
      <w:r>
        <w:t xml:space="preserve">2. A Request (REQ) and Requested Item (RITM) are created; the RITM is auto-populated with quantity, pricing, and delivery details.</w:t>
      </w:r>
    </w:p>
    <w:p>
      <w:pPr>
        <w:pStyle w:val="ListParagraph"/>
        <w:numPr>
          <w:ilvl w:val="0"/>
          <w:numId w:val="2"/>
        </w:numPr>
        <w:spacing w:after="80"/>
      </w:pPr>
      <w:r>
        <w:t xml:space="preserve">3. The RITM is routed to the Approvers related list and awaits action from the designated approver.</w:t>
      </w:r>
    </w:p>
    <w:p>
      <w:pPr>
        <w:pStyle w:val="ListParagraph"/>
        <w:numPr>
          <w:ilvl w:val="0"/>
          <w:numId w:val="2"/>
        </w:numPr>
        <w:spacing w:after="80"/>
      </w:pPr>
      <w:r>
        <w:t xml:space="preserve">4. On approval, the Service Catalog trigger fires the "Standard Laptop task" flow at the RITM/Process Engine level.</w:t>
      </w:r>
    </w:p>
    <w:p>
      <w:pPr>
        <w:pStyle w:val="ListParagraph"/>
        <w:numPr>
          <w:ilvl w:val="0"/>
          <w:numId w:val="2"/>
        </w:numPr>
        <w:spacing w:after="80"/>
      </w:pPr>
      <w:r>
        <w:t xml:space="preserve">5. The flow's Create Catalog Task action runs, generating a Catalog Task (SCTASK) linked to the RITM.</w:t>
      </w:r>
    </w:p>
    <w:p>
      <w:pPr>
        <w:pStyle w:val="ListParagraph"/>
        <w:numPr>
          <w:ilvl w:val="0"/>
          <w:numId w:val="2"/>
        </w:numPr>
        <w:spacing w:after="80"/>
      </w:pPr>
      <w:r>
        <w:t xml:space="preserve">6. The new task is pre-filled with short description, description, Assignment group, and Approval status — ready for the Hardware team to pick up.</w:t>
      </w:r>
    </w:p>
    <w:p>
      <w:pPr>
        <w:pStyle w:val="ListParagraph"/>
        <w:numPr>
          <w:ilvl w:val="0"/>
          <w:numId w:val="2"/>
        </w:numPr>
        <w:spacing w:after="80"/>
      </w:pPr>
      <w:r>
        <w:t xml:space="preserve">7. The Hardware team works the SCTASK from their assignment group queue; the requester can track status from the RITM's Catalog Tasks related list.</w:t>
      </w:r>
    </w:p>
    <w:p>
      <w:pPr>
        <w:pStyle w:val="Heading1"/>
        <w:spacing w:after="150" w:before="300"/>
      </w:pPr>
      <w:r>
        <w:rPr>
          <w:b/>
          <w:bCs/>
          <w:color w:val="1F3864"/>
        </w:rPr>
        <w:t xml:space="preserve">4. Component Design</w:t>
      </w:r>
    </w:p>
    <w:p>
      <w:pPr>
        <w:pStyle w:val="Heading2"/>
        <w:spacing w:after="100" w:before="200"/>
      </w:pPr>
      <w:r>
        <w:rPr>
          <w:b/>
          <w:bCs/>
          <w:color w:val="2E5395"/>
        </w:rPr>
        <w:t xml:space="preserve">4.1 Flow Designer — "Standard Laptop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Property</w:t>
            </w:r>
          </w:p>
        </w:tc>
        <w:tc>
          <w:tcPr>
            <w:tcW w:type="dxa" w:w="4680"/>
            <w:shd w:fill="1F3864" w:val="clear"/>
          </w:tcPr>
          <w:p>
            <w:r>
              <w:rPr>
                <w:b/>
                <w:bCs/>
                <w:color w:val="FFFFFF"/>
              </w:rPr>
              <w:t xml:space="preserve">Design Value</w:t>
            </w:r>
          </w:p>
        </w:tc>
      </w:tr>
      <w:tr>
        <w:tc>
          <w:tcPr>
            <w:tcW w:type="dxa" w:w="4680"/>
            <w:shd w:fill="F2F5FA" w:val="clear"/>
          </w:tcPr>
          <w:p>
            <w:r>
              <w:t xml:space="preserve">Flow name</w:t>
            </w:r>
          </w:p>
        </w:tc>
        <w:tc>
          <w:tcPr>
            <w:tcW w:type="dxa" w:w="4680"/>
            <w:shd w:fill="F2F5FA" w:val="clear"/>
          </w:tcPr>
          <w:p>
            <w:r>
              <w:t xml:space="preserve">Standard Laptop task</w:t>
            </w:r>
          </w:p>
        </w:tc>
      </w:tr>
      <w:tr>
        <w:tc>
          <w:tcPr>
            <w:tcW w:type="dxa" w:w="4680"/>
            <w:shd w:fill="FFFFFF" w:val="clear"/>
          </w:tcPr>
          <w:p>
            <w:r>
              <w:t xml:space="preserve">Application</w:t>
            </w:r>
          </w:p>
        </w:tc>
        <w:tc>
          <w:tcPr>
            <w:tcW w:type="dxa" w:w="4680"/>
            <w:shd w:fill="FFFFFF" w:val="clear"/>
          </w:tcPr>
          <w:p>
            <w:r>
              <w:t xml:space="preserve">Global</w:t>
            </w:r>
          </w:p>
        </w:tc>
      </w:tr>
      <w:tr>
        <w:tc>
          <w:tcPr>
            <w:tcW w:type="dxa" w:w="4680"/>
            <w:shd w:fill="F2F5FA" w:val="clear"/>
          </w:tcPr>
          <w:p>
            <w:r>
              <w:t xml:space="preserve">Run As</w:t>
            </w:r>
          </w:p>
        </w:tc>
        <w:tc>
          <w:tcPr>
            <w:tcW w:type="dxa" w:w="4680"/>
            <w:shd w:fill="F2F5FA" w:val="clear"/>
          </w:tcPr>
          <w:p>
            <w:r>
              <w:t xml:space="preserve">System user (ensures the flow runs regardless of which user triggers it)</w:t>
            </w:r>
          </w:p>
        </w:tc>
      </w:tr>
      <w:tr>
        <w:tc>
          <w:tcPr>
            <w:tcW w:type="dxa" w:w="4680"/>
            <w:shd w:fill="FFFFFF" w:val="clear"/>
          </w:tcPr>
          <w:p>
            <w:r>
              <w:t xml:space="preserve">Trigger</w:t>
            </w:r>
          </w:p>
        </w:tc>
        <w:tc>
          <w:tcPr>
            <w:tcW w:type="dxa" w:w="4680"/>
            <w:shd w:fill="FFFFFF" w:val="clear"/>
          </w:tcPr>
          <w:p>
            <w:r>
              <w:t xml:space="preserve">Service Catalog</w:t>
            </w:r>
          </w:p>
        </w:tc>
      </w:tr>
      <w:tr>
        <w:tc>
          <w:tcPr>
            <w:tcW w:type="dxa" w:w="4680"/>
            <w:shd w:fill="F2F5FA" w:val="clear"/>
          </w:tcPr>
          <w:p>
            <w:r>
              <w:t xml:space="preserve">Action</w:t>
            </w:r>
          </w:p>
        </w:tc>
        <w:tc>
          <w:tcPr>
            <w:tcW w:type="dxa" w:w="4680"/>
            <w:shd w:fill="F2F5FA" w:val="clear"/>
          </w:tcPr>
          <w:p>
            <w:r>
              <w:t xml:space="preserve">Create Catalog Task</w:t>
            </w:r>
          </w:p>
        </w:tc>
      </w:tr>
      <w:tr>
        <w:tc>
          <w:tcPr>
            <w:tcW w:type="dxa" w:w="4680"/>
            <w:shd w:fill="FFFFFF" w:val="clear"/>
          </w:tcPr>
          <w:p>
            <w:r>
              <w:t xml:space="preserve">Table</w:t>
            </w:r>
          </w:p>
        </w:tc>
        <w:tc>
          <w:tcPr>
            <w:tcW w:type="dxa" w:w="4680"/>
            <w:shd w:fill="FFFFFF" w:val="clear"/>
          </w:tcPr>
          <w:p>
            <w:r>
              <w:t xml:space="preserve">Catalog Task [sc_task]</w:t>
            </w:r>
          </w:p>
        </w:tc>
      </w:tr>
      <w:tr>
        <w:tc>
          <w:tcPr>
            <w:tcW w:type="dxa" w:w="4680"/>
            <w:shd w:fill="F2F5FA" w:val="clear"/>
          </w:tcPr>
          <w:p>
            <w:r>
              <w:t xml:space="preserve">Requested Item</w:t>
            </w:r>
          </w:p>
        </w:tc>
        <w:tc>
          <w:tcPr>
            <w:tcW w:type="dxa" w:w="4680"/>
            <w:shd w:fill="F2F5FA" w:val="clear"/>
          </w:tcPr>
          <w:p>
            <w:r>
              <w:t xml:space="preserve">Mapped from Trigger &gt; Requested Item (auto-populates the task's parent RITM)</w:t>
            </w:r>
          </w:p>
        </w:tc>
      </w:tr>
    </w:tbl>
    <w:p>
      <w:pPr>
        <w:pStyle w:val="Heading2"/>
        <w:spacing w:after="100" w:before="200"/>
      </w:pPr>
      <w:r>
        <w:rPr>
          <w:b/>
          <w:bCs/>
          <w:color w:val="2E5395"/>
        </w:rPr>
        <w:t xml:space="preserve">4.2 Catalog Task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Field</w:t>
            </w:r>
          </w:p>
        </w:tc>
        <w:tc>
          <w:tcPr>
            <w:tcW w:type="dxa" w:w="4680"/>
            <w:shd w:fill="1F3864" w:val="clear"/>
          </w:tcPr>
          <w:p>
            <w:r>
              <w:rPr>
                <w:b/>
                <w:bCs/>
                <w:color w:val="FFFFFF"/>
              </w:rPr>
              <w:t xml:space="preserve">Value Set by Flow</w:t>
            </w:r>
          </w:p>
        </w:tc>
      </w:tr>
      <w:tr>
        <w:tc>
          <w:tcPr>
            <w:tcW w:type="dxa" w:w="4680"/>
            <w:shd w:fill="F2F5FA" w:val="clear"/>
          </w:tcPr>
          <w:p>
            <w:r>
              <w:t xml:space="preserve">Short description</w:t>
            </w:r>
          </w:p>
        </w:tc>
        <w:tc>
          <w:tcPr>
            <w:tcW w:type="dxa" w:w="4680"/>
            <w:shd w:fill="F2F5FA" w:val="clear"/>
          </w:tcPr>
          <w:p>
            <w:r>
              <w:t xml:space="preserve">Laptop needs to Configured</w:t>
            </w:r>
          </w:p>
        </w:tc>
      </w:tr>
      <w:tr>
        <w:tc>
          <w:tcPr>
            <w:tcW w:type="dxa" w:w="4680"/>
            <w:shd w:fill="FFFFFF" w:val="clear"/>
          </w:tcPr>
          <w:p>
            <w:r>
              <w:t xml:space="preserve">Description</w:t>
            </w:r>
          </w:p>
        </w:tc>
        <w:tc>
          <w:tcPr>
            <w:tcW w:type="dxa" w:w="4680"/>
            <w:shd w:fill="FFFFFF" w:val="clear"/>
          </w:tcPr>
          <w:p>
            <w:r>
              <w:t xml:space="preserve">Laptop needs to Configured</w:t>
            </w:r>
          </w:p>
        </w:tc>
      </w:tr>
      <w:tr>
        <w:tc>
          <w:tcPr>
            <w:tcW w:type="dxa" w:w="4680"/>
            <w:shd w:fill="F2F5FA" w:val="clear"/>
          </w:tcPr>
          <w:p>
            <w:r>
              <w:t xml:space="preserve">Assignment group</w:t>
            </w:r>
          </w:p>
        </w:tc>
        <w:tc>
          <w:tcPr>
            <w:tcW w:type="dxa" w:w="4680"/>
            <w:shd w:fill="F2F5FA" w:val="clear"/>
          </w:tcPr>
          <w:p>
            <w:r>
              <w:t xml:space="preserve">Hardware</w:t>
            </w:r>
          </w:p>
        </w:tc>
      </w:tr>
      <w:tr>
        <w:tc>
          <w:tcPr>
            <w:tcW w:type="dxa" w:w="4680"/>
            <w:shd w:fill="FFFFFF" w:val="clear"/>
          </w:tcPr>
          <w:p>
            <w:r>
              <w:t xml:space="preserve">Approval</w:t>
            </w:r>
          </w:p>
        </w:tc>
        <w:tc>
          <w:tcPr>
            <w:tcW w:type="dxa" w:w="4680"/>
            <w:shd w:fill="FFFFFF" w:val="clear"/>
          </w:tcPr>
          <w:p>
            <w:r>
              <w:t xml:space="preserve">Approved</w:t>
            </w:r>
          </w:p>
        </w:tc>
      </w:tr>
    </w:tbl>
    <w:p>
      <w:pPr>
        <w:pStyle w:val="Heading2"/>
        <w:spacing w:after="100" w:before="200"/>
      </w:pPr>
      <w:r>
        <w:rPr>
          <w:b/>
          <w:bCs/>
          <w:color w:val="2E5395"/>
        </w:rPr>
        <w:t xml:space="preserve">4.3 Catalog Item — Standard Laptop</w:t>
      </w:r>
    </w:p>
    <w:p>
      <w:pPr>
        <w:pStyle w:val="ListParagraph"/>
        <w:numPr>
          <w:ilvl w:val="0"/>
          <w:numId w:val="2"/>
        </w:numPr>
        <w:spacing w:after="80"/>
      </w:pPr>
      <w:r>
        <w:t xml:space="preserve">Category: Hardware; Catalog: Service Catalog; Application: Global.</w:t>
      </w:r>
    </w:p>
    <w:p>
      <w:pPr>
        <w:pStyle w:val="ListParagraph"/>
        <w:numPr>
          <w:ilvl w:val="0"/>
          <w:numId w:val="2"/>
        </w:numPr>
        <w:spacing w:after="80"/>
      </w:pPr>
      <w:r>
        <w:t xml:space="preserve">Process Engine tab: Flow field set to "Standard Laptop task" (Workflow and Execution Plan fields left empty so only one engine drives the item).</w:t>
      </w:r>
    </w:p>
    <w:p>
      <w:pPr>
        <w:pStyle w:val="ListParagraph"/>
        <w:numPr>
          <w:ilvl w:val="0"/>
          <w:numId w:val="2"/>
        </w:numPr>
        <w:spacing w:after="80"/>
      </w:pPr>
      <w:r>
        <w:t xml:space="preserve">Any pre-existing ad hoc automation on the item is removed before the flow is attached, so there is a single source of automation.</w:t>
      </w:r>
    </w:p>
    <w:p>
      <w:pPr>
        <w:pStyle w:val="Heading1"/>
        <w:spacing w:after="150" w:before="300"/>
      </w:pPr>
      <w:r>
        <w:rPr>
          <w:b/>
          <w:bCs/>
          <w:color w:val="1F3864"/>
        </w:rPr>
        <w:t xml:space="preserve">5. Data Flow Diagram (Narrative)</w:t>
      </w:r>
    </w:p>
    <w:p>
      <w:pPr>
        <w:spacing w:after="150"/>
      </w:pPr>
      <w:r>
        <w:t xml:space="preserve">Request (REQ) → Requested Item (RITM, holds requester, pricing, approval state) → [on approval] → Flow trigger fires → Create Catalog Task action reads the RITM → Catalog Task (SCTASK) created with short description, Assignment group, and Approval pre-filled → visible under the RITM's Catalog Tasks related list and in the Hardware team's queue.</w:t>
      </w:r>
    </w:p>
    <w:p>
      <w:pPr>
        <w:pStyle w:val="Heading1"/>
        <w:spacing w:after="150" w:before="300"/>
      </w:pPr>
      <w:r>
        <w:rPr>
          <w:b/>
          <w:bCs/>
          <w:color w:val="1F3864"/>
        </w:rPr>
        <w:t xml:space="preserve">6. Design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Decision</w:t>
            </w:r>
          </w:p>
        </w:tc>
        <w:tc>
          <w:tcPr>
            <w:tcW w:type="dxa" w:w="4680"/>
            <w:shd w:fill="1F3864" w:val="clear"/>
          </w:tcPr>
          <w:p>
            <w:r>
              <w:rPr>
                <w:b/>
                <w:bCs/>
                <w:color w:val="FFFFFF"/>
              </w:rPr>
              <w:t xml:space="preserve">Rationale</w:t>
            </w:r>
          </w:p>
        </w:tc>
      </w:tr>
      <w:tr>
        <w:tc>
          <w:tcPr>
            <w:tcW w:type="dxa" w:w="4680"/>
            <w:shd w:fill="F2F5FA" w:val="clear"/>
          </w:tcPr>
          <w:p>
            <w:r>
              <w:t xml:space="preserve">Use Flow Designer rather than a Business Rule</w:t>
            </w:r>
          </w:p>
        </w:tc>
        <w:tc>
          <w:tcPr>
            <w:tcW w:type="dxa" w:w="4680"/>
            <w:shd w:fill="F2F5FA" w:val="clear"/>
          </w:tcPr>
          <w:p>
            <w:r>
              <w:t xml:space="preserve">Keeps the automation visual, low-code, and maintainable by non-developers; aligns with ServiceNow's current recommended pattern.</w:t>
            </w:r>
          </w:p>
        </w:tc>
      </w:tr>
      <w:tr>
        <w:tc>
          <w:tcPr>
            <w:tcW w:type="dxa" w:w="4680"/>
            <w:shd w:fill="FFFFFF" w:val="clear"/>
          </w:tcPr>
          <w:p>
            <w:r>
              <w:t xml:space="preserve">Run the flow as System user</w:t>
            </w:r>
          </w:p>
        </w:tc>
        <w:tc>
          <w:tcPr>
            <w:tcW w:type="dxa" w:w="4680"/>
            <w:shd w:fill="FFFFFF" w:val="clear"/>
          </w:tcPr>
          <w:p>
            <w:r>
              <w:t xml:space="preserve">Avoids dependency on any one human account being active/licensed; ensures consistent execution.</w:t>
            </w:r>
          </w:p>
        </w:tc>
      </w:tr>
      <w:tr>
        <w:tc>
          <w:tcPr>
            <w:tcW w:type="dxa" w:w="4680"/>
            <w:shd w:fill="F2F5FA" w:val="clear"/>
          </w:tcPr>
          <w:p>
            <w:r>
              <w:t xml:space="preserve">Trigger on Service Catalog rather than a scheduled job</w:t>
            </w:r>
          </w:p>
        </w:tc>
        <w:tc>
          <w:tcPr>
            <w:tcW w:type="dxa" w:w="4680"/>
            <w:shd w:fill="F2F5FA" w:val="clear"/>
          </w:tcPr>
          <w:p>
            <w:r>
              <w:t xml:space="preserve">Event-driven trigger creates the task immediately on approval, avoiding polling delay.</w:t>
            </w:r>
          </w:p>
        </w:tc>
      </w:tr>
      <w:tr>
        <w:tc>
          <w:tcPr>
            <w:tcW w:type="dxa" w:w="4680"/>
            <w:shd w:fill="FFFFFF" w:val="clear"/>
          </w:tcPr>
          <w:p>
            <w:r>
              <w:t xml:space="preserve">Hard-set Assignment group to Hardware</w:t>
            </w:r>
          </w:p>
        </w:tc>
        <w:tc>
          <w:tcPr>
            <w:tcW w:type="dxa" w:w="4680"/>
            <w:shd w:fill="FFFFFF" w:val="clear"/>
          </w:tcPr>
          <w:p>
            <w:r>
              <w:t xml:space="preserve">The Standard Laptop item only ever needs hardware configuration, so a static value keeps the flow simple.</w:t>
            </w:r>
          </w:p>
        </w:tc>
      </w:tr>
      <w:tr>
        <w:tc>
          <w:tcPr>
            <w:tcW w:type="dxa" w:w="4680"/>
            <w:shd w:fill="F2F5FA" w:val="clear"/>
          </w:tcPr>
          <w:p>
            <w:r>
              <w:t xml:space="preserve">Attach via Process Engine rather than a separate trigger rule</w:t>
            </w:r>
          </w:p>
        </w:tc>
        <w:tc>
          <w:tcPr>
            <w:tcW w:type="dxa" w:w="4680"/>
            <w:shd w:fill="F2F5FA" w:val="clear"/>
          </w:tcPr>
          <w:p>
            <w:r>
              <w:t xml:space="preserve">Process Engine is the item's built-in, supported mechanism for choosing which automation owns it, and keeps the binding visible on the catalog item record itself.</w:t>
            </w:r>
          </w:p>
        </w:tc>
      </w:tr>
    </w:tbl>
    <w:p>
      <w:pPr>
        <w:pStyle w:val="Heading1"/>
        <w:spacing w:after="150" w:before="300"/>
      </w:pPr>
      <w:r>
        <w:rPr>
          <w:b/>
          <w:bCs/>
          <w:color w:val="1F3864"/>
        </w:rPr>
        <w:t xml:space="preserve">7. Design Constraints Carried Forward</w:t>
      </w:r>
    </w:p>
    <w:p>
      <w:pPr>
        <w:pStyle w:val="ListParagraph"/>
        <w:numPr>
          <w:ilvl w:val="0"/>
          <w:numId w:val="2"/>
        </w:numPr>
        <w:spacing w:after="80"/>
      </w:pPr>
      <w:r>
        <w:t xml:space="preserve">The design is scoped to the Standard Laptop catalog item; other items are not modified in this phase.</w:t>
      </w:r>
    </w:p>
    <w:p>
      <w:pPr>
        <w:pStyle w:val="ListParagraph"/>
        <w:numPr>
          <w:ilvl w:val="0"/>
          <w:numId w:val="2"/>
        </w:numPr>
        <w:spacing w:after="80"/>
      </w:pPr>
      <w:r>
        <w:t xml:space="preserve">Single-level approval is assumed; the design does not include branching for multi-stage approval chains.</w:t>
      </w:r>
    </w:p>
    <w:p>
      <w:pPr>
        <w:pStyle w:val="ListParagraph"/>
        <w:numPr>
          <w:ilvl w:val="0"/>
          <w:numId w:val="2"/>
        </w:numPr>
        <w:spacing w:after="80"/>
      </w:pPr>
      <w:r>
        <w:t xml:space="preserve">The Hardware assignment group must already exist and be correctly staffed for the design to deliver value.</w:t>
      </w:r>
    </w:p>
    <w:p>
      <w:pPr>
        <w:pStyle w:val="Heading1"/>
        <w:spacing w:after="150" w:before="300"/>
      </w:pPr>
      <w:r>
        <w:rPr>
          <w:b/>
          <w:bCs/>
          <w:color w:val="1F3864"/>
        </w:rPr>
        <w:t xml:space="preserve">8. Next Step</w:t>
      </w:r>
    </w:p>
    <w:p>
      <w:pPr>
        <w:spacing w:after="150"/>
      </w:pPr>
      <w:r>
        <w:t xml:space="preserve">With the architecture, process flow, and field mappings defined, the project proceeds to the Task Initiation phase to build the "Standard Laptop task" flow in Flow Designer, attach it via the Process Engine, and validate the design end-to-end through the Service Catalog.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2026-09-25T09:30:23.672Z</dcterms:created>
  <dcterms:modified xsi:type="dcterms:W3CDTF">2026-09-25T09:30:23.681Z</dcterms:modified>
</cp:coreProperties>
</file>

<file path=docProps/custom.xml><?xml version="1.0" encoding="utf-8"?>
<Properties xmlns="http://schemas.openxmlformats.org/officeDocument/2006/custom-properties" xmlns:vt="http://schemas.openxmlformats.org/officeDocument/2006/docPropsVTypes"/>
</file>