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40AF"/>
          <w:sz w:val="44"/>
        </w:rPr>
        <w:t>VoiceGuard AI: Project Summary</w:t>
      </w:r>
    </w:p>
    <w:p>
      <w:pPr>
        <w:spacing w:before="0" w:after="280"/>
      </w:pPr>
      <w:r>
        <w:rPr>
          <w:rFonts w:ascii="Calibri" w:hAnsi="Calibri"/>
          <w:color w:val="64748B"/>
          <w:sz w:val="22"/>
        </w:rPr>
        <w:t>Integrated Spoof-Aware Speaker Verification (SASV) for Secure Voice Authentication</w:t>
      </w:r>
    </w:p>
    <w:p>
      <w:pPr>
        <w:spacing w:before="0" w:after="240"/>
        <w:pBdr>
          <w:bottom w:val="single" w:sz="12" w:space="1" w:color="2563EB"/>
        </w:pBdr>
      </w:pPr>
    </w:p>
    <w:p>
      <w:pPr>
        <w:keepNext/>
        <w:spacing w:before="280" w:after="80"/>
      </w:pPr>
      <w:r>
        <w:rPr>
          <w:rFonts w:ascii="Calibri" w:hAnsi="Calibri"/>
          <w:b/>
          <w:color w:val="1E40AF"/>
          <w:sz w:val="26"/>
        </w:rPr>
        <w:t>1. Project Overview</w:t>
      </w:r>
    </w:p>
    <w:p>
      <w:pPr>
        <w:spacing w:before="40" w:after="80" w:line="276" w:lineRule="auto"/>
      </w:pPr>
      <w:r>
        <w:rPr>
          <w:rFonts w:ascii="Calibri" w:hAnsi="Calibri"/>
          <w:i w:val="0"/>
          <w:color w:val="334155"/>
          <w:sz w:val="21"/>
        </w:rPr>
        <w:t>VoiceGuard AI is an advanced biometric security system designed to protect voice authentication against generative AI deepfakes, synthetic speech, replay attacks, and human impersonation. While conventional voice authentication checks only whether an audio sample matches the user's voice, VoiceGuard AI simultaneously verifies three essential security dimensions: identity, liveness, and authenticity.</w:t>
      </w:r>
    </w:p>
    <w:p>
      <w:pPr>
        <w:pStyle w:val="ListBullet"/>
        <w:spacing w:before="40" w:after="60" w:line="276" w:lineRule="auto"/>
      </w:pPr>
      <w:r>
        <w:rPr>
          <w:rFonts w:ascii="Calibri" w:hAnsi="Calibri"/>
          <w:b/>
          <w:color w:val="0F172A"/>
          <w:sz w:val="21"/>
        </w:rPr>
        <w:t xml:space="preserve">Problem Addressed: </w:t>
      </w:r>
      <w:r>
        <w:rPr>
          <w:rFonts w:ascii="Calibri" w:hAnsi="Calibri"/>
          <w:color w:val="334155"/>
          <w:sz w:val="21"/>
        </w:rPr>
        <w:t>Modern AI voice cloning tools (such as ElevenLabs and neural vocoders) can clone a human voice using just 3 to 5 seconds of sample audio. Traditional voice recognition is completely vulnerable to these synthetic voice attacks.</w:t>
      </w:r>
    </w:p>
    <w:p>
      <w:pPr>
        <w:pStyle w:val="ListBullet"/>
        <w:spacing w:before="40" w:after="60" w:line="276" w:lineRule="auto"/>
      </w:pPr>
      <w:r>
        <w:rPr>
          <w:rFonts w:ascii="Calibri" w:hAnsi="Calibri"/>
          <w:b/>
          <w:color w:val="0F172A"/>
          <w:sz w:val="21"/>
        </w:rPr>
        <w:t xml:space="preserve">Solution: </w:t>
      </w:r>
      <w:r>
        <w:rPr>
          <w:rFonts w:ascii="Calibri" w:hAnsi="Calibri"/>
          <w:color w:val="334155"/>
          <w:sz w:val="21"/>
        </w:rPr>
        <w:t>An integrated SASV (Spoof-Aware Speaker Verification) pipeline combining neural voiceprint comparison, raw-waveform anti-spoofing graph neural networks, and dynamic spoken challenge-response liveness.</w:t>
      </w:r>
    </w:p>
    <w:p>
      <w:pPr>
        <w:keepNext/>
        <w:spacing w:before="280" w:after="80"/>
      </w:pPr>
      <w:r>
        <w:rPr>
          <w:rFonts w:ascii="Calibri" w:hAnsi="Calibri"/>
          <w:b/>
          <w:color w:val="1E40AF"/>
          <w:sz w:val="26"/>
        </w:rPr>
        <w:t>2. Programming Languages Used</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1E40AF"/>
            <w:tcMar>
              <w:top w:w="100" w:type="dxa"/>
              <w:bottom w:w="100" w:type="dxa"/>
              <w:left w:w="120" w:type="dxa"/>
              <w:right w:w="120" w:type="dxa"/>
            </w:tcMar>
          </w:tcPr>
          <w:p>
            <w:r>
              <w:rPr>
                <w:rFonts w:ascii="Calibri" w:hAnsi="Calibri"/>
                <w:b/>
                <w:color w:val="FFFFFF"/>
                <w:sz w:val="20"/>
              </w:rPr>
              <w:t>Language</w:t>
            </w:r>
          </w:p>
        </w:tc>
        <w:tc>
          <w:tcPr>
            <w:tcW w:type="dxa" w:w="4608"/>
            <w:shd w:val="clear" w:color="auto" w:fill="1E40AF"/>
            <w:tcMar>
              <w:top w:w="100" w:type="dxa"/>
              <w:bottom w:w="100" w:type="dxa"/>
              <w:left w:w="120" w:type="dxa"/>
              <w:right w:w="120" w:type="dxa"/>
            </w:tcMar>
          </w:tcPr>
          <w:p>
            <w:r>
              <w:rPr>
                <w:rFonts w:ascii="Calibri" w:hAnsi="Calibri"/>
                <w:b/>
                <w:color w:val="FFFFFF"/>
                <w:sz w:val="20"/>
              </w:rPr>
              <w:t>Role / Usage</w:t>
            </w:r>
          </w:p>
        </w:tc>
        <w:tc>
          <w:tcPr>
            <w:tcW w:type="dxa" w:w="2880"/>
            <w:shd w:val="clear" w:color="auto" w:fill="1E40AF"/>
            <w:tcMar>
              <w:top w:w="100" w:type="dxa"/>
              <w:bottom w:w="100" w:type="dxa"/>
              <w:left w:w="120" w:type="dxa"/>
              <w:right w:w="120" w:type="dxa"/>
            </w:tcMar>
          </w:tcPr>
          <w:p>
            <w:r>
              <w:rPr>
                <w:rFonts w:ascii="Calibri" w:hAnsi="Calibri"/>
                <w:b/>
                <w:color w:val="FFFFFF"/>
                <w:sz w:val="20"/>
              </w:rPr>
              <w:t>Key Modules</w:t>
            </w:r>
          </w:p>
        </w:tc>
      </w:tr>
      <w:tr>
        <w:tc>
          <w:tcPr>
            <w:tcW w:type="dxa" w:w="2160"/>
            <w:shd w:val="clear" w:color="auto" w:fill="F8FAFC"/>
            <w:tcMar>
              <w:top w:w="80" w:type="dxa"/>
              <w:bottom w:w="80" w:type="dxa"/>
              <w:left w:w="120" w:type="dxa"/>
              <w:right w:w="120" w:type="dxa"/>
            </w:tcMar>
          </w:tcPr>
          <w:p>
            <w:r>
              <w:rPr>
                <w:rFonts w:ascii="Calibri" w:hAnsi="Calibri"/>
                <w:b/>
                <w:color w:val="0F172A"/>
                <w:sz w:val="19"/>
              </w:rPr>
              <w:t>Python 3.10+</w:t>
            </w:r>
          </w:p>
        </w:tc>
        <w:tc>
          <w:tcPr>
            <w:tcW w:type="dxa" w:w="4608"/>
            <w:shd w:val="clear" w:color="auto" w:fill="F8FAFC"/>
            <w:tcMar>
              <w:top w:w="80" w:type="dxa"/>
              <w:bottom w:w="80" w:type="dxa"/>
              <w:left w:w="120" w:type="dxa"/>
              <w:right w:w="120" w:type="dxa"/>
            </w:tcMar>
          </w:tcPr>
          <w:p>
            <w:r>
              <w:rPr>
                <w:rFonts w:ascii="Calibri" w:hAnsi="Calibri"/>
                <w:color w:val="334155"/>
                <w:sz w:val="19"/>
              </w:rPr>
              <w:t>Backend API, deep learning inference, model orchestration, audio signal processing</w:t>
            </w:r>
          </w:p>
        </w:tc>
        <w:tc>
          <w:tcPr>
            <w:tcW w:type="dxa" w:w="2880"/>
            <w:shd w:val="clear" w:color="auto" w:fill="F8FAFC"/>
            <w:tcMar>
              <w:top w:w="80" w:type="dxa"/>
              <w:bottom w:w="80" w:type="dxa"/>
              <w:left w:w="120" w:type="dxa"/>
              <w:right w:w="120" w:type="dxa"/>
            </w:tcMar>
          </w:tcPr>
          <w:p>
            <w:r>
              <w:rPr>
                <w:rFonts w:ascii="Calibri" w:hAnsi="Calibri"/>
                <w:color w:val="334155"/>
                <w:sz w:val="19"/>
              </w:rPr>
              <w:t>PyTorch, FastAPI, SpeechBrain, Whisper</w:t>
            </w:r>
          </w:p>
        </w:tc>
      </w:tr>
      <w:tr>
        <w:tc>
          <w:tcPr>
            <w:tcW w:type="dxa" w:w="2160"/>
            <w:shd w:val="clear" w:color="auto" w:fill="FFFFFF"/>
            <w:tcMar>
              <w:top w:w="80" w:type="dxa"/>
              <w:bottom w:w="80" w:type="dxa"/>
              <w:left w:w="120" w:type="dxa"/>
              <w:right w:w="120" w:type="dxa"/>
            </w:tcMar>
          </w:tcPr>
          <w:p>
            <w:r>
              <w:rPr>
                <w:rFonts w:ascii="Calibri" w:hAnsi="Calibri"/>
                <w:b/>
                <w:color w:val="0F172A"/>
                <w:sz w:val="19"/>
              </w:rPr>
              <w:t>JavaScript (ES6+)</w:t>
            </w:r>
          </w:p>
        </w:tc>
        <w:tc>
          <w:tcPr>
            <w:tcW w:type="dxa" w:w="4608"/>
            <w:shd w:val="clear" w:color="auto" w:fill="FFFFFF"/>
            <w:tcMar>
              <w:top w:w="80" w:type="dxa"/>
              <w:bottom w:w="80" w:type="dxa"/>
              <w:left w:w="120" w:type="dxa"/>
              <w:right w:w="120" w:type="dxa"/>
            </w:tcMar>
          </w:tcPr>
          <w:p>
            <w:r>
              <w:rPr>
                <w:rFonts w:ascii="Calibri" w:hAnsi="Calibri"/>
                <w:color w:val="334155"/>
                <w:sz w:val="19"/>
              </w:rPr>
              <w:t>Frontend client, browser microphone recording (Web Audio API / MediaRecorder), UI reactivity</w:t>
            </w:r>
          </w:p>
        </w:tc>
        <w:tc>
          <w:tcPr>
            <w:tcW w:type="dxa" w:w="2880"/>
            <w:shd w:val="clear" w:color="auto" w:fill="FFFFFF"/>
            <w:tcMar>
              <w:top w:w="80" w:type="dxa"/>
              <w:bottom w:w="80" w:type="dxa"/>
              <w:left w:w="120" w:type="dxa"/>
              <w:right w:w="120" w:type="dxa"/>
            </w:tcMar>
          </w:tcPr>
          <w:p>
            <w:r>
              <w:rPr>
                <w:rFonts w:ascii="Calibri" w:hAnsi="Calibri"/>
                <w:color w:val="334155"/>
                <w:sz w:val="19"/>
              </w:rPr>
              <w:t>app.js (Live enrollment wizard, dynamic prompts)</w:t>
            </w:r>
          </w:p>
        </w:tc>
      </w:tr>
      <w:tr>
        <w:tc>
          <w:tcPr>
            <w:tcW w:type="dxa" w:w="2160"/>
            <w:shd w:val="clear" w:color="auto" w:fill="F8FAFC"/>
            <w:tcMar>
              <w:top w:w="80" w:type="dxa"/>
              <w:bottom w:w="80" w:type="dxa"/>
              <w:left w:w="120" w:type="dxa"/>
              <w:right w:w="120" w:type="dxa"/>
            </w:tcMar>
          </w:tcPr>
          <w:p>
            <w:r>
              <w:rPr>
                <w:rFonts w:ascii="Calibri" w:hAnsi="Calibri"/>
                <w:b/>
                <w:color w:val="0F172A"/>
                <w:sz w:val="19"/>
              </w:rPr>
              <w:t>HTML5 &amp; CSS3</w:t>
            </w:r>
          </w:p>
        </w:tc>
        <w:tc>
          <w:tcPr>
            <w:tcW w:type="dxa" w:w="4608"/>
            <w:shd w:val="clear" w:color="auto" w:fill="F8FAFC"/>
            <w:tcMar>
              <w:top w:w="80" w:type="dxa"/>
              <w:bottom w:w="80" w:type="dxa"/>
              <w:left w:w="120" w:type="dxa"/>
              <w:right w:w="120" w:type="dxa"/>
            </w:tcMar>
          </w:tcPr>
          <w:p>
            <w:r>
              <w:rPr>
                <w:rFonts w:ascii="Calibri" w:hAnsi="Calibri"/>
                <w:color w:val="334155"/>
                <w:sz w:val="19"/>
              </w:rPr>
              <w:t>Modern user interface, responsive layout, dark theme, interactive biometric dashboards</w:t>
            </w:r>
          </w:p>
        </w:tc>
        <w:tc>
          <w:tcPr>
            <w:tcW w:type="dxa" w:w="2880"/>
            <w:shd w:val="clear" w:color="auto" w:fill="F8FAFC"/>
            <w:tcMar>
              <w:top w:w="80" w:type="dxa"/>
              <w:bottom w:w="80" w:type="dxa"/>
              <w:left w:w="120" w:type="dxa"/>
              <w:right w:w="120" w:type="dxa"/>
            </w:tcMar>
          </w:tcPr>
          <w:p>
            <w:r>
              <w:rPr>
                <w:rFonts w:ascii="Calibri" w:hAnsi="Calibri"/>
                <w:color w:val="334155"/>
                <w:sz w:val="19"/>
              </w:rPr>
              <w:t>index.html, styles.css (Glassmorphism &amp; animations)</w:t>
            </w:r>
          </w:p>
        </w:tc>
      </w:tr>
      <w:tr>
        <w:tc>
          <w:tcPr>
            <w:tcW w:type="dxa" w:w="2160"/>
            <w:shd w:val="clear" w:color="auto" w:fill="FFFFFF"/>
            <w:tcMar>
              <w:top w:w="80" w:type="dxa"/>
              <w:bottom w:w="80" w:type="dxa"/>
              <w:left w:w="120" w:type="dxa"/>
              <w:right w:w="120" w:type="dxa"/>
            </w:tcMar>
          </w:tcPr>
          <w:p>
            <w:r>
              <w:rPr>
                <w:rFonts w:ascii="Calibri" w:hAnsi="Calibri"/>
                <w:b/>
                <w:color w:val="0F172A"/>
                <w:sz w:val="19"/>
              </w:rPr>
              <w:t>PowerShell</w:t>
            </w:r>
          </w:p>
        </w:tc>
        <w:tc>
          <w:tcPr>
            <w:tcW w:type="dxa" w:w="4608"/>
            <w:shd w:val="clear" w:color="auto" w:fill="FFFFFF"/>
            <w:tcMar>
              <w:top w:w="80" w:type="dxa"/>
              <w:bottom w:w="80" w:type="dxa"/>
              <w:left w:w="120" w:type="dxa"/>
              <w:right w:w="120" w:type="dxa"/>
            </w:tcMar>
          </w:tcPr>
          <w:p>
            <w:r>
              <w:rPr>
                <w:rFonts w:ascii="Calibri" w:hAnsi="Calibri"/>
                <w:color w:val="334155"/>
                <w:sz w:val="19"/>
              </w:rPr>
              <w:t>Automated deployment, environment bootstrapping, model weight verification, test automation</w:t>
            </w:r>
          </w:p>
        </w:tc>
        <w:tc>
          <w:tcPr>
            <w:tcW w:type="dxa" w:w="2880"/>
            <w:shd w:val="clear" w:color="auto" w:fill="FFFFFF"/>
            <w:tcMar>
              <w:top w:w="80" w:type="dxa"/>
              <w:bottom w:w="80" w:type="dxa"/>
              <w:left w:w="120" w:type="dxa"/>
              <w:right w:w="120" w:type="dxa"/>
            </w:tcMar>
          </w:tcPr>
          <w:p>
            <w:r>
              <w:rPr>
                <w:rFonts w:ascii="Calibri" w:hAnsi="Calibri"/>
                <w:color w:val="334155"/>
                <w:sz w:val="19"/>
              </w:rPr>
              <w:t>start_project.ps1, test runners</w:t>
            </w:r>
          </w:p>
        </w:tc>
      </w:tr>
    </w:tbl>
    <w:p>
      <w:pPr>
        <w:keepNext/>
        <w:spacing w:before="280" w:after="80"/>
      </w:pPr>
      <w:r>
        <w:rPr>
          <w:rFonts w:ascii="Calibri" w:hAnsi="Calibri"/>
          <w:b/>
          <w:color w:val="1E40AF"/>
          <w:sz w:val="26"/>
        </w:rPr>
        <w:t>3. Technologies &amp; Frameworks Used</w:t>
      </w:r>
    </w:p>
    <w:p>
      <w:pPr>
        <w:pStyle w:val="ListBullet"/>
        <w:spacing w:before="40" w:after="60" w:line="276" w:lineRule="auto"/>
      </w:pPr>
      <w:r>
        <w:rPr>
          <w:rFonts w:ascii="Calibri" w:hAnsi="Calibri"/>
          <w:b/>
          <w:color w:val="0F172A"/>
          <w:sz w:val="21"/>
        </w:rPr>
        <w:t xml:space="preserve">PyTorch &amp; TorchAudio: </w:t>
      </w:r>
      <w:r>
        <w:rPr>
          <w:rFonts w:ascii="Calibri" w:hAnsi="Calibri"/>
          <w:color w:val="334155"/>
          <w:sz w:val="21"/>
        </w:rPr>
        <w:t>Core deep learning runtime powering model inference, tensor operations, and GPU acceleration on NVIDIA CUDA.</w:t>
      </w:r>
    </w:p>
    <w:p>
      <w:pPr>
        <w:pStyle w:val="ListBullet"/>
        <w:spacing w:before="40" w:after="60" w:line="276" w:lineRule="auto"/>
      </w:pPr>
      <w:r>
        <w:rPr>
          <w:rFonts w:ascii="Calibri" w:hAnsi="Calibri"/>
          <w:b/>
          <w:color w:val="0F172A"/>
          <w:sz w:val="21"/>
        </w:rPr>
        <w:t xml:space="preserve">SpeechBrain (ECAPA-TDNN): </w:t>
      </w:r>
      <w:r>
        <w:rPr>
          <w:rFonts w:ascii="Calibri" w:hAnsi="Calibri"/>
          <w:color w:val="334155"/>
          <w:sz w:val="21"/>
        </w:rPr>
        <w:t>State-of-the-art speaker recognition architecture using Squeeze-and-Excitation (SE) channel attention and Attentive Statistical Pooling to extract 192-dimensional identity voiceprints.</w:t>
      </w:r>
    </w:p>
    <w:p>
      <w:pPr>
        <w:pStyle w:val="ListBullet"/>
        <w:spacing w:before="40" w:after="60" w:line="276" w:lineRule="auto"/>
      </w:pPr>
      <w:r>
        <w:rPr>
          <w:rFonts w:ascii="Calibri" w:hAnsi="Calibri"/>
          <w:b/>
          <w:color w:val="0F172A"/>
          <w:sz w:val="21"/>
        </w:rPr>
        <w:t xml:space="preserve">AASIST (Graph Neural Network): </w:t>
      </w:r>
      <w:r>
        <w:rPr>
          <w:rFonts w:ascii="Calibri" w:hAnsi="Calibri"/>
          <w:color w:val="334155"/>
          <w:sz w:val="21"/>
        </w:rPr>
        <w:t>Raw-waveform spectro-temporal graph attention network analyzing high-frequency synthesis artifacts directly from 16 kHz audio without lossy spectrogram transforms.</w:t>
      </w:r>
    </w:p>
    <w:p>
      <w:pPr>
        <w:pStyle w:val="ListBullet"/>
        <w:spacing w:before="40" w:after="60" w:line="276" w:lineRule="auto"/>
      </w:pPr>
      <w:r>
        <w:rPr>
          <w:rFonts w:ascii="Calibri" w:hAnsi="Calibri"/>
          <w:b/>
          <w:color w:val="0F172A"/>
          <w:sz w:val="21"/>
        </w:rPr>
        <w:t xml:space="preserve">OpenAI Whisper (small.en): </w:t>
      </w:r>
      <w:r>
        <w:rPr>
          <w:rFonts w:ascii="Calibri" w:hAnsi="Calibri"/>
          <w:color w:val="334155"/>
          <w:sz w:val="21"/>
        </w:rPr>
        <w:t>Automatic speech recognition (ASR) engine verifying that spoken challenge phrases and dynamic security numbers are recited correctly in real time.</w:t>
      </w:r>
    </w:p>
    <w:p>
      <w:pPr>
        <w:pStyle w:val="ListBullet"/>
        <w:spacing w:before="40" w:after="60" w:line="276" w:lineRule="auto"/>
      </w:pPr>
      <w:r>
        <w:rPr>
          <w:rFonts w:ascii="Calibri" w:hAnsi="Calibri"/>
          <w:b/>
          <w:color w:val="0F172A"/>
          <w:sz w:val="21"/>
        </w:rPr>
        <w:t xml:space="preserve">FastAPI &amp; Uvicorn: </w:t>
      </w:r>
      <w:r>
        <w:rPr>
          <w:rFonts w:ascii="Calibri" w:hAnsi="Calibri"/>
          <w:color w:val="334155"/>
          <w:sz w:val="21"/>
        </w:rPr>
        <w:t>High-performance asynchronous REST backend providing authenticated API endpoints for live enrollment, real-time verification, and system telemetry.</w:t>
      </w:r>
    </w:p>
    <w:p>
      <w:pPr>
        <w:pStyle w:val="ListBullet"/>
        <w:spacing w:before="40" w:after="60" w:line="276" w:lineRule="auto"/>
      </w:pPr>
      <w:r>
        <w:rPr>
          <w:rFonts w:ascii="Calibri" w:hAnsi="Calibri"/>
          <w:b/>
          <w:color w:val="0F172A"/>
          <w:sz w:val="21"/>
        </w:rPr>
        <w:t xml:space="preserve">Web Audio API &amp; MediaRecorder: </w:t>
      </w:r>
      <w:r>
        <w:rPr>
          <w:rFonts w:ascii="Calibri" w:hAnsi="Calibri"/>
          <w:color w:val="334155"/>
          <w:sz w:val="21"/>
        </w:rPr>
        <w:t>In-browser native audio capture capturing 16 kHz, 16-bit PCM single-channel WAV recordings without requiring external recording tools.</w:t>
      </w:r>
    </w:p>
    <w:p>
      <w:pPr>
        <w:keepNext/>
        <w:spacing w:before="280" w:after="80"/>
      </w:pPr>
      <w:r>
        <w:rPr>
          <w:rFonts w:ascii="Calibri" w:hAnsi="Calibri"/>
          <w:b/>
          <w:color w:val="1E40AF"/>
          <w:sz w:val="26"/>
        </w:rPr>
        <w:t>4. Datasets Used</w:t>
      </w:r>
    </w:p>
    <w:tbl>
      <w:tblPr>
        <w:tblW w:type="auto" w:w="0"/>
        <w:jc w:val="center"/>
        <w:tblLayout w:type="fixed"/>
        <w:tblLook w:firstColumn="1" w:firstRow="1" w:lastColumn="0" w:lastRow="0" w:noHBand="0" w:noVBand="1" w:val="04A0"/>
      </w:tblPr>
      <w:tblGrid>
        <w:gridCol w:w="3216"/>
        <w:gridCol w:w="3216"/>
        <w:gridCol w:w="3216"/>
      </w:tblGrid>
      <w:tr>
        <w:tc>
          <w:tcPr>
            <w:tcW w:type="dxa" w:w="2592"/>
            <w:shd w:val="clear" w:color="auto" w:fill="1E40AF"/>
            <w:tcMar>
              <w:top w:w="100" w:type="dxa"/>
              <w:bottom w:w="100" w:type="dxa"/>
              <w:left w:w="120" w:type="dxa"/>
              <w:right w:w="120" w:type="dxa"/>
            </w:tcMar>
          </w:tcPr>
          <w:p>
            <w:r>
              <w:rPr>
                <w:rFonts w:ascii="Calibri" w:hAnsi="Calibri"/>
                <w:b/>
                <w:color w:val="FFFFFF"/>
                <w:sz w:val="20"/>
              </w:rPr>
              <w:t>Dataset</w:t>
            </w:r>
          </w:p>
        </w:tc>
        <w:tc>
          <w:tcPr>
            <w:tcW w:type="dxa" w:w="3168"/>
            <w:shd w:val="clear" w:color="auto" w:fill="1E40AF"/>
            <w:tcMar>
              <w:top w:w="100" w:type="dxa"/>
              <w:bottom w:w="100" w:type="dxa"/>
              <w:left w:w="120" w:type="dxa"/>
              <w:right w:w="120" w:type="dxa"/>
            </w:tcMar>
          </w:tcPr>
          <w:p>
            <w:r>
              <w:rPr>
                <w:rFonts w:ascii="Calibri" w:hAnsi="Calibri"/>
                <w:b/>
                <w:color w:val="FFFFFF"/>
                <w:sz w:val="20"/>
              </w:rPr>
              <w:t>Size / Scope</w:t>
            </w:r>
          </w:p>
        </w:tc>
        <w:tc>
          <w:tcPr>
            <w:tcW w:type="dxa" w:w="3888"/>
            <w:shd w:val="clear" w:color="auto" w:fill="1E40AF"/>
            <w:tcMar>
              <w:top w:w="100" w:type="dxa"/>
              <w:bottom w:w="100" w:type="dxa"/>
              <w:left w:w="120" w:type="dxa"/>
              <w:right w:w="120" w:type="dxa"/>
            </w:tcMar>
          </w:tcPr>
          <w:p>
            <w:r>
              <w:rPr>
                <w:rFonts w:ascii="Calibri" w:hAnsi="Calibri"/>
                <w:b/>
                <w:color w:val="FFFFFF"/>
                <w:sz w:val="20"/>
              </w:rPr>
              <w:t>Purpose in Project</w:t>
            </w:r>
          </w:p>
        </w:tc>
      </w:tr>
      <w:tr>
        <w:tc>
          <w:tcPr>
            <w:tcW w:type="dxa" w:w="2592"/>
            <w:shd w:val="clear" w:color="auto" w:fill="F8FAFC"/>
            <w:tcMar>
              <w:top w:w="80" w:type="dxa"/>
              <w:bottom w:w="80" w:type="dxa"/>
              <w:left w:w="120" w:type="dxa"/>
              <w:right w:w="120" w:type="dxa"/>
            </w:tcMar>
          </w:tcPr>
          <w:p>
            <w:r>
              <w:rPr>
                <w:rFonts w:ascii="Calibri" w:hAnsi="Calibri"/>
                <w:b/>
                <w:color w:val="0F172A"/>
                <w:sz w:val="19"/>
              </w:rPr>
              <w:t>VoxCeleb 1 &amp; 2</w:t>
            </w:r>
          </w:p>
        </w:tc>
        <w:tc>
          <w:tcPr>
            <w:tcW w:type="dxa" w:w="3168"/>
            <w:shd w:val="clear" w:color="auto" w:fill="F8FAFC"/>
            <w:tcMar>
              <w:top w:w="80" w:type="dxa"/>
              <w:bottom w:w="80" w:type="dxa"/>
              <w:left w:w="120" w:type="dxa"/>
              <w:right w:w="120" w:type="dxa"/>
            </w:tcMar>
          </w:tcPr>
          <w:p>
            <w:r>
              <w:rPr>
                <w:rFonts w:ascii="Calibri" w:hAnsi="Calibri"/>
                <w:color w:val="334155"/>
                <w:sz w:val="19"/>
              </w:rPr>
              <w:t>1.2 Million+ utterances from 7,000+ real speakers</w:t>
            </w:r>
          </w:p>
        </w:tc>
        <w:tc>
          <w:tcPr>
            <w:tcW w:type="dxa" w:w="3888"/>
            <w:shd w:val="clear" w:color="auto" w:fill="F8FAFC"/>
            <w:tcMar>
              <w:top w:w="80" w:type="dxa"/>
              <w:bottom w:w="80" w:type="dxa"/>
              <w:left w:w="120" w:type="dxa"/>
              <w:right w:w="120" w:type="dxa"/>
            </w:tcMar>
          </w:tcPr>
          <w:p>
            <w:r>
              <w:rPr>
                <w:rFonts w:ascii="Calibri" w:hAnsi="Calibri"/>
                <w:color w:val="334155"/>
                <w:sz w:val="19"/>
              </w:rPr>
              <w:t>Pretraining the ECAPA-TDNN speaker embedding model for acoustic identity extraction across diverse real-world conditions.</w:t>
            </w:r>
          </w:p>
        </w:tc>
      </w:tr>
      <w:tr>
        <w:tc>
          <w:tcPr>
            <w:tcW w:type="dxa" w:w="2592"/>
            <w:shd w:val="clear" w:color="auto" w:fill="FFFFFF"/>
            <w:tcMar>
              <w:top w:w="80" w:type="dxa"/>
              <w:bottom w:w="80" w:type="dxa"/>
              <w:left w:w="120" w:type="dxa"/>
              <w:right w:w="120" w:type="dxa"/>
            </w:tcMar>
          </w:tcPr>
          <w:p>
            <w:r>
              <w:rPr>
                <w:rFonts w:ascii="Calibri" w:hAnsi="Calibri"/>
                <w:b/>
                <w:color w:val="0F172A"/>
                <w:sz w:val="19"/>
              </w:rPr>
              <w:t>ASVspoof 2019 LA</w:t>
            </w:r>
          </w:p>
        </w:tc>
        <w:tc>
          <w:tcPr>
            <w:tcW w:type="dxa" w:w="3168"/>
            <w:shd w:val="clear" w:color="auto" w:fill="FFFFFF"/>
            <w:tcMar>
              <w:top w:w="80" w:type="dxa"/>
              <w:bottom w:w="80" w:type="dxa"/>
              <w:left w:w="120" w:type="dxa"/>
              <w:right w:w="120" w:type="dxa"/>
            </w:tcMar>
          </w:tcPr>
          <w:p>
            <w:r>
              <w:rPr>
                <w:rFonts w:ascii="Calibri" w:hAnsi="Calibri"/>
                <w:color w:val="334155"/>
                <w:sz w:val="19"/>
              </w:rPr>
              <w:t>121,461 evaluation trials (19 speech synthesis &amp; voice conversion attack algorithms A01–A19)</w:t>
            </w:r>
          </w:p>
        </w:tc>
        <w:tc>
          <w:tcPr>
            <w:tcW w:type="dxa" w:w="3888"/>
            <w:shd w:val="clear" w:color="auto" w:fill="FFFFFF"/>
            <w:tcMar>
              <w:top w:w="80" w:type="dxa"/>
              <w:bottom w:w="80" w:type="dxa"/>
              <w:left w:w="120" w:type="dxa"/>
              <w:right w:w="120" w:type="dxa"/>
            </w:tcMar>
          </w:tcPr>
          <w:p>
            <w:r>
              <w:rPr>
                <w:rFonts w:ascii="Calibri" w:hAnsi="Calibri"/>
                <w:color w:val="334155"/>
                <w:sz w:val="19"/>
              </w:rPr>
              <w:t>Training and benchmark calibration of the AASIST anti-spoofing countermeasure model to detect synthetic speech and replays.</w:t>
            </w:r>
          </w:p>
        </w:tc>
      </w:tr>
      <w:tr>
        <w:tc>
          <w:tcPr>
            <w:tcW w:type="dxa" w:w="2592"/>
            <w:shd w:val="clear" w:color="auto" w:fill="F8FAFC"/>
            <w:tcMar>
              <w:top w:w="80" w:type="dxa"/>
              <w:bottom w:w="80" w:type="dxa"/>
              <w:left w:w="120" w:type="dxa"/>
              <w:right w:w="120" w:type="dxa"/>
            </w:tcMar>
          </w:tcPr>
          <w:p>
            <w:r>
              <w:rPr>
                <w:rFonts w:ascii="Calibri" w:hAnsi="Calibri"/>
                <w:b/>
                <w:color w:val="0F172A"/>
                <w:sz w:val="19"/>
              </w:rPr>
              <w:t>SASV 2022 Benchmark</w:t>
            </w:r>
          </w:p>
        </w:tc>
        <w:tc>
          <w:tcPr>
            <w:tcW w:type="dxa" w:w="3168"/>
            <w:shd w:val="clear" w:color="auto" w:fill="F8FAFC"/>
            <w:tcMar>
              <w:top w:w="80" w:type="dxa"/>
              <w:bottom w:w="80" w:type="dxa"/>
              <w:left w:w="120" w:type="dxa"/>
              <w:right w:w="120" w:type="dxa"/>
            </w:tcMar>
          </w:tcPr>
          <w:p>
            <w:r>
              <w:rPr>
                <w:rFonts w:ascii="Calibri" w:hAnsi="Calibri"/>
                <w:color w:val="334155"/>
                <w:sz w:val="19"/>
              </w:rPr>
              <w:t>102,579 official evaluation trials crossing VoxCeleb speakers with spoof attacks</w:t>
            </w:r>
          </w:p>
        </w:tc>
        <w:tc>
          <w:tcPr>
            <w:tcW w:type="dxa" w:w="3888"/>
            <w:shd w:val="clear" w:color="auto" w:fill="F8FAFC"/>
            <w:tcMar>
              <w:top w:w="80" w:type="dxa"/>
              <w:bottom w:w="80" w:type="dxa"/>
              <w:left w:w="120" w:type="dxa"/>
              <w:right w:w="120" w:type="dxa"/>
            </w:tcMar>
          </w:tcPr>
          <w:p>
            <w:r>
              <w:rPr>
                <w:rFonts w:ascii="Calibri" w:hAnsi="Calibri"/>
                <w:color w:val="334155"/>
                <w:sz w:val="19"/>
              </w:rPr>
              <w:t>Evaluating integrated SASV fusion models under joint speaker verification and spoofing attack conditions.</w:t>
            </w:r>
          </w:p>
        </w:tc>
      </w:tr>
      <w:tr>
        <w:tc>
          <w:tcPr>
            <w:tcW w:type="dxa" w:w="2592"/>
            <w:shd w:val="clear" w:color="auto" w:fill="FFFFFF"/>
            <w:tcMar>
              <w:top w:w="80" w:type="dxa"/>
              <w:bottom w:w="80" w:type="dxa"/>
              <w:left w:w="120" w:type="dxa"/>
              <w:right w:w="120" w:type="dxa"/>
            </w:tcMar>
          </w:tcPr>
          <w:p>
            <w:r>
              <w:rPr>
                <w:rFonts w:ascii="Calibri" w:hAnsi="Calibri"/>
                <w:b/>
                <w:color w:val="0F172A"/>
                <w:sz w:val="19"/>
              </w:rPr>
              <w:t>Local Live Audio Dataset</w:t>
            </w:r>
          </w:p>
        </w:tc>
        <w:tc>
          <w:tcPr>
            <w:tcW w:type="dxa" w:w="3168"/>
            <w:shd w:val="clear" w:color="auto" w:fill="FFFFFF"/>
            <w:tcMar>
              <w:top w:w="80" w:type="dxa"/>
              <w:bottom w:w="80" w:type="dxa"/>
              <w:left w:w="120" w:type="dxa"/>
              <w:right w:w="120" w:type="dxa"/>
            </w:tcMar>
          </w:tcPr>
          <w:p>
            <w:r>
              <w:rPr>
                <w:rFonts w:ascii="Calibri" w:hAnsi="Calibri"/>
                <w:color w:val="334155"/>
                <w:sz w:val="19"/>
              </w:rPr>
              <w:t>Real-time user voice recordings collected via interactive browser enrollment wizard</w:t>
            </w:r>
          </w:p>
        </w:tc>
        <w:tc>
          <w:tcPr>
            <w:tcW w:type="dxa" w:w="3888"/>
            <w:shd w:val="clear" w:color="auto" w:fill="FFFFFF"/>
            <w:tcMar>
              <w:top w:w="80" w:type="dxa"/>
              <w:bottom w:w="80" w:type="dxa"/>
              <w:left w:w="120" w:type="dxa"/>
              <w:right w:w="120" w:type="dxa"/>
            </w:tcMar>
          </w:tcPr>
          <w:p>
            <w:r>
              <w:rPr>
                <w:rFonts w:ascii="Calibri" w:hAnsi="Calibri"/>
                <w:color w:val="334155"/>
                <w:sz w:val="19"/>
              </w:rPr>
              <w:t>Live enrollment templates, dynamic challenge verification, and real-time validation.</w:t>
            </w:r>
          </w:p>
        </w:tc>
      </w:tr>
    </w:tbl>
    <w:p>
      <w:pPr>
        <w:keepNext/>
        <w:spacing w:before="280" w:after="80"/>
      </w:pPr>
      <w:r>
        <w:rPr>
          <w:rFonts w:ascii="Calibri" w:hAnsi="Calibri"/>
          <w:b/>
          <w:color w:val="1E40AF"/>
          <w:sz w:val="26"/>
        </w:rPr>
        <w:t>5. Methodology Used</w:t>
      </w:r>
    </w:p>
    <w:p>
      <w:pPr>
        <w:spacing w:before="40" w:after="80" w:line="276" w:lineRule="auto"/>
      </w:pPr>
      <w:r>
        <w:rPr>
          <w:rFonts w:ascii="Calibri" w:hAnsi="Calibri"/>
          <w:i w:val="0"/>
          <w:color w:val="334155"/>
          <w:sz w:val="21"/>
        </w:rPr>
        <w:t>The project follows a 5-stage sequential and parallel pipeline combining signal processing, deep neural networks, and multi-gate decision logic:</w:t>
      </w:r>
    </w:p>
    <w:p>
      <w:pPr>
        <w:pStyle w:val="ListBullet"/>
        <w:spacing w:before="40" w:after="60" w:line="276" w:lineRule="auto"/>
      </w:pPr>
      <w:r>
        <w:rPr>
          <w:rFonts w:ascii="Calibri" w:hAnsi="Calibri"/>
          <w:b/>
          <w:color w:val="0F172A"/>
          <w:sz w:val="21"/>
        </w:rPr>
        <w:t xml:space="preserve">Stage 1 - Voice Input &amp; Challenge Prompt: </w:t>
      </w:r>
      <w:r>
        <w:rPr>
          <w:rFonts w:ascii="Calibri" w:hAnsi="Calibri"/>
          <w:color w:val="334155"/>
          <w:sz w:val="21"/>
        </w:rPr>
        <w:t>The user requests an authentication session and receives a randomized, time-limited challenge phrase (e.g., 'Verify authorization code 48'). The user recites the phrase, captured as 16 kHz 16-bit PCM WAV.</w:t>
      </w:r>
    </w:p>
    <w:p>
      <w:pPr>
        <w:pStyle w:val="ListBullet"/>
        <w:spacing w:before="40" w:after="60" w:line="276" w:lineRule="auto"/>
      </w:pPr>
      <w:r>
        <w:rPr>
          <w:rFonts w:ascii="Calibri" w:hAnsi="Calibri"/>
          <w:b/>
          <w:color w:val="0F172A"/>
          <w:sz w:val="21"/>
        </w:rPr>
        <w:t xml:space="preserve">Stage 2 - Audio Preprocessing &amp; Quality Assurance: </w:t>
      </w:r>
      <w:r>
        <w:rPr>
          <w:rFonts w:ascii="Calibri" w:hAnsi="Calibri"/>
          <w:color w:val="334155"/>
          <w:sz w:val="21"/>
        </w:rPr>
        <w:t>The incoming signal passes through Voice Activity Detection (VAD) to trim silence, normalize volume energy, and reject corrupted or low-amplitude inputs.</w:t>
      </w:r>
    </w:p>
    <w:p>
      <w:pPr>
        <w:pStyle w:val="ListBullet"/>
        <w:spacing w:before="40" w:after="60" w:line="276" w:lineRule="auto"/>
      </w:pPr>
      <w:r>
        <w:rPr>
          <w:rFonts w:ascii="Calibri" w:hAnsi="Calibri"/>
          <w:b/>
          <w:color w:val="0F172A"/>
          <w:sz w:val="21"/>
        </w:rPr>
        <w:t xml:space="preserve">Stage 3 - Tri-Layer Neural Verification (Parallel Execution): </w:t>
      </w:r>
      <w:r>
        <w:rPr>
          <w:rFonts w:ascii="Calibri" w:hAnsi="Calibri"/>
          <w:color w:val="334155"/>
          <w:sz w:val="21"/>
        </w:rPr>
      </w:r>
    </w:p>
    <w:p>
      <w:pPr>
        <w:spacing w:before="20" w:after="40"/>
        <w:ind w:left="432"/>
      </w:pPr>
      <w:r>
        <w:rPr>
          <w:rFonts w:ascii="Calibri" w:hAnsi="Calibri"/>
          <w:b/>
          <w:color w:val="0F172A"/>
          <w:sz w:val="20"/>
        </w:rPr>
        <w:t xml:space="preserve">   a) Speaker Verification (ASV): </w:t>
      </w:r>
      <w:r>
        <w:rPr>
          <w:rFonts w:ascii="Calibri" w:hAnsi="Calibri"/>
          <w:color w:val="334155"/>
          <w:sz w:val="20"/>
        </w:rPr>
        <w:t>ECAPA-TDNN computes a 192-dimensional vector embedding of the voice and evaluates cosine similarity against the user's enrolled template (yielding score S_asv).</w:t>
      </w:r>
    </w:p>
    <w:p>
      <w:pPr>
        <w:spacing w:before="20" w:after="40"/>
        <w:ind w:left="432"/>
      </w:pPr>
      <w:r>
        <w:rPr>
          <w:rFonts w:ascii="Calibri" w:hAnsi="Calibri"/>
          <w:b/>
          <w:color w:val="0F172A"/>
          <w:sz w:val="20"/>
        </w:rPr>
        <w:t xml:space="preserve">   b) Anti-Spoofing Countermeasure (CM): </w:t>
      </w:r>
      <w:r>
        <w:rPr>
          <w:rFonts w:ascii="Calibri" w:hAnsi="Calibri"/>
          <w:color w:val="334155"/>
          <w:sz w:val="20"/>
        </w:rPr>
        <w:t>AASIST processes the raw waveform through Graph Attention Networks to detect synthetic vocoder artifacts, deepfakes, or loudspeaker replay (yielding score S_cm).</w:t>
      </w:r>
    </w:p>
    <w:p>
      <w:pPr>
        <w:spacing w:before="20" w:after="40"/>
        <w:ind w:left="432"/>
      </w:pPr>
      <w:r>
        <w:rPr>
          <w:rFonts w:ascii="Calibri" w:hAnsi="Calibri"/>
          <w:b/>
          <w:color w:val="0F172A"/>
          <w:sz w:val="20"/>
        </w:rPr>
        <w:t xml:space="preserve">   c) Spoken Challenge Liveness (ASR): </w:t>
      </w:r>
      <w:r>
        <w:rPr>
          <w:rFonts w:ascii="Calibri" w:hAnsi="Calibri"/>
          <w:color w:val="334155"/>
          <w:sz w:val="20"/>
        </w:rPr>
        <w:t>OpenAI Whisper transcribes the spoken phrase to ensure the user actively recited the live phrase in real time, preventing pre-recorded audio replays.</w:t>
      </w:r>
    </w:p>
    <w:p>
      <w:pPr>
        <w:pStyle w:val="ListBullet"/>
        <w:spacing w:before="40" w:after="60" w:line="276" w:lineRule="auto"/>
      </w:pPr>
      <w:r>
        <w:rPr>
          <w:rFonts w:ascii="Calibri" w:hAnsi="Calibri"/>
          <w:b/>
          <w:color w:val="0F172A"/>
          <w:sz w:val="21"/>
        </w:rPr>
        <w:t xml:space="preserve">Stage 4 - Decision Fusion &amp; Multi-Gate Enforcement: </w:t>
      </w:r>
      <w:r>
        <w:rPr>
          <w:rFonts w:ascii="Calibri" w:hAnsi="Calibri"/>
          <w:color w:val="334155"/>
          <w:sz w:val="21"/>
        </w:rPr>
        <w:t>The system performs linear score fusion (S_fused = w1·S_asv + w2·S_cm + b) and enforces triple independent safeguard gates: (1) Liveness must match, (2) Anti-spoof score must meet threshold, (3) Speaker similarity must meet threshold.</w:t>
      </w:r>
    </w:p>
    <w:p>
      <w:pPr>
        <w:pStyle w:val="ListBullet"/>
        <w:spacing w:before="40" w:after="60" w:line="276" w:lineRule="auto"/>
      </w:pPr>
      <w:r>
        <w:rPr>
          <w:rFonts w:ascii="Calibri" w:hAnsi="Calibri"/>
          <w:b/>
          <w:color w:val="0F172A"/>
          <w:sz w:val="21"/>
        </w:rPr>
        <w:t xml:space="preserve">Stage 5 - Final Authentication Verdict: </w:t>
      </w:r>
      <w:r>
        <w:rPr>
          <w:rFonts w:ascii="Calibri" w:hAnsi="Calibri"/>
          <w:color w:val="334155"/>
          <w:sz w:val="21"/>
        </w:rPr>
        <w:t>Access is granted only when all three security checks succeed simultaneously. If any check fails, access is denied with a specific diagnostic code (e.g., SUSPECTED_SPOOF, IMPOSTOR_HUMAN, or CHALLENGE_MISMATCH).</w:t>
      </w:r>
    </w:p>
    <w:p>
      <w:pPr>
        <w:spacing w:before="200" w:after="80"/>
        <w:jc w:val="center"/>
      </w:pPr>
      <w:r>
        <w:drawing>
          <wp:inline xmlns:a="http://schemas.openxmlformats.org/drawingml/2006/main" xmlns:pic="http://schemas.openxmlformats.org/drawingml/2006/picture">
            <wp:extent cx="5669280" cy="3173371"/>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3173371"/>
                    </a:xfrm>
                    <a:prstGeom prst="rect"/>
                  </pic:spPr>
                </pic:pic>
              </a:graphicData>
            </a:graphic>
          </wp:inline>
        </w:drawing>
      </w:r>
    </w:p>
    <w:p>
      <w:pPr>
        <w:spacing w:before="40" w:after="200"/>
        <w:jc w:val="center"/>
      </w:pPr>
      <w:r>
        <w:rPr>
          <w:rFonts w:ascii="Calibri" w:hAnsi="Calibri"/>
          <w:i/>
          <w:color w:val="64748B"/>
          <w:sz w:val="18"/>
        </w:rPr>
        <w:t>Figure 1: High-Level System Architecture and Block-Wise Verification Pipeline</w:t>
      </w:r>
    </w:p>
    <w:p>
      <w:pPr>
        <w:keepNext/>
        <w:spacing w:before="280" w:after="80"/>
      </w:pPr>
      <w:r>
        <w:rPr>
          <w:rFonts w:ascii="Calibri" w:hAnsi="Calibri"/>
          <w:b/>
          <w:color w:val="1E40AF"/>
          <w:sz w:val="26"/>
        </w:rPr>
        <w:t>6. Key System Specifications</w:t>
      </w:r>
    </w:p>
    <w:tbl>
      <w:tblPr>
        <w:tblW w:type="auto" w:w="0"/>
        <w:jc w:val="center"/>
        <w:tblLayout w:type="fixed"/>
        <w:tblLook w:firstColumn="1" w:firstRow="1" w:lastColumn="0" w:lastRow="0" w:noHBand="0" w:noVBand="1" w:val="04A0"/>
      </w:tblPr>
      <w:tblGrid>
        <w:gridCol w:w="4824"/>
        <w:gridCol w:w="4824"/>
      </w:tblGrid>
      <w:tr>
        <w:tc>
          <w:tcPr>
            <w:tcW w:type="dxa" w:w="4032"/>
            <w:shd w:val="clear" w:color="auto" w:fill="1E40AF"/>
            <w:tcMar>
              <w:top w:w="80" w:type="dxa"/>
              <w:bottom w:w="80" w:type="dxa"/>
              <w:left w:w="120" w:type="dxa"/>
              <w:right w:w="120" w:type="dxa"/>
            </w:tcMar>
          </w:tcPr>
          <w:p>
            <w:r>
              <w:rPr>
                <w:rFonts w:ascii="Calibri" w:hAnsi="Calibri"/>
                <w:b/>
                <w:color w:val="FFFFFF"/>
                <w:sz w:val="20"/>
              </w:rPr>
              <w:t>Metric / Parameter</w:t>
            </w:r>
          </w:p>
        </w:tc>
        <w:tc>
          <w:tcPr>
            <w:tcW w:type="dxa" w:w="5616"/>
            <w:shd w:val="clear" w:color="auto" w:fill="1E40AF"/>
            <w:tcMar>
              <w:top w:w="80" w:type="dxa"/>
              <w:bottom w:w="80" w:type="dxa"/>
              <w:left w:w="120" w:type="dxa"/>
              <w:right w:w="120" w:type="dxa"/>
            </w:tcMar>
          </w:tcPr>
          <w:p>
            <w:r>
              <w:rPr>
                <w:rFonts w:ascii="Calibri" w:hAnsi="Calibri"/>
                <w:b/>
                <w:color w:val="FFFFFF"/>
                <w:sz w:val="20"/>
              </w:rPr>
              <w:t>Value / Standard</w:t>
            </w:r>
          </w:p>
        </w:tc>
      </w:tr>
      <w:tr>
        <w:tc>
          <w:tcPr>
            <w:tcW w:type="dxa" w:w="4032"/>
            <w:shd w:val="clear" w:color="auto" w:fill="F8FAFC"/>
            <w:tcMar>
              <w:top w:w="70" w:type="dxa"/>
              <w:bottom w:w="70" w:type="dxa"/>
              <w:left w:w="120" w:type="dxa"/>
              <w:right w:w="120" w:type="dxa"/>
            </w:tcMar>
          </w:tcPr>
          <w:p>
            <w:r>
              <w:rPr>
                <w:rFonts w:ascii="Calibri" w:hAnsi="Calibri"/>
                <w:b/>
                <w:color w:val="0F172A"/>
                <w:sz w:val="19"/>
              </w:rPr>
              <w:t>Audio Input Format</w:t>
            </w:r>
          </w:p>
        </w:tc>
        <w:tc>
          <w:tcPr>
            <w:tcW w:type="dxa" w:w="5616"/>
            <w:shd w:val="clear" w:color="auto" w:fill="F8FAFC"/>
            <w:tcMar>
              <w:top w:w="70" w:type="dxa"/>
              <w:bottom w:w="70" w:type="dxa"/>
              <w:left w:w="120" w:type="dxa"/>
              <w:right w:w="120" w:type="dxa"/>
            </w:tcMar>
          </w:tcPr>
          <w:p>
            <w:r>
              <w:rPr>
                <w:rFonts w:ascii="Calibri" w:hAnsi="Calibri"/>
                <w:color w:val="334155"/>
                <w:sz w:val="19"/>
              </w:rPr>
              <w:t>16,000 Hz, 16-bit Mono PCM WAV</w:t>
            </w:r>
          </w:p>
        </w:tc>
      </w:tr>
      <w:tr>
        <w:tc>
          <w:tcPr>
            <w:tcW w:type="dxa" w:w="4032"/>
            <w:shd w:val="clear" w:color="auto" w:fill="FFFFFF"/>
            <w:tcMar>
              <w:top w:w="70" w:type="dxa"/>
              <w:bottom w:w="70" w:type="dxa"/>
              <w:left w:w="120" w:type="dxa"/>
              <w:right w:w="120" w:type="dxa"/>
            </w:tcMar>
          </w:tcPr>
          <w:p>
            <w:r>
              <w:rPr>
                <w:rFonts w:ascii="Calibri" w:hAnsi="Calibri"/>
                <w:b/>
                <w:color w:val="0F172A"/>
                <w:sz w:val="19"/>
              </w:rPr>
              <w:t>Live Challenge Window</w:t>
            </w:r>
          </w:p>
        </w:tc>
        <w:tc>
          <w:tcPr>
            <w:tcW w:type="dxa" w:w="5616"/>
            <w:shd w:val="clear" w:color="auto" w:fill="FFFFFF"/>
            <w:tcMar>
              <w:top w:w="70" w:type="dxa"/>
              <w:bottom w:w="70" w:type="dxa"/>
              <w:left w:w="120" w:type="dxa"/>
              <w:right w:w="120" w:type="dxa"/>
            </w:tcMar>
          </w:tcPr>
          <w:p>
            <w:r>
              <w:rPr>
                <w:rFonts w:ascii="Calibri" w:hAnsi="Calibri"/>
                <w:color w:val="334155"/>
                <w:sz w:val="19"/>
              </w:rPr>
              <w:t>20-second dynamic TTL single-use phrase</w:t>
            </w:r>
          </w:p>
        </w:tc>
      </w:tr>
      <w:tr>
        <w:tc>
          <w:tcPr>
            <w:tcW w:type="dxa" w:w="4032"/>
            <w:shd w:val="clear" w:color="auto" w:fill="F8FAFC"/>
            <w:tcMar>
              <w:top w:w="70" w:type="dxa"/>
              <w:bottom w:w="70" w:type="dxa"/>
              <w:left w:w="120" w:type="dxa"/>
              <w:right w:w="120" w:type="dxa"/>
            </w:tcMar>
          </w:tcPr>
          <w:p>
            <w:r>
              <w:rPr>
                <w:rFonts w:ascii="Calibri" w:hAnsi="Calibri"/>
                <w:b/>
                <w:color w:val="0F172A"/>
                <w:sz w:val="19"/>
              </w:rPr>
              <w:t>Speaker Verification Model</w:t>
            </w:r>
          </w:p>
        </w:tc>
        <w:tc>
          <w:tcPr>
            <w:tcW w:type="dxa" w:w="5616"/>
            <w:shd w:val="clear" w:color="auto" w:fill="F8FAFC"/>
            <w:tcMar>
              <w:top w:w="70" w:type="dxa"/>
              <w:bottom w:w="70" w:type="dxa"/>
              <w:left w:w="120" w:type="dxa"/>
              <w:right w:w="120" w:type="dxa"/>
            </w:tcMar>
          </w:tcPr>
          <w:p>
            <w:r>
              <w:rPr>
                <w:rFonts w:ascii="Calibri" w:hAnsi="Calibri"/>
                <w:color w:val="334155"/>
                <w:sz w:val="19"/>
              </w:rPr>
              <w:t>ECAPA-TDNN (192-dimensional vector embedding)</w:t>
            </w:r>
          </w:p>
        </w:tc>
      </w:tr>
      <w:tr>
        <w:tc>
          <w:tcPr>
            <w:tcW w:type="dxa" w:w="4032"/>
            <w:shd w:val="clear" w:color="auto" w:fill="FFFFFF"/>
            <w:tcMar>
              <w:top w:w="70" w:type="dxa"/>
              <w:bottom w:w="70" w:type="dxa"/>
              <w:left w:w="120" w:type="dxa"/>
              <w:right w:w="120" w:type="dxa"/>
            </w:tcMar>
          </w:tcPr>
          <w:p>
            <w:r>
              <w:rPr>
                <w:rFonts w:ascii="Calibri" w:hAnsi="Calibri"/>
                <w:b/>
                <w:color w:val="0F172A"/>
                <w:sz w:val="19"/>
              </w:rPr>
              <w:t>Anti-Spoofing Model</w:t>
            </w:r>
          </w:p>
        </w:tc>
        <w:tc>
          <w:tcPr>
            <w:tcW w:type="dxa" w:w="5616"/>
            <w:shd w:val="clear" w:color="auto" w:fill="FFFFFF"/>
            <w:tcMar>
              <w:top w:w="70" w:type="dxa"/>
              <w:bottom w:w="70" w:type="dxa"/>
              <w:left w:w="120" w:type="dxa"/>
              <w:right w:w="120" w:type="dxa"/>
            </w:tcMar>
          </w:tcPr>
          <w:p>
            <w:r>
              <w:rPr>
                <w:rFonts w:ascii="Calibri" w:hAnsi="Calibri"/>
                <w:color w:val="334155"/>
                <w:sz w:val="19"/>
              </w:rPr>
              <w:t>AASIST Raw Waveform Graph Neural Network</w:t>
            </w:r>
          </w:p>
        </w:tc>
      </w:tr>
      <w:tr>
        <w:tc>
          <w:tcPr>
            <w:tcW w:type="dxa" w:w="4032"/>
            <w:shd w:val="clear" w:color="auto" w:fill="F8FAFC"/>
            <w:tcMar>
              <w:top w:w="70" w:type="dxa"/>
              <w:bottom w:w="70" w:type="dxa"/>
              <w:left w:w="120" w:type="dxa"/>
              <w:right w:w="120" w:type="dxa"/>
            </w:tcMar>
          </w:tcPr>
          <w:p>
            <w:r>
              <w:rPr>
                <w:rFonts w:ascii="Calibri" w:hAnsi="Calibri"/>
                <w:b/>
                <w:color w:val="0F172A"/>
                <w:sz w:val="19"/>
              </w:rPr>
              <w:t>Liveness ASR Model</w:t>
            </w:r>
          </w:p>
        </w:tc>
        <w:tc>
          <w:tcPr>
            <w:tcW w:type="dxa" w:w="5616"/>
            <w:shd w:val="clear" w:color="auto" w:fill="F8FAFC"/>
            <w:tcMar>
              <w:top w:w="70" w:type="dxa"/>
              <w:bottom w:w="70" w:type="dxa"/>
              <w:left w:w="120" w:type="dxa"/>
              <w:right w:w="120" w:type="dxa"/>
            </w:tcMar>
          </w:tcPr>
          <w:p>
            <w:r>
              <w:rPr>
                <w:rFonts w:ascii="Calibri" w:hAnsi="Calibri"/>
                <w:color w:val="334155"/>
                <w:sz w:val="19"/>
              </w:rPr>
              <w:t>OpenAI Whisper (small.en)</w:t>
            </w:r>
          </w:p>
        </w:tc>
      </w:tr>
      <w:tr>
        <w:tc>
          <w:tcPr>
            <w:tcW w:type="dxa" w:w="4032"/>
            <w:shd w:val="clear" w:color="auto" w:fill="FFFFFF"/>
            <w:tcMar>
              <w:top w:w="70" w:type="dxa"/>
              <w:bottom w:w="70" w:type="dxa"/>
              <w:left w:w="120" w:type="dxa"/>
              <w:right w:w="120" w:type="dxa"/>
            </w:tcMar>
          </w:tcPr>
          <w:p>
            <w:r>
              <w:rPr>
                <w:rFonts w:ascii="Calibri" w:hAnsi="Calibri"/>
                <w:b/>
                <w:color w:val="0F172A"/>
                <w:sz w:val="19"/>
              </w:rPr>
              <w:t>Verification Latency</w:t>
            </w:r>
          </w:p>
        </w:tc>
        <w:tc>
          <w:tcPr>
            <w:tcW w:type="dxa" w:w="5616"/>
            <w:shd w:val="clear" w:color="auto" w:fill="FFFFFF"/>
            <w:tcMar>
              <w:top w:w="70" w:type="dxa"/>
              <w:bottom w:w="70" w:type="dxa"/>
              <w:left w:w="120" w:type="dxa"/>
              <w:right w:w="120" w:type="dxa"/>
            </w:tcMar>
          </w:tcPr>
          <w:p>
            <w:r>
              <w:rPr>
                <w:rFonts w:ascii="Calibri" w:hAnsi="Calibri"/>
                <w:color w:val="334155"/>
                <w:sz w:val="19"/>
              </w:rPr>
              <w:t>&lt; 950 ms on GPU (Real-time verification)</w:t>
            </w:r>
          </w:p>
        </w:tc>
      </w:tr>
      <w:tr>
        <w:tc>
          <w:tcPr>
            <w:tcW w:type="dxa" w:w="4032"/>
            <w:shd w:val="clear" w:color="auto" w:fill="F8FAFC"/>
            <w:tcMar>
              <w:top w:w="70" w:type="dxa"/>
              <w:bottom w:w="70" w:type="dxa"/>
              <w:left w:w="120" w:type="dxa"/>
              <w:right w:w="120" w:type="dxa"/>
            </w:tcMar>
          </w:tcPr>
          <w:p>
            <w:r>
              <w:rPr>
                <w:rFonts w:ascii="Calibri" w:hAnsi="Calibri"/>
                <w:b/>
                <w:color w:val="0F172A"/>
                <w:sz w:val="19"/>
              </w:rPr>
              <w:t>Decision Strategy</w:t>
            </w:r>
          </w:p>
        </w:tc>
        <w:tc>
          <w:tcPr>
            <w:tcW w:type="dxa" w:w="5616"/>
            <w:shd w:val="clear" w:color="auto" w:fill="F8FAFC"/>
            <w:tcMar>
              <w:top w:w="70" w:type="dxa"/>
              <w:bottom w:w="70" w:type="dxa"/>
              <w:left w:w="120" w:type="dxa"/>
              <w:right w:w="120" w:type="dxa"/>
            </w:tcMar>
          </w:tcPr>
          <w:p>
            <w:r>
              <w:rPr>
                <w:rFonts w:ascii="Calibri" w:hAnsi="Calibri"/>
                <w:color w:val="334155"/>
                <w:sz w:val="19"/>
              </w:rPr>
              <w:t>Triple-Gate Verification + Linear Logistic Regression Fusion</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