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18/5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Nima Ahmadyan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the service funktion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RAD and start on SDD.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 a good understanding from the consultations about how to implement the services, and it seems to work. Just need to do it for Audio as well as Images.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RAD need to be changed a bit, since last. Look at the SDD template and example to get a better understanding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the structure of the RAD, what to include under the different subsections</w:t>
      </w:r>
      <w:r w:rsidDel="00000000" w:rsidR="00000000" w:rsidRPr="00000000">
        <w:rPr>
          <w:rtl w:val="0"/>
        </w:rPr>
        <w:t xml:space="preserve">. Also talk about the different chapters in the SDD to get a better understanding of its structure and what to include.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the service successfully for both the images and sounds.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the SDD and RAD.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the code in the right places, and make class comments in the java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on Wednesday 24/5.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