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1" w:after="0" w:line="254"/>
        <w:ind w:right="4057" w:left="3321" w:firstLine="30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24" w:type="dxa"/>
      </w:tblPr>
      <w:tblGrid>
        <w:gridCol w:w="4981"/>
        <w:gridCol w:w="4983"/>
      </w:tblGrid>
      <w:tr>
        <w:trPr>
          <w:trHeight w:val="290" w:hRule="auto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15.10.2022</w:t>
            </w:r>
          </w:p>
        </w:tc>
      </w:tr>
      <w:tr>
        <w:trPr>
          <w:trHeight w:val="294" w:hRule="auto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112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2022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TMID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FFFFFF" w:val="clear"/>
              </w:rPr>
              <w:t xml:space="preserve">09899</w:t>
            </w:r>
          </w:p>
        </w:tc>
      </w:tr>
      <w:tr>
        <w:trPr>
          <w:trHeight w:val="287" w:hRule="auto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gesture-based tool for sterile browsing of radiology images</w:t>
            </w:r>
          </w:p>
        </w:tc>
      </w:tr>
      <w:tr>
        <w:trPr>
          <w:trHeight w:val="290" w:hRule="auto"/>
          <w:jc w:val="left"/>
        </w:trPr>
        <w:tc>
          <w:tcPr>
            <w:tcW w:w="4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Template:</w:t>
      </w:r>
    </w:p>
    <w:p>
      <w:pPr>
        <w:spacing w:before="185" w:after="0" w:line="240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template.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230" w:type="dxa"/>
      </w:tblPr>
      <w:tblGrid>
        <w:gridCol w:w="960"/>
        <w:gridCol w:w="3894"/>
        <w:gridCol w:w="4799"/>
      </w:tblGrid>
      <w:tr>
        <w:trPr>
          <w:trHeight w:val="436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89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3472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32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62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Problem Statement (Problem to be</w:t>
            </w:r>
            <w:r>
              <w:rPr>
                <w:rFonts w:ascii="Calibri" w:hAnsi="Calibri" w:cs="Calibri" w:eastAsia="Calibri"/>
                <w:color w:val="202020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solved)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1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Pioneering work in this arena heavily applied traditional computer vision techniques for performing image preprocessing, hand detection, and hand tracking and used finitestate machine for gesture classification 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]. Some of them had poor usability and caused fatigue for the users 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]. A classical machine learning approach was taken by Achacon et al. [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]. Their system called REALISM included only a few gesture classes. They first performed hand detection with Haar-like features and cascade classifier then employed Principal Component Analysis and Euclidean Distance matching from the samples of the classes to perform classification.</w:t>
            </w:r>
          </w:p>
        </w:tc>
      </w:tr>
      <w:tr>
        <w:trPr>
          <w:trHeight w:val="279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431" w:left="11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A hand gesture system for MRI manipulation in an EMR image database called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“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Gestix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”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was tested during a brain biopsy surgery. This system is </w:t>
            </w: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2"/>
                <w:shd w:fill="FFFFFF" w:val="clear"/>
              </w:rPr>
              <w:t xml:space="preserve">a real-time hand-tracking recognition technique based on color and motion fusion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.</w:t>
            </w:r>
          </w:p>
        </w:tc>
      </w:tr>
      <w:tr>
        <w:trPr>
          <w:trHeight w:val="3242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32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0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Uniqueness</w:t>
            </w:r>
          </w:p>
        </w:tc>
        <w:tc>
          <w:tcPr>
            <w:tcW w:w="4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This paper presents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“</w:t>
            </w:r>
            <w:r>
              <w:rPr>
                <w:rFonts w:ascii="Arial" w:hAnsi="Arial" w:cs="Arial" w:eastAsia="Arial"/>
                <w:b/>
                <w:color w:val="202124"/>
                <w:spacing w:val="0"/>
                <w:position w:val="0"/>
                <w:sz w:val="22"/>
                <w:shd w:fill="FFFFFF" w:val="clear"/>
              </w:rPr>
              <w:t xml:space="preserve">Gestix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”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a vision-based hand gesture capture and recognition system that interprets in real-time the user's gestures for navigation and manipulation of images in an electronic medical record (EMR) database.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0" w:type="dxa"/>
      </w:tblPr>
      <w:tblGrid>
        <w:gridCol w:w="905"/>
        <w:gridCol w:w="3678"/>
        <w:gridCol w:w="4530"/>
      </w:tblGrid>
      <w:tr>
        <w:trPr>
          <w:trHeight w:val="5198" w:hRule="auto"/>
          <w:jc w:val="left"/>
        </w:trPr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color w:val="202020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/ Customer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Satisfaction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84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First, the data acquisition block constructs 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 image input based on the aforementioned algorithm, which serves as 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 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our framework. This input is passed to the feature learning block of the classifier, which is comprised of a combination of hidden layers of CNN and a series of seven inception modules. Each individual inception module further consists of three convolutional layers with a filter size of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×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×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and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×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and a max pooling layer.The outputs of each filter are concatenated together to form the overall output of the corresponding inception module block.</w:t>
            </w:r>
          </w:p>
        </w:tc>
      </w:tr>
      <w:tr>
        <w:trPr>
          <w:trHeight w:val="5198" w:hRule="auto"/>
          <w:jc w:val="left"/>
        </w:trPr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Business Model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Model)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" w:left="11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 leakage is detectable one. gas is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explosionable one that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why it requires more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careful when handing it. LPG is a highly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combustible substance and quickly forms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explosive air- hydrocarbon mixture when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suspected to atmospheric condition. Liquid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leakages that may from in LPG systems can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combustible and explosive gas mixtures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large volumes forms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unit. gas leakage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detector provides a profit stability to the people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who are having it. Because cost wise it becomes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low price in market even poor peoples can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also using this easy manner.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Inhaling LPG vapor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 high concentration even for a short time can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cause fainting and death. Inhaling in nose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throat, headache and nausea, vomiting,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dizziness and loss of consciousness. LPG vapour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cause fainting and choking in closed 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poorly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ventilated environments.</w:t>
            </w:r>
          </w:p>
        </w:tc>
      </w:tr>
      <w:tr>
        <w:trPr>
          <w:trHeight w:val="3758" w:hRule="auto"/>
          <w:jc w:val="left"/>
        </w:trPr>
        <w:tc>
          <w:tcPr>
            <w:tcW w:w="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32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2" w:firstLine="0"/>
              <w:jc w:val="left"/>
              <w:rPr>
                <w:rFonts w:ascii="Calibri" w:hAnsi="Calibri" w:cs="Calibri" w:eastAsia="Calibri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Calibri" w:hAnsi="Calibri" w:cs="Calibri" w:eastAsia="Calibri"/>
                <w:color w:val="202020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202020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202020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202020"/>
                <w:spacing w:val="0"/>
                <w:position w:val="0"/>
                <w:sz w:val="22"/>
                <w:shd w:fill="auto" w:val="clear"/>
              </w:rPr>
              <w:t xml:space="preserve">Solution</w:t>
            </w:r>
          </w:p>
        </w:tc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-8" w:left="11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hand gesture system for MRI manipulation in an EMR image database called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Gestix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was tested during a brain biopsy surgery. This system is a real-time hand-tracking recognition technique based on color and motion fusion.. Data from two usability tests provide insights and implications regarding human-computer interaction based on nonverbal conversational modalities.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