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C" w:rsidRDefault="00B9425C" w:rsidP="00B9425C">
      <w:pPr>
        <w:jc w:val="both"/>
        <w:rPr>
          <w:b/>
          <w:color w:val="000000"/>
        </w:rPr>
      </w:pPr>
      <w:bookmarkStart w:id="0" w:name="_GoBack"/>
      <w:bookmarkEnd w:id="0"/>
      <w:r w:rsidRPr="00B9425C">
        <w:rPr>
          <w:b/>
          <w:color w:val="000000"/>
        </w:rPr>
        <w:cr/>
      </w:r>
    </w:p>
    <w:p w:rsidR="00B9425C" w:rsidRDefault="00B9425C" w:rsidP="00B9425C">
      <w:pPr>
        <w:jc w:val="both"/>
        <w:rPr>
          <w:b/>
          <w:color w:val="000000"/>
        </w:rPr>
      </w:pPr>
      <w:r>
        <w:rPr>
          <w:b/>
          <w:color w:val="000000"/>
        </w:rPr>
        <w:t>Summary</w:t>
      </w:r>
    </w:p>
    <w:p w:rsidR="00B9425C" w:rsidRPr="00B9425C" w:rsidRDefault="00B9425C" w:rsidP="00B9425C">
      <w:pPr>
        <w:pStyle w:val="ListParagraph"/>
        <w:numPr>
          <w:ilvl w:val="0"/>
          <w:numId w:val="39"/>
        </w:numPr>
        <w:jc w:val="both"/>
        <w:rPr>
          <w:color w:val="000000"/>
        </w:rPr>
      </w:pPr>
      <w:r w:rsidRPr="00B9425C">
        <w:rPr>
          <w:color w:val="000000"/>
        </w:rPr>
        <w:t xml:space="preserve">Experienced Senior Oracle Database Administrator / Designer in Installation, Upgrades, Configuration, Database Architecture, Performance, Database Design for all Oracle databases, regular and RAC. </w:t>
      </w:r>
    </w:p>
    <w:p w:rsidR="00B9425C" w:rsidRPr="00B9425C" w:rsidRDefault="00B9425C" w:rsidP="00B9425C">
      <w:pPr>
        <w:pStyle w:val="ListParagraph"/>
        <w:numPr>
          <w:ilvl w:val="0"/>
          <w:numId w:val="39"/>
        </w:numPr>
        <w:jc w:val="both"/>
      </w:pPr>
      <w:r w:rsidRPr="00B9425C">
        <w:t xml:space="preserve">Experienced in setting up, Configuring &amp; Supporting Multinode Active-Active GoldenGate replication using CDR techniques. </w:t>
      </w:r>
    </w:p>
    <w:p w:rsidR="00B9425C" w:rsidRPr="00B9425C" w:rsidRDefault="00B9425C" w:rsidP="00B9425C">
      <w:pPr>
        <w:pStyle w:val="ListParagraph"/>
        <w:numPr>
          <w:ilvl w:val="0"/>
          <w:numId w:val="39"/>
        </w:numPr>
        <w:jc w:val="both"/>
        <w:rPr>
          <w:color w:val="000000"/>
        </w:rPr>
      </w:pPr>
      <w:r w:rsidRPr="00B9425C">
        <w:t xml:space="preserve">Also setup Goldengate for migrations, DW, </w:t>
      </w:r>
      <w:r>
        <w:t>Reporting and ETL requirements.</w:t>
      </w:r>
    </w:p>
    <w:p w:rsidR="00B9425C" w:rsidRDefault="00B9425C" w:rsidP="00B9425C">
      <w:pPr>
        <w:pStyle w:val="ListParagraph"/>
        <w:numPr>
          <w:ilvl w:val="0"/>
          <w:numId w:val="39"/>
        </w:numPr>
        <w:jc w:val="both"/>
        <w:rPr>
          <w:color w:val="000000"/>
        </w:rPr>
      </w:pPr>
      <w:r w:rsidRPr="00B9425C">
        <w:t>Extensive experience in Planning and establishing PCI Compliance, Designing and implementation Disaster Recovery, Backup and Recovery procedures, Performance Monitoring &amp; Tuning, Active Dataguard and Standby Databases.</w:t>
      </w:r>
      <w:r>
        <w:rPr>
          <w:color w:val="000000"/>
        </w:rPr>
        <w:t xml:space="preserve"> </w:t>
      </w:r>
    </w:p>
    <w:p w:rsidR="00B9425C" w:rsidRPr="00B9425C" w:rsidRDefault="00B9425C" w:rsidP="00B9425C">
      <w:pPr>
        <w:pStyle w:val="ListParagraph"/>
        <w:numPr>
          <w:ilvl w:val="0"/>
          <w:numId w:val="39"/>
        </w:numPr>
        <w:jc w:val="both"/>
        <w:rPr>
          <w:color w:val="000000"/>
        </w:rPr>
      </w:pPr>
      <w:r w:rsidRPr="00B9425C">
        <w:rPr>
          <w:color w:val="000000"/>
        </w:rPr>
        <w:t xml:space="preserve">Experience in creating and reverse engineering ERD Data Modeling, setting Standards, Enterprise Information Model and Enterprise Logical and Physical Data model using Agile Methodology, CASE tools like Designer 2000, ERWIN and TOAD. </w:t>
      </w:r>
      <w:r w:rsidRPr="00B9425C">
        <w:rPr>
          <w:color w:val="000000"/>
        </w:rPr>
        <w:cr/>
      </w:r>
    </w:p>
    <w:p w:rsidR="00B9425C" w:rsidRPr="00B9425C" w:rsidRDefault="00B9425C" w:rsidP="00B9425C">
      <w:pPr>
        <w:tabs>
          <w:tab w:val="left" w:pos="720"/>
        </w:tabs>
        <w:jc w:val="both"/>
        <w:rPr>
          <w:b/>
          <w:color w:val="000000"/>
        </w:rPr>
      </w:pPr>
      <w:r w:rsidRPr="00B9425C">
        <w:rPr>
          <w:b/>
          <w:color w:val="000000"/>
        </w:rPr>
        <w:t>Skill Set:</w:t>
      </w:r>
    </w:p>
    <w:p w:rsidR="00B9425C" w:rsidRPr="00B9425C" w:rsidRDefault="00B9425C" w:rsidP="00B9425C">
      <w:pPr>
        <w:tabs>
          <w:tab w:val="left" w:pos="720"/>
        </w:tabs>
        <w:jc w:val="both"/>
        <w:rPr>
          <w:color w:val="000000"/>
        </w:rPr>
      </w:pPr>
      <w:r w:rsidRPr="00B9425C">
        <w:rPr>
          <w:color w:val="000000"/>
        </w:rPr>
        <w:t xml:space="preserve">Applications </w:t>
      </w:r>
      <w:r>
        <w:rPr>
          <w:color w:val="000000"/>
        </w:rPr>
        <w:tab/>
      </w:r>
      <w:r>
        <w:rPr>
          <w:color w:val="000000"/>
        </w:rPr>
        <w:tab/>
        <w:t xml:space="preserve">: </w:t>
      </w:r>
      <w:r w:rsidRPr="00B9425C">
        <w:rPr>
          <w:color w:val="000000"/>
        </w:rPr>
        <w:t>Siebel, SAP R/3 6.4, Oracle Apps 11.5, Delphix</w:t>
      </w:r>
    </w:p>
    <w:p w:rsidR="00B9425C" w:rsidRPr="00B9425C" w:rsidRDefault="00B9425C" w:rsidP="00B9425C">
      <w:pPr>
        <w:jc w:val="both"/>
        <w:rPr>
          <w:color w:val="000000"/>
        </w:rPr>
      </w:pPr>
    </w:p>
    <w:p w:rsidR="00B9425C" w:rsidRPr="00B9425C" w:rsidRDefault="00B9425C" w:rsidP="00B9425C">
      <w:pPr>
        <w:tabs>
          <w:tab w:val="left" w:pos="720"/>
        </w:tabs>
        <w:jc w:val="both"/>
        <w:rPr>
          <w:color w:val="000000"/>
        </w:rPr>
      </w:pPr>
      <w:r w:rsidRPr="00B9425C">
        <w:rPr>
          <w:color w:val="000000"/>
        </w:rPr>
        <w:t>Monitoring</w:t>
      </w:r>
      <w:r>
        <w:rPr>
          <w:color w:val="000000"/>
        </w:rPr>
        <w:tab/>
      </w:r>
      <w:r>
        <w:rPr>
          <w:color w:val="000000"/>
        </w:rPr>
        <w:tab/>
        <w:t xml:space="preserve">: </w:t>
      </w:r>
      <w:r w:rsidRPr="00B9425C">
        <w:rPr>
          <w:color w:val="000000"/>
        </w:rPr>
        <w:t>OEM Grid Control, Quest Spotlight, BMC Patrol, Toad</w:t>
      </w:r>
    </w:p>
    <w:p w:rsidR="00B9425C" w:rsidRPr="00B9425C" w:rsidRDefault="00B9425C" w:rsidP="00B9425C">
      <w:pPr>
        <w:jc w:val="both"/>
        <w:rPr>
          <w:color w:val="000000"/>
        </w:rPr>
      </w:pPr>
    </w:p>
    <w:p w:rsidR="00B9425C" w:rsidRPr="00B9425C" w:rsidRDefault="00B9425C" w:rsidP="00B9425C">
      <w:pPr>
        <w:tabs>
          <w:tab w:val="left" w:pos="720"/>
        </w:tabs>
        <w:jc w:val="both"/>
        <w:rPr>
          <w:color w:val="000000"/>
        </w:rPr>
      </w:pPr>
      <w:r w:rsidRPr="00B9425C">
        <w:rPr>
          <w:color w:val="000000"/>
        </w:rPr>
        <w:t>Backup</w:t>
      </w:r>
      <w:r>
        <w:rPr>
          <w:color w:val="000000"/>
        </w:rPr>
        <w:tab/>
      </w:r>
      <w:r>
        <w:rPr>
          <w:color w:val="000000"/>
        </w:rPr>
        <w:tab/>
        <w:t xml:space="preserve">: </w:t>
      </w:r>
      <w:r w:rsidRPr="00B9425C">
        <w:rPr>
          <w:color w:val="000000"/>
        </w:rPr>
        <w:t>SnapMirror, FlexClone, RMAN, Data Guard, Shareplex</w:t>
      </w:r>
    </w:p>
    <w:p w:rsidR="00B9425C" w:rsidRPr="00B9425C" w:rsidRDefault="00B9425C" w:rsidP="00B9425C">
      <w:pPr>
        <w:jc w:val="both"/>
        <w:rPr>
          <w:color w:val="000000"/>
        </w:rPr>
      </w:pPr>
    </w:p>
    <w:p w:rsidR="00B9425C" w:rsidRPr="00B9425C" w:rsidRDefault="00B9425C" w:rsidP="00B9425C">
      <w:pPr>
        <w:tabs>
          <w:tab w:val="left" w:pos="720"/>
        </w:tabs>
        <w:jc w:val="both"/>
        <w:rPr>
          <w:color w:val="000000"/>
        </w:rPr>
      </w:pPr>
      <w:r w:rsidRPr="00B9425C">
        <w:rPr>
          <w:color w:val="000000"/>
        </w:rPr>
        <w:t>Languages</w:t>
      </w:r>
      <w:r>
        <w:rPr>
          <w:color w:val="000000"/>
        </w:rPr>
        <w:tab/>
      </w:r>
      <w:r>
        <w:rPr>
          <w:color w:val="000000"/>
        </w:rPr>
        <w:tab/>
        <w:t xml:space="preserve">: </w:t>
      </w:r>
      <w:r w:rsidRPr="00B9425C">
        <w:rPr>
          <w:color w:val="000000"/>
        </w:rPr>
        <w:t>C, Pro*C, PERL, Shell Script</w:t>
      </w:r>
    </w:p>
    <w:p w:rsidR="00B9425C" w:rsidRPr="00B9425C" w:rsidRDefault="00B9425C" w:rsidP="00B9425C">
      <w:pPr>
        <w:jc w:val="both"/>
        <w:rPr>
          <w:color w:val="000000"/>
        </w:rPr>
      </w:pPr>
    </w:p>
    <w:p w:rsidR="00B9425C" w:rsidRPr="00B9425C" w:rsidRDefault="00B9425C" w:rsidP="00B9425C">
      <w:pPr>
        <w:tabs>
          <w:tab w:val="left" w:pos="720"/>
        </w:tabs>
        <w:jc w:val="both"/>
        <w:rPr>
          <w:color w:val="000000"/>
        </w:rPr>
      </w:pPr>
      <w:r w:rsidRPr="00B9425C">
        <w:rPr>
          <w:color w:val="000000"/>
        </w:rPr>
        <w:t>Software</w:t>
      </w:r>
      <w:r>
        <w:rPr>
          <w:color w:val="000000"/>
        </w:rPr>
        <w:tab/>
      </w:r>
      <w:r>
        <w:rPr>
          <w:color w:val="000000"/>
        </w:rPr>
        <w:tab/>
        <w:t xml:space="preserve">: </w:t>
      </w:r>
      <w:r w:rsidRPr="00B9425C">
        <w:rPr>
          <w:color w:val="000000"/>
        </w:rPr>
        <w:t>Oracle /12c/11g/10g RAC, SQL/MX, GoldenGate R11, MySQL,</w:t>
      </w:r>
    </w:p>
    <w:p w:rsidR="00B9425C" w:rsidRPr="00B9425C" w:rsidRDefault="00B9425C" w:rsidP="00B9425C">
      <w:pPr>
        <w:ind w:left="1440" w:firstLine="720"/>
        <w:jc w:val="both"/>
        <w:rPr>
          <w:color w:val="000000"/>
        </w:rPr>
      </w:pPr>
      <w:r>
        <w:rPr>
          <w:color w:val="000000"/>
        </w:rPr>
        <w:t xml:space="preserve">  </w:t>
      </w:r>
      <w:r w:rsidRPr="00B9425C">
        <w:rPr>
          <w:color w:val="000000"/>
        </w:rPr>
        <w:t>ERWIN, RMAN, Hadoop, HBase, Delphix</w:t>
      </w:r>
    </w:p>
    <w:p w:rsidR="00B9425C" w:rsidRPr="00B9425C" w:rsidRDefault="00B9425C" w:rsidP="00B9425C">
      <w:pPr>
        <w:ind w:left="720" w:firstLine="720"/>
        <w:jc w:val="both"/>
        <w:rPr>
          <w:color w:val="000000"/>
        </w:rPr>
      </w:pPr>
    </w:p>
    <w:p w:rsidR="00B9425C" w:rsidRPr="00B9425C" w:rsidRDefault="00B9425C" w:rsidP="00B9425C">
      <w:pPr>
        <w:tabs>
          <w:tab w:val="left" w:pos="720"/>
        </w:tabs>
        <w:jc w:val="both"/>
        <w:rPr>
          <w:color w:val="000000"/>
        </w:rPr>
      </w:pPr>
      <w:r w:rsidRPr="00B9425C">
        <w:rPr>
          <w:color w:val="000000"/>
        </w:rPr>
        <w:t>Hardware</w:t>
      </w:r>
      <w:r>
        <w:rPr>
          <w:color w:val="000000"/>
        </w:rPr>
        <w:tab/>
      </w:r>
      <w:r>
        <w:rPr>
          <w:color w:val="000000"/>
        </w:rPr>
        <w:tab/>
        <w:t>:</w:t>
      </w:r>
      <w:r w:rsidRPr="00B9425C">
        <w:rPr>
          <w:color w:val="000000"/>
        </w:rPr>
        <w:t xml:space="preserve"> SUN, HP9000, DEC, IBM RS/6000, x86-64 Servers</w:t>
      </w:r>
    </w:p>
    <w:p w:rsidR="00B9425C" w:rsidRPr="00B9425C" w:rsidRDefault="00B9425C" w:rsidP="00B9425C">
      <w:pPr>
        <w:tabs>
          <w:tab w:val="left" w:pos="720"/>
        </w:tabs>
        <w:jc w:val="both"/>
        <w:rPr>
          <w:color w:val="000000"/>
        </w:rPr>
      </w:pPr>
    </w:p>
    <w:p w:rsidR="00B9425C" w:rsidRPr="00B9425C" w:rsidRDefault="00B9425C" w:rsidP="00B9425C">
      <w:pPr>
        <w:tabs>
          <w:tab w:val="left" w:pos="720"/>
        </w:tabs>
        <w:jc w:val="both"/>
        <w:rPr>
          <w:color w:val="000000"/>
        </w:rPr>
      </w:pPr>
      <w:r w:rsidRPr="00B9425C">
        <w:rPr>
          <w:color w:val="000000"/>
        </w:rPr>
        <w:t>Storage</w:t>
      </w:r>
      <w:r>
        <w:rPr>
          <w:color w:val="000000"/>
        </w:rPr>
        <w:tab/>
      </w:r>
      <w:r>
        <w:rPr>
          <w:color w:val="000000"/>
        </w:rPr>
        <w:tab/>
      </w:r>
      <w:r w:rsidRPr="00B9425C">
        <w:rPr>
          <w:color w:val="000000"/>
        </w:rPr>
        <w:t>: ASM, Infiniband, Veritas, SUN, HP Clusters, EMC SAN, Netapp NFS</w:t>
      </w:r>
    </w:p>
    <w:p w:rsidR="00B9425C" w:rsidRPr="00B9425C" w:rsidRDefault="00B9425C" w:rsidP="00B9425C">
      <w:pPr>
        <w:tabs>
          <w:tab w:val="left" w:pos="720"/>
        </w:tabs>
        <w:jc w:val="both"/>
        <w:rPr>
          <w:color w:val="000000"/>
        </w:rPr>
      </w:pPr>
    </w:p>
    <w:p w:rsidR="00B9425C" w:rsidRPr="00B9425C" w:rsidRDefault="00B9425C" w:rsidP="00B9425C">
      <w:pPr>
        <w:tabs>
          <w:tab w:val="left" w:pos="720"/>
        </w:tabs>
        <w:jc w:val="both"/>
        <w:rPr>
          <w:color w:val="000000"/>
          <w:lang w:val="fr-FR"/>
        </w:rPr>
      </w:pPr>
      <w:r w:rsidRPr="00B9425C">
        <w:rPr>
          <w:color w:val="000000"/>
          <w:lang w:val="fr-FR"/>
        </w:rPr>
        <w:t>OS</w:t>
      </w:r>
      <w:r>
        <w:rPr>
          <w:color w:val="000000"/>
          <w:lang w:val="fr-FR"/>
        </w:rPr>
        <w:tab/>
      </w:r>
      <w:r>
        <w:rPr>
          <w:color w:val="000000"/>
          <w:lang w:val="fr-FR"/>
        </w:rPr>
        <w:tab/>
      </w:r>
      <w:r>
        <w:rPr>
          <w:color w:val="000000"/>
          <w:lang w:val="fr-FR"/>
        </w:rPr>
        <w:tab/>
      </w:r>
      <w:r w:rsidRPr="00B9425C">
        <w:rPr>
          <w:color w:val="000000"/>
          <w:lang w:val="fr-FR"/>
        </w:rPr>
        <w:t>: UNIX (Solaris, AIX,HP-UX etc.) (20+yrs), Linux (10+yrs)</w:t>
      </w:r>
      <w:r w:rsidRPr="00B9425C">
        <w:rPr>
          <w:color w:val="000000"/>
          <w:lang w:val="fr-FR"/>
        </w:rPr>
        <w:cr/>
      </w:r>
      <w:r w:rsidRPr="00B9425C">
        <w:rPr>
          <w:color w:val="000000"/>
          <w:lang w:val="fr-FR"/>
        </w:rPr>
        <w:cr/>
      </w:r>
    </w:p>
    <w:p w:rsidR="00B9425C" w:rsidRDefault="00B9425C" w:rsidP="00B9425C">
      <w:pPr>
        <w:tabs>
          <w:tab w:val="left" w:pos="720"/>
        </w:tabs>
        <w:jc w:val="both"/>
        <w:rPr>
          <w:b/>
          <w:color w:val="000000"/>
        </w:rPr>
      </w:pPr>
      <w:r>
        <w:rPr>
          <w:b/>
          <w:color w:val="000000"/>
        </w:rPr>
        <w:t>Experience</w:t>
      </w:r>
    </w:p>
    <w:p w:rsidR="00B9425C" w:rsidRPr="00B9425C" w:rsidRDefault="00B9425C" w:rsidP="00B9425C">
      <w:pPr>
        <w:tabs>
          <w:tab w:val="left" w:pos="720"/>
        </w:tabs>
        <w:jc w:val="both"/>
        <w:rPr>
          <w:color w:val="000000"/>
        </w:rPr>
      </w:pPr>
      <w:r w:rsidRPr="00B9425C">
        <w:rPr>
          <w:b/>
          <w:color w:val="000000"/>
        </w:rPr>
        <w:t xml:space="preserve">Cisco,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 xml:space="preserve"> </w:t>
      </w:r>
      <w:r w:rsidRPr="00B9425C">
        <w:rPr>
          <w:b/>
          <w:color w:val="000000"/>
        </w:rPr>
        <w:tab/>
        <w:t>July 2014 – Current</w:t>
      </w:r>
      <w:r w:rsidRPr="00B9425C">
        <w:rPr>
          <w:b/>
          <w:color w:val="000000"/>
        </w:rPr>
        <w:cr/>
        <w:t>Sr. GoldenGate Consultant</w:t>
      </w:r>
      <w:r w:rsidRPr="00B9425C">
        <w:rPr>
          <w:b/>
          <w:color w:val="000000"/>
        </w:rPr>
        <w:cr/>
      </w:r>
      <w:r w:rsidRPr="00B9425C">
        <w:rPr>
          <w:color w:val="000000"/>
        </w:rPr>
        <w:t>Lead Designer / Implementer for Cisco-Webex for their GoldenGate project for Active-Active implementation of Oracle GoldenGate 11.2 on Linux environment. This project is to deploy on all Clients who are hosting the Webex on cloud using Oracle 11.2.</w:t>
      </w:r>
    </w:p>
    <w:p w:rsidR="00B9425C" w:rsidRPr="00B9425C" w:rsidRDefault="00B9425C" w:rsidP="00B9425C">
      <w:pPr>
        <w:tabs>
          <w:tab w:val="left" w:pos="720"/>
        </w:tabs>
        <w:jc w:val="both"/>
        <w:rPr>
          <w:color w:val="000000"/>
        </w:rPr>
      </w:pPr>
      <w:r w:rsidRPr="00B9425C">
        <w:rPr>
          <w:color w:val="000000"/>
        </w:rPr>
        <w:t xml:space="preserve">Implemented CDR techniques for conflict resolution in active-active environment. </w:t>
      </w:r>
    </w:p>
    <w:p w:rsidR="00B9425C" w:rsidRPr="00B9425C" w:rsidRDefault="00B9425C" w:rsidP="00B9425C">
      <w:pPr>
        <w:tabs>
          <w:tab w:val="left" w:pos="720"/>
        </w:tabs>
        <w:jc w:val="both"/>
        <w:rPr>
          <w:color w:val="000000"/>
          <w:lang w:val="fr-FR"/>
        </w:rPr>
      </w:pPr>
    </w:p>
    <w:p w:rsidR="00B9425C" w:rsidRDefault="00B9425C" w:rsidP="00B9425C">
      <w:pPr>
        <w:tabs>
          <w:tab w:val="left" w:pos="720"/>
        </w:tabs>
        <w:jc w:val="both"/>
        <w:rPr>
          <w:b/>
          <w:color w:val="000000"/>
        </w:rPr>
      </w:pPr>
    </w:p>
    <w:p w:rsidR="00B9425C" w:rsidRDefault="00B9425C" w:rsidP="00B9425C">
      <w:pPr>
        <w:tabs>
          <w:tab w:val="left" w:pos="720"/>
        </w:tabs>
        <w:jc w:val="both"/>
        <w:rPr>
          <w:b/>
          <w:color w:val="000000"/>
        </w:rPr>
      </w:pPr>
    </w:p>
    <w:p w:rsidR="00B9425C" w:rsidRDefault="00B9425C" w:rsidP="00B9425C">
      <w:pPr>
        <w:tabs>
          <w:tab w:val="left" w:pos="720"/>
        </w:tabs>
        <w:jc w:val="both"/>
        <w:rPr>
          <w:b/>
          <w:color w:val="000000"/>
        </w:rPr>
      </w:pPr>
    </w:p>
    <w:p w:rsidR="00B9425C" w:rsidRDefault="00B9425C" w:rsidP="00B9425C">
      <w:pPr>
        <w:tabs>
          <w:tab w:val="left" w:pos="720"/>
        </w:tabs>
        <w:jc w:val="both"/>
        <w:rPr>
          <w:b/>
          <w:color w:val="000000"/>
        </w:rPr>
      </w:pPr>
    </w:p>
    <w:p w:rsidR="00B9425C" w:rsidRDefault="00B9425C" w:rsidP="00B9425C">
      <w:pPr>
        <w:tabs>
          <w:tab w:val="left" w:pos="720"/>
        </w:tabs>
        <w:jc w:val="both"/>
        <w:rPr>
          <w:b/>
          <w:color w:val="000000"/>
        </w:rPr>
      </w:pPr>
    </w:p>
    <w:p w:rsidR="00B9425C" w:rsidRPr="00B9425C" w:rsidRDefault="00B9425C" w:rsidP="00B9425C">
      <w:pPr>
        <w:tabs>
          <w:tab w:val="left" w:pos="720"/>
        </w:tabs>
        <w:jc w:val="both"/>
        <w:rPr>
          <w:color w:val="000000"/>
        </w:rPr>
      </w:pPr>
      <w:r w:rsidRPr="00B9425C">
        <w:rPr>
          <w:b/>
          <w:color w:val="000000"/>
        </w:rPr>
        <w:t xml:space="preserve">Intuit,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 xml:space="preserve"> </w:t>
      </w:r>
      <w:r w:rsidRPr="00B9425C">
        <w:rPr>
          <w:b/>
          <w:color w:val="000000"/>
        </w:rPr>
        <w:tab/>
      </w:r>
      <w:r>
        <w:rPr>
          <w:b/>
          <w:color w:val="000000"/>
        </w:rPr>
        <w:t xml:space="preserve">  - </w:t>
      </w:r>
      <w:r w:rsidRPr="00B9425C">
        <w:rPr>
          <w:b/>
          <w:color w:val="000000"/>
        </w:rPr>
        <w:t>May 2011 – June 2014</w:t>
      </w:r>
      <w:r w:rsidRPr="00B9425C">
        <w:rPr>
          <w:b/>
          <w:color w:val="000000"/>
        </w:rPr>
        <w:cr/>
        <w:t>Sr. Database Consultant</w:t>
      </w:r>
      <w:r w:rsidRPr="00B9425C">
        <w:rPr>
          <w:b/>
          <w:color w:val="000000"/>
        </w:rPr>
        <w:cr/>
      </w:r>
      <w:r w:rsidRPr="00B9425C">
        <w:rPr>
          <w:color w:val="000000"/>
        </w:rPr>
        <w:t>Lead Designer/DBA working on database upgrade and migration from Solaris to Linux and 9i to 11g on multiple cluster databases (QA/DEV/PROD) and implement HA and DR strategies. Install, Configure and Support Active-Active Bi-directional replication using Oracle  GoldenGate 11.1 for migration and setting up Reporting and DR in QA/Perf/Prod environments along with Active Dataguard. Delphix Configuration, Administration and implementation for Database replication.</w:t>
      </w:r>
    </w:p>
    <w:p w:rsidR="00B9425C" w:rsidRPr="00B9425C" w:rsidRDefault="00B9425C" w:rsidP="00B9425C">
      <w:pPr>
        <w:tabs>
          <w:tab w:val="left" w:pos="720"/>
        </w:tabs>
        <w:jc w:val="both"/>
        <w:rPr>
          <w:color w:val="000000"/>
        </w:rPr>
      </w:pPr>
    </w:p>
    <w:p w:rsidR="00B9425C" w:rsidRPr="00B9425C" w:rsidRDefault="00B9425C" w:rsidP="00B9425C">
      <w:pPr>
        <w:rPr>
          <w:b/>
          <w:color w:val="000000"/>
        </w:rPr>
      </w:pPr>
      <w:r w:rsidRPr="00B9425C">
        <w:rPr>
          <w:b/>
          <w:color w:val="000000"/>
        </w:rPr>
        <w:t>SVB, CA</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Pr>
          <w:b/>
          <w:color w:val="000000"/>
        </w:rPr>
        <w:t xml:space="preserve">   - </w:t>
      </w:r>
      <w:r w:rsidRPr="00B9425C">
        <w:rPr>
          <w:b/>
          <w:color w:val="000000"/>
        </w:rPr>
        <w:t>Sep 2010 – Apr 2011</w:t>
      </w:r>
      <w:r w:rsidRPr="00B9425C">
        <w:rPr>
          <w:b/>
          <w:color w:val="000000"/>
        </w:rPr>
        <w:cr/>
        <w:t>Sr. Database Consultant</w:t>
      </w:r>
      <w:r w:rsidRPr="00B9425C">
        <w:rPr>
          <w:color w:val="000000"/>
        </w:rPr>
        <w:t xml:space="preserve"> </w:t>
      </w:r>
    </w:p>
    <w:p w:rsidR="00B9425C" w:rsidRDefault="00B9425C" w:rsidP="00B9425C">
      <w:pPr>
        <w:jc w:val="both"/>
        <w:rPr>
          <w:color w:val="000000"/>
        </w:rPr>
      </w:pPr>
      <w:r w:rsidRPr="00B9425C">
        <w:rPr>
          <w:color w:val="000000"/>
        </w:rPr>
        <w:t>Lead Designer/DBA for the production and all non-production environments supporting all Banking, Peoplesoft, CRM and Datawarehouse applications at the bank using 11g RAC databases.</w:t>
      </w:r>
      <w:r w:rsidRPr="00B9425C">
        <w:rPr>
          <w:color w:val="000000"/>
        </w:rPr>
        <w:cr/>
        <w:t>Involved with day to day activities and planning and implementing all future upgrades and migrations.</w:t>
      </w:r>
      <w:r w:rsidRPr="00B9425C">
        <w:rPr>
          <w:color w:val="000000"/>
        </w:rPr>
        <w:cr/>
        <w:t xml:space="preserve">Responsible for getting more than fifty databases into GLBA compliance via upgrades, patching and reconfiguration effort. Instrumental in setting up Remote L2 DBA support and knowledge transfer. </w:t>
      </w:r>
      <w:r w:rsidRPr="00B9425C">
        <w:rPr>
          <w:color w:val="000000"/>
        </w:rPr>
        <w:cr/>
        <w:t>Install, configure and implement GoldenGate R11 for replicating data from Production to DW and Reporting databases and also migrating from Oracle 9i to 11g. Veridata install and support for data verification.</w:t>
      </w:r>
      <w:r w:rsidRPr="00B9425C">
        <w:rPr>
          <w:color w:val="000000"/>
        </w:rPr>
        <w:cr/>
        <w:t xml:space="preserve">POC Hadoop for internal use, setup and configure multinode, single cluster configuration. </w:t>
      </w:r>
      <w:r w:rsidRPr="00B9425C">
        <w:rPr>
          <w:color w:val="000000"/>
        </w:rPr>
        <w:cr/>
      </w:r>
      <w:r w:rsidRPr="00B9425C">
        <w:rPr>
          <w:color w:val="000000"/>
        </w:rPr>
        <w:cr/>
      </w:r>
      <w:r w:rsidRPr="00B9425C">
        <w:rPr>
          <w:b/>
          <w:color w:val="000000"/>
        </w:rPr>
        <w:t xml:space="preserve">E-Commerce,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 xml:space="preserve"> Jan 2010 – Jun 2010</w:t>
      </w:r>
      <w:r w:rsidRPr="00B9425C">
        <w:rPr>
          <w:b/>
          <w:color w:val="000000"/>
        </w:rPr>
        <w:cr/>
        <w:t>Sr. Database Consultant</w:t>
      </w:r>
      <w:r w:rsidRPr="00B9425C">
        <w:rPr>
          <w:b/>
          <w:color w:val="000000"/>
        </w:rPr>
        <w:cr/>
      </w:r>
      <w:r w:rsidRPr="00B9425C">
        <w:rPr>
          <w:color w:val="000000"/>
        </w:rPr>
        <w:t>Working on database redesign and reconfiguring and setting up additional nodes on 10g RAC multiple cluster databases (QA/DEV/PROD) and implement HA and DR strategies. Performance tuning and Data Warehouse ETL redesign and loading process using Staging databases. Generating Logical and Physical Entity Diagrams and renormalizing existing entities and relationships using Toad Modelling tools.  GoldenGate installation and maintenance for replicating production data from multiple sources to DW and Reporting databases.</w:t>
      </w:r>
      <w:r w:rsidRPr="00B9425C">
        <w:rPr>
          <w:color w:val="000000"/>
        </w:rPr>
        <w:cr/>
      </w:r>
      <w:r w:rsidRPr="00B9425C">
        <w:rPr>
          <w:color w:val="000000"/>
        </w:rPr>
        <w:cr/>
      </w:r>
      <w:r w:rsidRPr="00B9425C">
        <w:rPr>
          <w:b/>
          <w:color w:val="000000"/>
        </w:rPr>
        <w:t xml:space="preserve">CommerceGate,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Mar 2009 – Dec 2009</w:t>
      </w:r>
      <w:r w:rsidRPr="00B9425C">
        <w:rPr>
          <w:b/>
          <w:color w:val="000000"/>
        </w:rPr>
        <w:cr/>
        <w:t>Sr. Database Consultant</w:t>
      </w:r>
      <w:r w:rsidRPr="00B9425C">
        <w:rPr>
          <w:b/>
          <w:color w:val="000000"/>
        </w:rPr>
        <w:cr/>
      </w:r>
      <w:r w:rsidRPr="00B9425C">
        <w:rPr>
          <w:color w:val="000000"/>
        </w:rPr>
        <w:t xml:space="preserve"> Lead Designer/DBA on database redesign and setting up PCI Data Security compliance and consolidation of assets and databases across US and Latin Americas. Support and add new nodes on 11g RAC databases and implement HA and DR strategies using Infiniband storage solution. Performance tuning and configure RMAN backup restore. Enforcing TDE (Transparent Data Encryption) and FGA (Fine-Grain Auditing) for PCI compliance. Generating Logical and Physical Entity Diagrams and renormalizing existing entities and relationships using Toad Modeling tools.  </w:t>
      </w:r>
      <w:r w:rsidRPr="00B9425C">
        <w:rPr>
          <w:color w:val="000000"/>
        </w:rPr>
        <w:cr/>
      </w:r>
      <w:r w:rsidRPr="00B9425C">
        <w:rPr>
          <w:color w:val="000000"/>
        </w:rPr>
        <w:cr/>
      </w:r>
      <w:r w:rsidRPr="00B9425C">
        <w:rPr>
          <w:b/>
          <w:color w:val="000000"/>
        </w:rPr>
        <w:t xml:space="preserve">NetApp,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Oct 2007 – Feb 2009</w:t>
      </w:r>
      <w:r w:rsidRPr="00B9425C">
        <w:rPr>
          <w:b/>
          <w:color w:val="000000"/>
        </w:rPr>
        <w:cr/>
        <w:t>Sr. Database Consultant</w:t>
      </w:r>
      <w:r w:rsidRPr="00B9425C">
        <w:rPr>
          <w:b/>
          <w:color w:val="000000"/>
        </w:rPr>
        <w:cr/>
      </w:r>
      <w:r w:rsidRPr="00B9425C">
        <w:rPr>
          <w:color w:val="000000"/>
        </w:rPr>
        <w:t xml:space="preserve">Working on Siebel v7 to Siebel v8 upgrade project. Lead Database Architect / DBA for the project responsible for redesigning and implementing Siebel v8 on 10gR2 and Data Warehouse ETL, </w:t>
      </w:r>
    </w:p>
    <w:p w:rsidR="00B9425C" w:rsidRDefault="00B9425C" w:rsidP="00B9425C">
      <w:pPr>
        <w:jc w:val="both"/>
        <w:rPr>
          <w:color w:val="000000"/>
        </w:rPr>
      </w:pPr>
    </w:p>
    <w:p w:rsidR="00B9425C" w:rsidRDefault="00B9425C" w:rsidP="00B9425C">
      <w:pPr>
        <w:jc w:val="both"/>
        <w:rPr>
          <w:color w:val="000000"/>
        </w:rPr>
      </w:pPr>
    </w:p>
    <w:p w:rsidR="00B9425C" w:rsidRDefault="00B9425C" w:rsidP="00B9425C">
      <w:pPr>
        <w:jc w:val="both"/>
        <w:rPr>
          <w:color w:val="000000"/>
        </w:rPr>
      </w:pPr>
    </w:p>
    <w:p w:rsidR="00B9425C" w:rsidRPr="00B9425C" w:rsidRDefault="00B9425C" w:rsidP="00B9425C">
      <w:pPr>
        <w:jc w:val="both"/>
        <w:rPr>
          <w:color w:val="000000"/>
        </w:rPr>
      </w:pPr>
      <w:r w:rsidRPr="00B9425C">
        <w:rPr>
          <w:color w:val="000000"/>
        </w:rPr>
        <w:t>Staging implantation using Streams. Upgrade databases to 10gR2 from 9i on Solaris &amp; Character set conversion. Setup and configure HA / DR using NetApp SnapMirror and FlexClone technologies. Used Tivoli and OEM Grid Control for monitoring. Also setup the Development, Test and UAT environments for all applications. Performance tuning and load management.</w:t>
      </w:r>
      <w:r w:rsidRPr="00B9425C">
        <w:rPr>
          <w:color w:val="000000"/>
        </w:rPr>
        <w:cr/>
      </w:r>
      <w:r w:rsidRPr="00B9425C">
        <w:rPr>
          <w:color w:val="000000"/>
        </w:rPr>
        <w:cr/>
      </w:r>
      <w:r w:rsidRPr="00B9425C">
        <w:rPr>
          <w:b/>
          <w:color w:val="000000"/>
        </w:rPr>
        <w:t xml:space="preserve">Mercury Interactive / HP,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May 2005 – Oct 2007</w:t>
      </w:r>
      <w:r w:rsidRPr="00B9425C">
        <w:rPr>
          <w:b/>
          <w:color w:val="000000"/>
        </w:rPr>
        <w:cr/>
        <w:t>Sr. Database Consultant</w:t>
      </w:r>
      <w:r w:rsidRPr="00B9425C">
        <w:rPr>
          <w:b/>
          <w:color w:val="000000"/>
        </w:rPr>
        <w:cr/>
      </w:r>
      <w:r w:rsidRPr="00B9425C">
        <w:rPr>
          <w:color w:val="000000"/>
        </w:rPr>
        <w:t>Working on Production Support, Capacity Planning, Disaster-Recovery setup for SAP R/3 6.40, Data Warehouse OWB, Hyperion, Siebel, Peoplesoft, Lawson, Broadvision, IT SOX Governance systems using Oracle 10g RAC, 9i, Quest tools like Shareplex, Spotlight, OEM, RMAN.  Implemented Shareplex for Oracle replication of Oracle 9i and 10g databases. Upgrade databases to 10g and 10gR2 RAC from 8i and 9i on Solaris and Linux. Setup OEM Grid Control for monitoring. Also worked on HP SQL/MX 2.3 as a test project.</w:t>
      </w:r>
    </w:p>
    <w:p w:rsidR="00B9425C" w:rsidRDefault="00B9425C" w:rsidP="00B9425C">
      <w:pPr>
        <w:jc w:val="both"/>
        <w:rPr>
          <w:color w:val="000000"/>
        </w:rPr>
      </w:pPr>
      <w:r w:rsidRPr="00B9425C">
        <w:rPr>
          <w:color w:val="000000"/>
        </w:rPr>
        <w:cr/>
      </w:r>
      <w:r w:rsidRPr="00B9425C">
        <w:rPr>
          <w:b/>
          <w:color w:val="000000"/>
        </w:rPr>
        <w:t xml:space="preserve">3 Tek LLC,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008F29E4">
        <w:rPr>
          <w:b/>
          <w:color w:val="000000"/>
        </w:rPr>
        <w:t xml:space="preserve">           </w:t>
      </w:r>
      <w:r w:rsidRPr="00B9425C">
        <w:rPr>
          <w:b/>
          <w:color w:val="000000"/>
        </w:rPr>
        <w:t>April 1996 – April 2005</w:t>
      </w:r>
      <w:r w:rsidRPr="00B9425C">
        <w:rPr>
          <w:b/>
          <w:color w:val="000000"/>
        </w:rPr>
        <w:cr/>
        <w:t>Sr. Database Consultant</w:t>
      </w:r>
      <w:r w:rsidRPr="00B9425C">
        <w:rPr>
          <w:b/>
          <w:color w:val="000000"/>
        </w:rPr>
        <w:cr/>
      </w:r>
      <w:r w:rsidRPr="00B9425C">
        <w:rPr>
          <w:color w:val="000000"/>
        </w:rPr>
        <w:t xml:space="preserve">Senior Technical Member of the Consulting firm providing technical solution and assistance to startups and established companies in their Information Technology related projects in US and New Zealand. </w:t>
      </w:r>
      <w:r w:rsidRPr="00B9425C">
        <w:rPr>
          <w:color w:val="000000"/>
        </w:rPr>
        <w:cr/>
        <w:t>Associated with their following Client projects:</w:t>
      </w:r>
      <w:r w:rsidRPr="00B9425C">
        <w:rPr>
          <w:color w:val="000000"/>
        </w:rPr>
        <w:cr/>
      </w:r>
      <w:r w:rsidRPr="00B9425C">
        <w:rPr>
          <w:color w:val="000000"/>
        </w:rPr>
        <w:cr/>
      </w:r>
      <w:r w:rsidRPr="00B9425C">
        <w:rPr>
          <w:b/>
          <w:color w:val="000000"/>
        </w:rPr>
        <w:t xml:space="preserve">NetSuite, CA  </w:t>
      </w:r>
      <w:r w:rsidRPr="00B9425C">
        <w:rPr>
          <w:b/>
          <w:color w:val="000000"/>
        </w:rPr>
        <w:cr/>
      </w:r>
      <w:r w:rsidRPr="00B9425C">
        <w:rPr>
          <w:color w:val="000000"/>
        </w:rPr>
        <w:t xml:space="preserve">Assisting in Capacity Planning, establishing DR site, Production Support monitoring and QA for more than 100 large volume/transaction databases on Linux, Netapp and SAN. Data warehouse design, support and database Upgrades from 9i to 10g. Configure and implement 10g Standby Database. Setup and test 10g RAC environment, OEM, RMAN, </w:t>
      </w:r>
      <w:proofErr w:type="spellStart"/>
      <w:r w:rsidRPr="00B9425C">
        <w:rPr>
          <w:color w:val="000000"/>
        </w:rPr>
        <w:t>FlashBack</w:t>
      </w:r>
      <w:proofErr w:type="spellEnd"/>
      <w:r w:rsidRPr="00B9425C">
        <w:rPr>
          <w:color w:val="000000"/>
        </w:rPr>
        <w:t xml:space="preserve"> tools on 10g. Also used Shareplex for replication. Support Development and QA teams via DB refresh and code tuning.  </w:t>
      </w:r>
      <w:r w:rsidRPr="00B9425C">
        <w:rPr>
          <w:color w:val="000000"/>
        </w:rPr>
        <w:cr/>
      </w:r>
      <w:r w:rsidRPr="00B9425C">
        <w:rPr>
          <w:color w:val="000000"/>
        </w:rPr>
        <w:cr/>
      </w:r>
      <w:r w:rsidRPr="00B9425C">
        <w:rPr>
          <w:b/>
          <w:color w:val="000000"/>
        </w:rPr>
        <w:t xml:space="preserve">Air New Zealand, Auckland, NZ </w:t>
      </w:r>
      <w:r w:rsidRPr="00B9425C">
        <w:rPr>
          <w:b/>
          <w:color w:val="000000"/>
        </w:rPr>
        <w:cr/>
      </w:r>
      <w:r w:rsidRPr="00B9425C">
        <w:rPr>
          <w:color w:val="000000"/>
        </w:rPr>
        <w:t>At Air NZ, supporting more than 35 Production and 75 other related Test, Dev and QA databases, along with a team of Oracle DBA’s. Using Patrol, TS-Reorg tools to monitor and tune databases. Applications included SAP/R3. Monitoring day to day production issues and supporting Development and Test teams on Oracle 8i Parallel server.</w:t>
      </w:r>
      <w:r w:rsidRPr="00B9425C">
        <w:rPr>
          <w:color w:val="000000"/>
        </w:rPr>
        <w:cr/>
      </w:r>
      <w:r w:rsidRPr="00B9425C">
        <w:rPr>
          <w:color w:val="000000"/>
        </w:rPr>
        <w:cr/>
      </w:r>
      <w:r w:rsidRPr="00B9425C">
        <w:rPr>
          <w:b/>
          <w:color w:val="000000"/>
        </w:rPr>
        <w:t>LookSmart</w:t>
      </w:r>
      <w:r w:rsidRPr="00B9425C">
        <w:rPr>
          <w:color w:val="000000"/>
        </w:rPr>
        <w:t xml:space="preserve">, Installation and configuration of Oracle, implementations of Accipiter package. Performance tuning web based Ad server applications for e-commerce site. Support the Production, Development and SQA teams by providing technical assistance and trouble shooting. Redesigned and implemented the backend server database and Warehouse using Erwin tools and Oracle 8i. </w:t>
      </w:r>
      <w:r w:rsidRPr="00B9425C">
        <w:rPr>
          <w:b/>
          <w:color w:val="000000"/>
        </w:rPr>
        <w:cr/>
      </w:r>
      <w:r w:rsidRPr="00B9425C">
        <w:rPr>
          <w:color w:val="000000"/>
        </w:rPr>
        <w:cr/>
      </w:r>
    </w:p>
    <w:p w:rsidR="00B9425C" w:rsidRDefault="00B9425C" w:rsidP="00B9425C">
      <w:pPr>
        <w:jc w:val="both"/>
        <w:rPr>
          <w:color w:val="000000"/>
        </w:rPr>
      </w:pPr>
    </w:p>
    <w:p w:rsidR="00B9425C" w:rsidRDefault="00B9425C" w:rsidP="00B9425C">
      <w:pPr>
        <w:jc w:val="both"/>
        <w:rPr>
          <w:color w:val="000000"/>
        </w:rPr>
      </w:pPr>
    </w:p>
    <w:p w:rsidR="00B9425C" w:rsidRDefault="00B9425C" w:rsidP="00B9425C">
      <w:pPr>
        <w:jc w:val="both"/>
        <w:rPr>
          <w:color w:val="000000"/>
        </w:rPr>
      </w:pPr>
    </w:p>
    <w:p w:rsidR="00B9425C" w:rsidRDefault="00B9425C" w:rsidP="00B9425C">
      <w:pPr>
        <w:jc w:val="both"/>
        <w:rPr>
          <w:color w:val="000000"/>
        </w:rPr>
      </w:pPr>
    </w:p>
    <w:p w:rsidR="00B9425C" w:rsidRPr="00B9425C" w:rsidRDefault="00B9425C" w:rsidP="00B9425C">
      <w:pPr>
        <w:jc w:val="both"/>
        <w:rPr>
          <w:b/>
          <w:color w:val="000000"/>
        </w:rPr>
      </w:pPr>
      <w:r w:rsidRPr="00B9425C">
        <w:rPr>
          <w:b/>
          <w:color w:val="000000"/>
        </w:rPr>
        <w:t>Asea Brown Boveri (ABB)</w:t>
      </w:r>
      <w:r w:rsidRPr="00B9425C">
        <w:rPr>
          <w:color w:val="000000"/>
        </w:rPr>
        <w:t xml:space="preserve">, Principal Logical and Physical Database designer, Capacity Planning, establishing DR site, using Designer 2000 for the deregulation of Power Industry in California. The OLTP system is designed in TruCluster environment using Oracle Parallel Server and Replication. Also designed the Data warehousing requirements for archived data. </w:t>
      </w:r>
      <w:r w:rsidRPr="00B9425C">
        <w:rPr>
          <w:b/>
          <w:color w:val="000000"/>
        </w:rPr>
        <w:cr/>
      </w:r>
      <w:r w:rsidRPr="00B9425C">
        <w:rPr>
          <w:color w:val="000000"/>
        </w:rPr>
        <w:cr/>
      </w:r>
      <w:r w:rsidRPr="00B9425C">
        <w:rPr>
          <w:b/>
          <w:color w:val="000000"/>
        </w:rPr>
        <w:t>ITRON</w:t>
      </w:r>
      <w:r w:rsidRPr="00B9425C">
        <w:rPr>
          <w:color w:val="000000"/>
        </w:rPr>
        <w:t xml:space="preserve">, Installation, redesigning database using Designer 2000, performance analysis &amp; tuning for the multi platform ( RS/6000, DEC Alpha, SUN Sparc) environment. Online data capture of electronic meter readings for electric, gas &amp; water consumption, multi million record information per day, using Oracle Direct loads &amp; Partition Views. Establishing Backup and Recovery procedures, monitoring of the PeopleSoft and Lawson Manufacturing &amp; Financials Databases, performance tuning and creating and refreshing databases as per user requirements. </w:t>
      </w:r>
      <w:r w:rsidRPr="00B9425C">
        <w:rPr>
          <w:b/>
          <w:color w:val="000000"/>
        </w:rPr>
        <w:cr/>
      </w:r>
      <w:r w:rsidRPr="00B9425C">
        <w:rPr>
          <w:color w:val="000000"/>
        </w:rPr>
        <w:cr/>
      </w:r>
      <w:r w:rsidRPr="00B9425C">
        <w:rPr>
          <w:b/>
          <w:color w:val="000000"/>
        </w:rPr>
        <w:t>Oracle Corporation</w:t>
      </w:r>
      <w:r w:rsidRPr="00B9425C">
        <w:rPr>
          <w:color w:val="000000"/>
        </w:rPr>
        <w:t xml:space="preserve">, Consulting DBA for establishing standards and procedures in the Human Resources and Payroll development group, supporting the bimonthly Patch releases by creating and maintaining multiple instances for various stages of software development and testing. </w:t>
      </w:r>
      <w:r w:rsidRPr="00B9425C">
        <w:rPr>
          <w:b/>
          <w:color w:val="000000"/>
        </w:rPr>
        <w:cr/>
      </w:r>
      <w:r w:rsidRPr="00B9425C">
        <w:rPr>
          <w:color w:val="000000"/>
        </w:rPr>
        <w:cr/>
      </w:r>
      <w:r w:rsidRPr="00B9425C">
        <w:rPr>
          <w:b/>
          <w:color w:val="000000"/>
        </w:rPr>
        <w:t xml:space="preserve">AvniSoft, CA   </w:t>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r>
      <w:r w:rsidRPr="00B9425C">
        <w:rPr>
          <w:b/>
          <w:color w:val="000000"/>
        </w:rPr>
        <w:tab/>
        <w:t>May 1994 – March 1996</w:t>
      </w:r>
      <w:r w:rsidRPr="00B9425C">
        <w:rPr>
          <w:b/>
          <w:color w:val="000000"/>
        </w:rPr>
        <w:cr/>
      </w:r>
      <w:r w:rsidRPr="00B9425C">
        <w:rPr>
          <w:color w:val="000000"/>
        </w:rPr>
        <w:t>Senior Technical Member of the Consulting firm, providing Technical support to the following clients:</w:t>
      </w:r>
      <w:r w:rsidRPr="00B9425C">
        <w:rPr>
          <w:color w:val="000000"/>
        </w:rPr>
        <w:cr/>
      </w:r>
      <w:r w:rsidRPr="00B9425C">
        <w:rPr>
          <w:color w:val="000000"/>
        </w:rPr>
        <w:cr/>
      </w:r>
      <w:r w:rsidRPr="00B9425C">
        <w:rPr>
          <w:b/>
          <w:color w:val="000000"/>
        </w:rPr>
        <w:t>SUN</w:t>
      </w:r>
      <w:r w:rsidRPr="00B9425C">
        <w:rPr>
          <w:color w:val="000000"/>
        </w:rPr>
        <w:t xml:space="preserve">, involved with benchmarking of SAP R/3 on new Sparc Database Servers. </w:t>
      </w:r>
      <w:r w:rsidRPr="00B9425C">
        <w:rPr>
          <w:b/>
          <w:color w:val="000000"/>
        </w:rPr>
        <w:cr/>
      </w:r>
      <w:r w:rsidRPr="00B9425C">
        <w:rPr>
          <w:color w:val="000000"/>
        </w:rPr>
        <w:t xml:space="preserve">Installed SAP on Oracle and Informix databases, resolved problems and benchmarked using the SAP AG standard scripts. Coordinated with SUN Integration and SAP AG, Germany for benchmarking. </w:t>
      </w:r>
      <w:r w:rsidRPr="00B9425C">
        <w:rPr>
          <w:color w:val="000000"/>
        </w:rPr>
        <w:cr/>
      </w:r>
      <w:r w:rsidRPr="00B9425C">
        <w:rPr>
          <w:color w:val="000000"/>
        </w:rPr>
        <w:cr/>
      </w:r>
      <w:r w:rsidRPr="00B9425C">
        <w:rPr>
          <w:b/>
          <w:color w:val="000000"/>
        </w:rPr>
        <w:t>Pacific Bell</w:t>
      </w:r>
      <w:r w:rsidRPr="00B9425C">
        <w:rPr>
          <w:color w:val="000000"/>
        </w:rPr>
        <w:t>, was involved with setting of corporate-wide Oracle standards, evaluation of Database Monitoring and Backup-recovery Tools. Supporting ASOS 3-tier client-server application with Object oriented front end and Oracle database. Used Oracle CASE tools and BMC Patrol, HP9000/T500 servers.</w:t>
      </w:r>
      <w:r w:rsidRPr="00B9425C">
        <w:rPr>
          <w:b/>
          <w:color w:val="000000"/>
        </w:rPr>
        <w:cr/>
      </w:r>
      <w:r w:rsidRPr="00B9425C">
        <w:rPr>
          <w:color w:val="000000"/>
        </w:rPr>
        <w:cr/>
      </w:r>
    </w:p>
    <w:p w:rsidR="00B9425C" w:rsidRPr="00B9425C" w:rsidRDefault="00B9425C" w:rsidP="00B9425C">
      <w:pPr>
        <w:spacing w:line="340" w:lineRule="atLeast"/>
        <w:jc w:val="both"/>
        <w:rPr>
          <w:b/>
          <w:color w:val="000000"/>
        </w:rPr>
      </w:pPr>
    </w:p>
    <w:p w:rsidR="008D5C0F" w:rsidRPr="00B9425C" w:rsidRDefault="008D5C0F" w:rsidP="00067DF9"/>
    <w:sectPr w:rsidR="008D5C0F" w:rsidRPr="00B9425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41B" w:rsidRDefault="0086241B" w:rsidP="001918DB">
      <w:r>
        <w:separator/>
      </w:r>
    </w:p>
  </w:endnote>
  <w:endnote w:type="continuationSeparator" w:id="0">
    <w:p w:rsidR="0086241B" w:rsidRDefault="0086241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41B" w:rsidRDefault="0086241B" w:rsidP="001918DB">
      <w:r>
        <w:separator/>
      </w:r>
    </w:p>
  </w:footnote>
  <w:footnote w:type="continuationSeparator" w:id="0">
    <w:p w:rsidR="0086241B" w:rsidRDefault="0086241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25C" w:rsidRPr="00B9425C" w:rsidRDefault="00B9425C" w:rsidP="00B9425C">
    <w:pPr>
      <w:rPr>
        <w:b/>
        <w:color w:val="000000"/>
        <w:sz w:val="32"/>
        <w:szCs w:val="32"/>
      </w:rPr>
    </w:pPr>
    <w:r w:rsidRPr="00B9425C">
      <w:rPr>
        <w:b/>
        <w:color w:val="000000"/>
        <w:sz w:val="32"/>
        <w:szCs w:val="32"/>
      </w:rPr>
      <w:t xml:space="preserve">Vijay Koka </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C7CEA"/>
    <w:multiLevelType w:val="hybridMultilevel"/>
    <w:tmpl w:val="F49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29"/>
  </w:num>
  <w:num w:numId="4">
    <w:abstractNumId w:val="21"/>
  </w:num>
  <w:num w:numId="5">
    <w:abstractNumId w:val="17"/>
  </w:num>
  <w:num w:numId="6">
    <w:abstractNumId w:val="27"/>
  </w:num>
  <w:num w:numId="7">
    <w:abstractNumId w:val="2"/>
  </w:num>
  <w:num w:numId="8">
    <w:abstractNumId w:val="5"/>
  </w:num>
  <w:num w:numId="9">
    <w:abstractNumId w:val="34"/>
  </w:num>
  <w:num w:numId="10">
    <w:abstractNumId w:val="14"/>
  </w:num>
  <w:num w:numId="11">
    <w:abstractNumId w:val="30"/>
  </w:num>
  <w:num w:numId="12">
    <w:abstractNumId w:val="32"/>
  </w:num>
  <w:num w:numId="13">
    <w:abstractNumId w:val="23"/>
  </w:num>
  <w:num w:numId="14">
    <w:abstractNumId w:val="0"/>
  </w:num>
  <w:num w:numId="15">
    <w:abstractNumId w:val="36"/>
  </w:num>
  <w:num w:numId="16">
    <w:abstractNumId w:val="6"/>
  </w:num>
  <w:num w:numId="17">
    <w:abstractNumId w:val="26"/>
  </w:num>
  <w:num w:numId="18">
    <w:abstractNumId w:val="20"/>
  </w:num>
  <w:num w:numId="19">
    <w:abstractNumId w:val="35"/>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
  </w:num>
  <w:num w:numId="24">
    <w:abstractNumId w:val="22"/>
  </w:num>
  <w:num w:numId="25">
    <w:abstractNumId w:val="24"/>
  </w:num>
  <w:num w:numId="26">
    <w:abstractNumId w:val="15"/>
  </w:num>
  <w:num w:numId="27">
    <w:abstractNumId w:val="16"/>
  </w:num>
  <w:num w:numId="28">
    <w:abstractNumId w:val="28"/>
  </w:num>
  <w:num w:numId="29">
    <w:abstractNumId w:val="25"/>
  </w:num>
  <w:num w:numId="30">
    <w:abstractNumId w:val="3"/>
  </w:num>
  <w:num w:numId="31">
    <w:abstractNumId w:val="13"/>
  </w:num>
  <w:num w:numId="32">
    <w:abstractNumId w:val="10"/>
  </w:num>
  <w:num w:numId="33">
    <w:abstractNumId w:val="12"/>
  </w:num>
  <w:num w:numId="34">
    <w:abstractNumId w:val="8"/>
  </w:num>
  <w:num w:numId="35">
    <w:abstractNumId w:val="33"/>
  </w:num>
  <w:num w:numId="36">
    <w:abstractNumId w:val="4"/>
  </w:num>
  <w:num w:numId="37">
    <w:abstractNumId w:val="18"/>
  </w:num>
  <w:num w:numId="38">
    <w:abstractNumId w:val="3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360289"/>
    <w:rsid w:val="00362455"/>
    <w:rsid w:val="0038557F"/>
    <w:rsid w:val="004046A8"/>
    <w:rsid w:val="0043148F"/>
    <w:rsid w:val="004F1332"/>
    <w:rsid w:val="00505F87"/>
    <w:rsid w:val="00530ECF"/>
    <w:rsid w:val="005C1F56"/>
    <w:rsid w:val="005D5273"/>
    <w:rsid w:val="005E152E"/>
    <w:rsid w:val="0062545C"/>
    <w:rsid w:val="00682EDC"/>
    <w:rsid w:val="00693349"/>
    <w:rsid w:val="007C79AD"/>
    <w:rsid w:val="00852CB5"/>
    <w:rsid w:val="0086241B"/>
    <w:rsid w:val="008D087A"/>
    <w:rsid w:val="008D5C0F"/>
    <w:rsid w:val="008F29E4"/>
    <w:rsid w:val="00946919"/>
    <w:rsid w:val="00A54E19"/>
    <w:rsid w:val="00B9425C"/>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PlainText">
    <w:name w:val="Plain Text"/>
    <w:basedOn w:val="Normal"/>
    <w:link w:val="PlainTextChar"/>
    <w:uiPriority w:val="99"/>
    <w:semiHidden/>
    <w:unhideWhenUsed/>
    <w:rsid w:val="00B9425C"/>
    <w:rPr>
      <w:rFonts w:ascii="Calibri" w:eastAsia="Calibri" w:hAnsi="Calibri"/>
      <w:sz w:val="22"/>
      <w:szCs w:val="21"/>
    </w:rPr>
  </w:style>
  <w:style w:type="character" w:customStyle="1" w:styleId="PlainTextChar">
    <w:name w:val="Plain Text Char"/>
    <w:basedOn w:val="DefaultParagraphFont"/>
    <w:link w:val="PlainText"/>
    <w:uiPriority w:val="99"/>
    <w:semiHidden/>
    <w:rsid w:val="00B9425C"/>
    <w:rPr>
      <w:rFonts w:ascii="Calibri" w:eastAsia="Calibri" w:hAnsi="Calibri" w:cs="Times New Roman"/>
      <w:szCs w:val="21"/>
      <w:lang w:val="en-US"/>
    </w:rPr>
  </w:style>
  <w:style w:type="paragraph" w:styleId="ListParagraph">
    <w:name w:val="List Paragraph"/>
    <w:basedOn w:val="Normal"/>
    <w:uiPriority w:val="34"/>
    <w:qFormat/>
    <w:rsid w:val="00B94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2014-12-23T23:04:00Z</cp:lastPrinted>
  <dcterms:created xsi:type="dcterms:W3CDTF">2015-03-18T19:35:00Z</dcterms:created>
  <dcterms:modified xsi:type="dcterms:W3CDTF">2015-03-18T19:35:00Z</dcterms:modified>
</cp:coreProperties>
</file>