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w:p>
      <w:pPr>
        <w:spacing w:after="0"/>
        <w:ind w:left="0"/>
        <w:jc w:val="center"/>
      </w:pPr>
      <w:r>
        <w:rPr>
          <w:rFonts w:ascii="Times New Roman"/>
          <w:b/>
          <w:i w:val="false"/>
          <w:color w:val="000000"/>
          <w:sz w:val="27"/>
        </w:rPr>
        <w:t>Numaligarh Refinery Limited</w:t>
      </w:r>
    </w:p>
    <w:p>
      <w:pPr>
        <w:spacing w:after="0"/>
        <w:ind w:left="0"/>
        <w:jc w:val="center"/>
      </w:pPr>
      <w:r>
        <w:rPr>
          <w:rFonts w:ascii="Times New Roman"/>
          <w:b/>
          <w:i w:val="false"/>
          <w:color w:val="000000"/>
          <w:sz w:val="27"/>
        </w:rPr>
        <w:t>Administrative Approval Note</w:t>
      </w:r>
    </w:p>
    <w:tbl>
      <w:tblPr>
        <w:tblW w:w="0" w:type="auto"/>
        <w:tblCellSpacing w:w="20" w:type="dxa"/>
        <w:tblInd w:w="115" w:type="dxa"/>
        <w:tblBorders>
          <w:top w:val="single" w:color="333333" w:sz="8"/>
          <w:left w:val="single" w:color="333333" w:sz="8"/>
          <w:bottom w:val="single" w:color="333333" w:sz="8"/>
          <w:right w:val="single" w:color="333333" w:sz="8"/>
          <w:insideH w:val="none"/>
          <w:insideV w:val="none"/>
        </w:tblBorders>
      </w:tblPr>
      <w:tblGrid>
        <w:gridCol w:w="4912"/>
        <w:gridCol w:w="9088"/>
      </w:tblGrid>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File No.:</w:t>
            </w:r>
            <w:r>
              <w:rPr>
                <w:rFonts w:ascii="Times New Roman"/>
                <w:b w:val="false"/>
                <w:i w:val="false"/>
                <w:color w:val="000000"/>
                <w:sz w:val="24"/>
              </w:rPr>
              <w:t xml:space="preserve">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PUR-INSPEC-1008940</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PR No.:</w:t>
            </w:r>
            <w:r>
              <w:rPr>
                <w:rFonts w:ascii="Times New Roman"/>
                <w:b w:val="false"/>
                <w:i w:val="false"/>
                <w:color w:val="000000"/>
                <w:sz w:val="24"/>
              </w:rPr>
              <w:t xml:space="preserve">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10082350</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Value (Rs): </w:t>
            </w:r>
            <w:r>
              <w:rPr>
                <w:rFonts w:ascii="Times New Roman"/>
                <w:b w:val="false"/>
                <w:i w:val="false"/>
                <w:color w:val="000000"/>
                <w:sz w:val="24"/>
              </w:rPr>
              <w:t xml:space="preserve">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₹2,03,93,684</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Category: </w:t>
            </w:r>
            <w:r>
              <w:rPr>
                <w:rFonts w:ascii="Times New Roman"/>
                <w:b w:val="false"/>
                <w:i w:val="false"/>
                <w:color w:val="000000"/>
                <w:sz w:val="24"/>
              </w:rPr>
              <w:t xml:space="preserve">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Service</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Nature of contract: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AMC /Rate Contract</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Tender Type :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Open Tender</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Name of proposal:</w:t>
            </w:r>
            <w:r>
              <w:rPr>
                <w:rFonts w:ascii="Times New Roman"/>
                <w:b w:val="false"/>
                <w:i w:val="false"/>
                <w:color w:val="000000"/>
                <w:sz w:val="24"/>
              </w:rPr>
              <w:t xml:space="preserve">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Service Assistance for upscaling of Risk Based Inspection (RBI) activities.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Justification/Reason for Procurement: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For improving reliability and asset performance implementation of GE APM software was done in HCU and current implementation/Evergreening is going on in 05 units. 
As the current manpower strength is inadequate for huge data handling requirement including ISO drawings, data compilation, uploading, testing and analysis in the GE APM software, a service contract for assistance service was lined up vide P.O. 4600009094 for 18 months. The existing service contract is being utilized for implementation jobs including important RBI calculations like Toxicity, Initial potential, Inspection confidence, Inventory, Lost Production Categories, etc and Other activities like stress table, dead legs, mixing points, injection points, and TML sketches.
Considering the implementation schedule and enormous job volume for continuation of the implementation without a failure, it is proposed to line up a service contract for assistance service.
Put up for kind consideration &amp; accord for approval please.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Urgency: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Yes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State Reasons:</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Others</w:t>
            </w:r>
          </w:p>
        </w:tc>
      </w:tr>
      <w:tr>
        <w:trPr/>
        <w:tc>
          <w:tcPr>
            <w:tcW w:w="4912" w:type="dxa"/>
            <w:tcBorders/>
            <w:tcMar>
              <w:top w:w="45" w:type="dxa"/>
              <w:left w:w="45" w:type="dxa"/>
              <w:bottom w:w="45" w:type="dxa"/>
              <w:right w:w="45" w:type="dxa"/>
            </w:tcMar>
            <w:vAlign w:val="center"/>
          </w:tcP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 The current contract is expiring on March 31, 2025 in the middle of implementation under the guidance of M/s GE Vernova. Along with implementation, software upgradation tis also taken up currently requiring huge data migration, corrections and re-arrangements. Major activities that require continuance of the Assistance services are RBI Risk Review, Risk finalization, and Inspection Planning for all the units, Evergreening of  HCU, Huge data migration  due to change in asset hierarchy structure, TML sketch preparation of all units, previous inspection history migration and Policy design for IOW. All critical implementation activities shall be incomplete if an immediate service contract is not placed in time and the consultancy service of GE Vernova will expire if the activities are not completed.</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PQC for Open tenders: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The bidder must possess prior experience of providing RBI implementation support services to Hydrocarbon Refineries or Petrochemical Industries. Copy of at least one Purchase order of delivering support services to Hydrocarbon Refining or Petrochemical Industries during RBI implementation activities along with work completion certificate issued by the client in the bidder’s name in the last 05 years to be submitted along with the un-priced bid.    2. As the job is highly specialized in nature involving high potential risks and safety of equipment in a high-risk plant, like Crude Distillation Unit/Vacuum Distillation Unit, Diesel Hydrotreater Unit, Hydrogen Generation Unit, etc and hence, relaxation to MSME and Start-up shall not be applicable for this contract.</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WBS:</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NA</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Cost Center:</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12302</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Internal Order:</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NA</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Type of budget:</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Revenue</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Basis of estimate:</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Previous Purchase Order 4600009094 dated 03.04.2023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Previous Order: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4600009094 dated 03.04.2023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Payment Terms: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Payment shall be made through RA bills against Measurement Sheets/Bills/Invoices  for providing competent and experienced Integrity Engineers and Data Loading support staffs as per terms in the contract.</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Contract Closing is Required: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Yes</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PR Monitored by  Maint. Planning:</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No</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Additional remarks, if any:</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1. The current manpower strength is inadequate for the huge data handling requirement.
2. All critical implementation activities shall be incomplete at the time of expiry of the current contract.
3. Consultancy service of GE Vernova will expire if the service is not lined up in time.
4. 80% of Evergreening activities in HCU will not be assisted by GE Vernova and NRL has to work on the enormous data handling activities on its own.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Engineer-In-Charge: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DGM (Inspection)</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Approving authority: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Gojen Doley</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Department:</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Inspection (P&amp;PM, DM)</w:t>
            </w:r>
          </w:p>
        </w:tc>
      </w:tr>
    </w:tbl>
    <w:p>
      <w:pPr>
        <w:spacing w:after="0"/>
        <w:ind w:left="0"/>
        <w:jc w:val="left"/>
      </w:pPr>
      <w:r>
        <w:br/>
      </w:r>
    </w:p>
    <w:tbl>
      <w:tblPr>
        <w:tblW w:w="0" w:type="auto"/>
        <w:tblCellSpacing w:w="20" w:type="dxa"/>
        <w:tblInd w:w="115" w:type="dxa"/>
        <w:tblBorders>
          <w:top w:val="single" w:color="333333" w:sz="8"/>
          <w:left w:val="single" w:color="333333" w:sz="8"/>
          <w:bottom w:val="single" w:color="333333" w:sz="8"/>
          <w:right w:val="single" w:color="333333" w:sz="8"/>
          <w:insideH w:val="none"/>
          <w:insideV w:val="none"/>
        </w:tblBorders>
      </w:tblPr>
      <w:tblGrid>
        <w:gridCol w:w="312"/>
        <w:gridCol w:w="4204"/>
        <w:gridCol w:w="9484"/>
      </w:tblGrid>
      <w:tr>
        <w:trPr>
          <w:trHeight w:val="30" w:hRule="atLeast"/>
        </w:trPr>
        <w:tc>
          <w:tcPr>
            <w:tcW w:w="312" w:type="dxa"/>
            <w:tcBorders/>
            <w:tcMar>
              <w:top w:w="15" w:type="dxa"/>
              <w:left w:w="15" w:type="dxa"/>
              <w:bottom w:w="15" w:type="dxa"/>
              <w:right w:w="15" w:type="dxa"/>
            </w:tcMar>
            <w:vAlign w:val="center"/>
          </w:tcPr>
          <w:p>
            <w:pPr>
              <w:spacing w:after="0"/>
              <w:ind w:left="0"/>
              <w:jc w:val="left"/>
            </w:pPr>
            <w:r>
              <w:rPr>
                <w:rFonts w:ascii="Times New Roman"/>
                <w:b/>
                <w:i w:val="false"/>
                <w:color w:val="000000"/>
                <w:sz w:val="30"/>
              </w:rPr>
              <w:t>✓</w:t>
            </w:r>
            <w:r>
              <w:rPr>
                <w:rFonts w:ascii="Times New Roman"/>
                <w:b/>
                <w:i w:val="false"/>
                <w:color w:val="000000"/>
                <w:sz w:val="24"/>
              </w:rPr>
              <w:t>A</w:t>
            </w:r>
          </w:p>
        </w:tc>
        <w:tc>
          <w:tcPr>
            <w:tcW w:w="4204"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Approval for functional head:</w:t>
            </w:r>
          </w:p>
        </w:tc>
        <w:tc>
          <w:tcPr>
            <w:tcW w:w="9484"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(Option will appear on selection)</w:t>
            </w:r>
          </w:p>
        </w:tc>
      </w:tr>
      <w:tr>
        <w:trPr/>
        <w:tc>
          <w:tcPr>
            <w:tcW w:w="312" w:type="dxa"/>
            <w:tcBorders/>
            <w:tcMar>
              <w:top w:w="45" w:type="dxa"/>
              <w:left w:w="45" w:type="dxa"/>
              <w:bottom w:w="45" w:type="dxa"/>
              <w:right w:w="45" w:type="dxa"/>
            </w:tcMar>
            <w:vAlign w:val="center"/>
          </w:tcPr>
          <w:p/>
        </w:tc>
        <w:tc>
          <w:tcPr>
            <w:tcW w:w="4204" w:type="dxa"/>
            <w:tcBorders/>
            <w:tcMar>
              <w:top w:w="45" w:type="dxa"/>
              <w:left w:w="45" w:type="dxa"/>
              <w:bottom w:w="45" w:type="dxa"/>
              <w:right w:w="45" w:type="dxa"/>
            </w:tcMar>
            <w:vAlign w:val="center"/>
          </w:tcPr>
          <w:p>
            <w:pPr>
              <w:spacing w:after="0"/>
              <w:ind w:left="0"/>
              <w:jc w:val="left"/>
            </w:pPr>
            <w:r>
              <w:rPr>
                <w:rFonts w:ascii="Times New Roman"/>
                <w:b/>
                <w:i w:val="false"/>
                <w:color w:val="000000"/>
                <w:sz w:val="30"/>
              </w:rPr>
              <w:t>✓</w:t>
            </w:r>
            <w:r>
              <w:rPr>
                <w:rFonts w:ascii="Times New Roman"/>
                <w:b/>
                <w:i w:val="false"/>
                <w:color w:val="000000"/>
                <w:sz w:val="24"/>
              </w:rPr>
              <w:t>1.</w:t>
            </w:r>
            <w:r>
              <w:rPr>
                <w:rFonts w:ascii="Times New Roman"/>
                <w:b w:val="false"/>
                <w:i w:val="false"/>
                <w:color w:val="000000"/>
                <w:sz w:val="24"/>
              </w:rPr>
              <w:t xml:space="preserve"> Waiver of PTR relaxation  for MSE / START UP</w:t>
            </w:r>
          </w:p>
        </w:tc>
        <w:tc>
          <w:tcPr>
            <w:tcW w:w="9484"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Compulsory PTR</w:t>
            </w:r>
          </w:p>
        </w:tc>
      </w:tr>
      <w:tr>
        <w:trPr/>
        <w:tc>
          <w:tcPr>
            <w:tcW w:w="312" w:type="dxa"/>
            <w:tcBorders/>
            <w:tcMar>
              <w:top w:w="45" w:type="dxa"/>
              <w:left w:w="45" w:type="dxa"/>
              <w:bottom w:w="45" w:type="dxa"/>
              <w:right w:w="45" w:type="dxa"/>
            </w:tcMar>
            <w:vAlign w:val="center"/>
          </w:tcPr>
          <w:p/>
        </w:tc>
        <w:tc>
          <w:tcPr>
            <w:tcW w:w="4204"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Reason (Compulsory PTR/ Partial PTR):</w:t>
            </w:r>
            <w:r>
              <w:rPr>
                <w:rFonts w:ascii="Times New Roman"/>
                <w:b w:val="false"/>
                <w:i w:val="false"/>
                <w:color w:val="000000"/>
                <w:sz w:val="24"/>
              </w:rPr>
              <w:t xml:space="preserve"> </w:t>
            </w:r>
          </w:p>
        </w:tc>
        <w:tc>
          <w:tcPr>
            <w:tcW w:w="9484"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As the job is highly specialized in nature involving high potential risks and safety of equipment in a high pressure plants like Hydrocracker Unit, DHDT, CDU/VDU, H2U, MSP and hence, MSME and Startup clause for relaxation of qualification criteria is proposed  to be waived for this contract.</w:t>
            </w:r>
          </w:p>
        </w:tc>
      </w:tr>
    </w:tbl>
    <w:tbl>
      <w:tblPr>
        <w:tblW w:w="0" w:type="auto"/>
        <w:tblCellSpacing w:w="20" w:type="dxa"/>
        <w:tblInd w:w="115" w:type="dxa"/>
        <w:tblBorders>
          <w:top w:val="single" w:color="333333" w:sz="8"/>
          <w:left w:val="single" w:color="333333" w:sz="8"/>
          <w:bottom w:val="single" w:color="333333" w:sz="8"/>
          <w:right w:val="single" w:color="333333" w:sz="8"/>
          <w:insideH w:val="none"/>
          <w:insideV w:val="none"/>
        </w:tblBorders>
      </w:tblPr>
      <w:tblGrid>
        <w:gridCol w:w="4912"/>
        <w:gridCol w:w="9088"/>
      </w:tblGrid>
      <w:tr>
        <w:trPr>
          <w:trHeight w:val="30" w:hRule="atLeast"/>
        </w:trPr>
        <w:tc>
          <w:tcPr>
            <w:tcW w:w="4912" w:type="dxa"/>
            <w:tcBorders/>
            <w:tcMar>
              <w:top w:w="15" w:type="dxa"/>
              <w:left w:w="15" w:type="dxa"/>
              <w:bottom w:w="15" w:type="dxa"/>
              <w:right w:w="15" w:type="dxa"/>
            </w:tcMar>
            <w:vAlign w:val="center"/>
          </w:tcPr>
          <w:p>
            <w:pPr>
              <w:spacing w:after="0"/>
              <w:ind w:left="0"/>
              <w:jc w:val="left"/>
            </w:pPr>
            <w:r>
              <w:rPr>
                <w:rFonts w:ascii="Times New Roman"/>
                <w:b/>
                <w:i w:val="false"/>
                <w:color w:val="000000"/>
                <w:sz w:val="27"/>
                <w:u w:val="single"/>
              </w:rPr>
              <w:t>For SERVICE / WORKS</w:t>
            </w:r>
          </w:p>
        </w:tc>
        <w:tc>
          <w:tcPr>
            <w:tcW w:w="9088" w:type="dxa"/>
            <w:tcBorders/>
            <w:tcMar>
              <w:top w:w="45" w:type="dxa"/>
              <w:left w:w="45" w:type="dxa"/>
              <w:bottom w:w="45" w:type="dxa"/>
              <w:right w:w="45" w:type="dxa"/>
            </w:tcMar>
            <w:vAlign w:val="center"/>
          </w:tcP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Contract period:</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24 Months (Contractual validity of price from date of PO)</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Contract duration:</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18 Months (Period of completion from site handover)</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Defect liability period:</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12 Months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Labour Component(%):</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0.6 (Applicable only for AMC jobs where wage revision is applicable)</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Security Deposit Applicable:</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Yes</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(Reason)</w:t>
            </w:r>
          </w:p>
        </w:tc>
        <w:tc>
          <w:tcPr>
            <w:tcW w:w="9088" w:type="dxa"/>
            <w:tcBorders/>
            <w:tcMar>
              <w:top w:w="45" w:type="dxa"/>
              <w:left w:w="45" w:type="dxa"/>
              <w:bottom w:w="45" w:type="dxa"/>
              <w:right w:w="45" w:type="dxa"/>
            </w:tcMar>
            <w:vAlign w:val="center"/>
          </w:tcP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Power /Water is free:</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Yes</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 NRL will issue material:</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Yes , SCC contains all details (list of items, free/chargeable , rate , quantity, etc)</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(Please read NRL GCC before framing SCC instructions to commercial may be mentioned in "additional remarks, if any" )</w:t>
            </w:r>
          </w:p>
        </w:tc>
        <w:tc>
          <w:tcPr>
            <w:tcW w:w="9088" w:type="dxa"/>
            <w:tcBorders/>
            <w:tcMar>
              <w:top w:w="45" w:type="dxa"/>
              <w:left w:w="45" w:type="dxa"/>
              <w:bottom w:w="45" w:type="dxa"/>
              <w:right w:w="45" w:type="dxa"/>
            </w:tcMar>
            <w:vAlign w:val="center"/>
          </w:tcPr>
          <w:p/>
        </w:tc>
      </w:tr>
      <w:tr>
        <w:trPr/>
        <w:tc>
          <w:tcPr>
            <w:tcW w:w="4912" w:type="dxa"/>
            <w:tcBorders/>
            <w:tcMar>
              <w:top w:w="45" w:type="dxa"/>
              <w:left w:w="45" w:type="dxa"/>
              <w:bottom w:w="45" w:type="dxa"/>
              <w:right w:w="45" w:type="dxa"/>
            </w:tcMar>
            <w:vAlign w:val="center"/>
          </w:tcPr>
          <w:p/>
        </w:tc>
        <w:tc>
          <w:tcPr>
            <w:tcW w:w="9088" w:type="dxa"/>
            <w:tcBorders/>
            <w:tcMar>
              <w:top w:w="45" w:type="dxa"/>
              <w:left w:w="45" w:type="dxa"/>
              <w:bottom w:w="45" w:type="dxa"/>
              <w:right w:w="45" w:type="dxa"/>
            </w:tcMar>
            <w:vAlign w:val="center"/>
          </w:tcPr>
          <w:p/>
        </w:tc>
      </w:tr>
    </w:tbl>
    <w:p>
      <w:pPr>
        <w:spacing w:after="0"/>
        <w:ind w:left="0"/>
        <w:jc w:val="left"/>
      </w:pPr>
      <w:r>
        <w:br/>
      </w:r>
    </w:p>
    <w:tbl>
      <w:tblPr>
        <w:tblW w:w="0" w:type="auto"/>
        <w:tblCellSpacing w:w="20" w:type="dxa"/>
        <w:tblInd w:w="115" w:type="dxa"/>
        <w:tblBorders>
          <w:top w:val="single" w:color="333333" w:sz="8"/>
          <w:left w:val="single" w:color="333333" w:sz="8"/>
          <w:bottom w:val="single" w:color="333333" w:sz="8"/>
          <w:right w:val="single" w:color="333333" w:sz="8"/>
          <w:insideH w:val="none"/>
          <w:insideV w:val="none"/>
        </w:tblBorders>
      </w:tblPr>
      <w:tblGrid>
        <w:gridCol w:w="4912"/>
        <w:gridCol w:w="9088"/>
      </w:tblGrid>
      <w:tr>
        <w:trPr>
          <w:trHeight w:val="30" w:hRule="atLeast"/>
        </w:trPr>
        <w:tc>
          <w:tcPr>
            <w:tcW w:w="4912" w:type="dxa"/>
            <w:tcBorders/>
            <w:tcMar>
              <w:top w:w="15" w:type="dxa"/>
              <w:left w:w="15" w:type="dxa"/>
              <w:bottom w:w="15" w:type="dxa"/>
              <w:right w:w="15" w:type="dxa"/>
            </w:tcMar>
            <w:vAlign w:val="center"/>
          </w:tcPr>
          <w:p>
            <w:pPr>
              <w:spacing w:after="0"/>
              <w:ind w:left="0"/>
              <w:jc w:val="left"/>
            </w:pPr>
            <w:r>
              <w:rPr>
                <w:rFonts w:ascii="Times New Roman"/>
                <w:b/>
                <w:i w:val="false"/>
                <w:color w:val="000000"/>
                <w:sz w:val="27"/>
                <w:u w:val="single"/>
              </w:rPr>
              <w:t>Open Tender</w:t>
            </w:r>
          </w:p>
        </w:tc>
        <w:tc>
          <w:tcPr>
            <w:tcW w:w="9088" w:type="dxa"/>
            <w:tcBorders/>
            <w:tcMar>
              <w:top w:w="45" w:type="dxa"/>
              <w:left w:w="45" w:type="dxa"/>
              <w:bottom w:w="45" w:type="dxa"/>
              <w:right w:w="45" w:type="dxa"/>
            </w:tcMar>
            <w:vAlign w:val="center"/>
          </w:tcP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Reasons if item cannot be split to multi-party:</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 xml:space="preserve">Relevant subject expertise and experience. </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Suggested / Known vendors:</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EW inspection &amp; NDT Pvt. Ltd., Quest Global, Oceaneering, BV, Arvi Encon</w:t>
            </w:r>
          </w:p>
        </w:tc>
      </w:tr>
      <w:tr>
        <w:trPr/>
        <w:tc>
          <w:tcPr>
            <w:tcW w:w="4912" w:type="dxa"/>
            <w:tcBorders/>
            <w:tcMar>
              <w:top w:w="45" w:type="dxa"/>
              <w:left w:w="45" w:type="dxa"/>
              <w:bottom w:w="45" w:type="dxa"/>
              <w:right w:w="45" w:type="dxa"/>
            </w:tcMar>
            <w:vAlign w:val="center"/>
          </w:tcPr>
          <w:p>
            <w:pPr>
              <w:spacing w:after="0"/>
              <w:ind w:left="0"/>
              <w:jc w:val="left"/>
            </w:pPr>
            <w:r>
              <w:rPr>
                <w:rFonts w:ascii="Times New Roman"/>
                <w:b/>
                <w:i w:val="false"/>
                <w:color w:val="000000"/>
                <w:sz w:val="24"/>
              </w:rPr>
              <w:t xml:space="preserve">Pre-bid meet required: </w:t>
            </w: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Yes</w:t>
            </w:r>
          </w:p>
        </w:tc>
      </w:tr>
      <w:tr>
        <w:trPr/>
        <w:tc>
          <w:tcPr>
            <w:tcW w:w="4912" w:type="dxa"/>
            <w:tcBorders/>
            <w:tcMar>
              <w:top w:w="45" w:type="dxa"/>
              <w:left w:w="45" w:type="dxa"/>
              <w:bottom w:w="45" w:type="dxa"/>
              <w:right w:w="45" w:type="dxa"/>
            </w:tcMar>
            <w:vAlign w:val="center"/>
          </w:tcPr>
          <w:p/>
        </w:tc>
        <w:tc>
          <w:tcPr>
            <w:tcW w:w="9088" w:type="dxa"/>
            <w:tcBorders/>
            <w:tcMar>
              <w:top w:w="45" w:type="dxa"/>
              <w:left w:w="45" w:type="dxa"/>
              <w:bottom w:w="45" w:type="dxa"/>
              <w:right w:w="45" w:type="dxa"/>
            </w:tcMar>
            <w:vAlign w:val="center"/>
          </w:tcPr>
          <w:p>
            <w:pPr>
              <w:spacing w:after="0"/>
              <w:ind w:left="0"/>
              <w:jc w:val="left"/>
            </w:pPr>
            <w:r>
              <w:rPr>
                <w:rFonts w:ascii="Times New Roman"/>
                <w:b w:val="false"/>
                <w:i w:val="false"/>
                <w:color w:val="000000"/>
                <w:sz w:val="24"/>
              </w:rPr>
              <w:t>Payment structure discussion.</w:t>
            </w:r>
          </w:p>
        </w:tc>
      </w:tr>
      <w:tr>
        <w:trPr/>
        <w:tc>
          <w:tcPr>
            <w:tcW w:w="4912" w:type="dxa"/>
            <w:tcBorders/>
            <w:tcMar>
              <w:top w:w="45" w:type="dxa"/>
              <w:left w:w="45" w:type="dxa"/>
              <w:bottom w:w="45" w:type="dxa"/>
              <w:right w:w="45" w:type="dxa"/>
            </w:tcMar>
            <w:vAlign w:val="center"/>
          </w:tcPr>
          <w:p/>
        </w:tc>
        <w:tc>
          <w:tcPr>
            <w:tcW w:w="9088" w:type="dxa"/>
            <w:tcBorders/>
            <w:tcMar>
              <w:top w:w="45" w:type="dxa"/>
              <w:left w:w="45" w:type="dxa"/>
              <w:bottom w:w="45" w:type="dxa"/>
              <w:right w:w="45" w:type="dxa"/>
            </w:tcMar>
            <w:vAlign w:val="center"/>
          </w:tcPr>
          <w:p/>
        </w:tc>
      </w:tr>
    </w:tbl>
    <w:p>
      <w:pPr>
        <w:spacing w:after="0"/>
        <w:ind w:left="0"/>
        <w:jc w:val="left"/>
      </w:pPr>
      <w:r>
        <w:br/>
      </w:r>
    </w:p>
    <w:tbl>
      <w:tblPr>
        <w:tblW w:w="0" w:type="auto"/>
      </w:tblPr>
      <w:tr>
        <w:tc>
          <w:p/>
          <w:p>
            <w:pPr>
              <w:jc w:val="left"/>
            </w:pPr>
            <w:r>
              <w:rPr>
                <w:b w:val="true"/>
              </w:rPr>
              <w:t xml:space="preserve">Initiated By : </w:t>
              <w:br/>
            </w:r>
            <w:r>
              <w:t xml:space="preserve">              </w:t>
              <w:br/>
            </w:r>
            <w:r>
              <w:t/>
              <w:br/>
              <w:drawing>
                <wp:inline distT="0" distR="0" distB="0" distL="0">
                  <wp:extent cx="635000" cy="635000"/>
                  <wp:docPr id="0" name="Drawing 0" descr="imgFile"/>
                  <a:graphic>
                    <a:graphicData uri="http://schemas.openxmlformats.org/drawingml/2006/picture">
                      <pic:pic>
                        <pic:nvPicPr>
                          <pic:cNvPr id="0" name="Picture 0" descr="imgFile"/>
                          <pic:cNvPicPr>
                            <a:picLocks noChangeAspect="true"/>
                          </pic:cNvPicPr>
                        </pic:nvPicPr>
                        <pic:blipFill>
                          <a:blip r:embed="rId4"/>
                          <a:stretch>
                            <a:fillRect/>
                          </a:stretch>
                        </pic:blipFill>
                        <pic:spPr>
                          <a:xfrm>
                            <a:off x="0" y="0"/>
                            <a:ext cx="635000" cy="635000"/>
                          </a:xfrm>
                          <a:prstGeom prst="rect">
                            <a:avLst/>
                          </a:prstGeom>
                        </pic:spPr>
                      </pic:pic>
                    </a:graphicData>
                  </a:graphic>
                </wp:inline>
              </w:drawing>
              <w:br/>
              <w:t>Signed By Raju Chetia,</w:t>
              <w:br/>
              <w:t>CM(INSP) On 06-Dec-2024 16:58:28</w:t>
              <w:br/>
            </w:r>
          </w:p>
        </w:tc>
        <w:tc>
          <w:p/>
        </w:tc>
        <w:tc>
          <w:p/>
        </w:tc>
      </w:tr>
    </w:tbl>
    <w:tbl>
      <w:tblPr>
        <w:tblW w:w="0" w:type="auto"/>
      </w:tblPr>
      <w:tr>
        <w:tc>
          <w:p/>
          <w:p>
            <w:pPr>
              <w:jc w:val="left"/>
            </w:pPr>
            <w:r>
              <w:rPr>
                <w:b w:val="true"/>
              </w:rPr>
              <w:t xml:space="preserve">Approved By : </w:t>
              <w:br/>
            </w:r>
            <w:r>
              <w:t xml:space="preserve">              </w:t>
              <w:br/>
            </w:r>
            <w:r>
              <w:t/>
              <w:br/>
              <w:drawing>
                <wp:inline distT="0" distR="0" distB="0" distL="0">
                  <wp:extent cx="635000" cy="635000"/>
                  <wp:docPr id="2" name="Drawing 2" descr="imgFile"/>
                  <a:graphic>
                    <a:graphicData uri="http://schemas.openxmlformats.org/drawingml/2006/picture">
                      <pic:pic>
                        <pic:nvPicPr>
                          <pic:cNvPr id="0" name="Picture 2" descr="imgFile"/>
                          <pic:cNvPicPr>
                            <a:picLocks noChangeAspect="true"/>
                          </pic:cNvPicPr>
                        </pic:nvPicPr>
                        <pic:blipFill>
                          <a:blip r:embed="rId5"/>
                          <a:stretch>
                            <a:fillRect/>
                          </a:stretch>
                        </pic:blipFill>
                        <pic:spPr>
                          <a:xfrm>
                            <a:off x="0" y="0"/>
                            <a:ext cx="635000" cy="635000"/>
                          </a:xfrm>
                          <a:prstGeom prst="rect">
                            <a:avLst/>
                          </a:prstGeom>
                        </pic:spPr>
                      </pic:pic>
                    </a:graphicData>
                  </a:graphic>
                </wp:inline>
              </w:drawing>
              <w:br/>
              <w:t>Signed By Gojen Doley,</w:t>
              <w:br/>
              <w:t>DGM(INSPECTION) On 12-Dec-2024 08:43:25</w:t>
              <w:br/>
            </w:r>
          </w:p>
        </w:tc>
        <w:tc>
          <w:p/>
          <w:p>
            <w:pPr>
              <w:jc w:val="left"/>
            </w:pPr>
            <w:r>
              <w:rPr>
                <w:b w:val="true"/>
              </w:rPr>
              <w:t xml:space="preserve">              </w:t>
              <w:br/>
            </w:r>
            <w:r>
              <w:t xml:space="preserve">              </w:t>
              <w:br/>
            </w:r>
            <w:r>
              <w:t/>
              <w:br/>
              <w:drawing>
                <wp:inline distT="0" distR="0" distB="0" distL="0">
                  <wp:extent cx="635000" cy="635000"/>
                  <wp:docPr id="4" name="Drawing 4" descr="imgFile"/>
                  <a:graphic>
                    <a:graphicData uri="http://schemas.openxmlformats.org/drawingml/2006/picture">
                      <pic:pic>
                        <pic:nvPicPr>
                          <pic:cNvPr id="0" name="Picture 4" descr="imgFile"/>
                          <pic:cNvPicPr>
                            <a:picLocks noChangeAspect="true"/>
                          </pic:cNvPicPr>
                        </pic:nvPicPr>
                        <pic:blipFill>
                          <a:blip r:embed="rId6"/>
                          <a:stretch>
                            <a:fillRect/>
                          </a:stretch>
                        </pic:blipFill>
                        <pic:spPr>
                          <a:xfrm>
                            <a:off x="0" y="0"/>
                            <a:ext cx="635000" cy="635000"/>
                          </a:xfrm>
                          <a:prstGeom prst="rect">
                            <a:avLst/>
                          </a:prstGeom>
                        </pic:spPr>
                      </pic:pic>
                    </a:graphicData>
                  </a:graphic>
                </wp:inline>
              </w:drawing>
              <w:br/>
              <w:t>Signed By Bimlesh Gupta,</w:t>
              <w:br/>
              <w:t>CGM(TS) On 14-Dec-2024 09:48:41</w:t>
              <w:br/>
            </w:r>
          </w:p>
        </w:tc>
        <w:tc>
          <w:p/>
        </w:tc>
      </w:tr>
    </w:tbl>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sl="http://schemas.openxmlformats.org/schemaLibrary/2006/main" xmlns:mc="http://schemas.openxmlformats.org/markup-compatibility/2006"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Id="rId1" Target="styles.xml" Type="http://schemas.openxmlformats.org/officeDocument/2006/relationships/styles"/>
<Relationship Id="rId2" Target="settings.xml" Type="http://schemas.openxmlformats.org/officeDocument/2006/relationships/settings"/>
<Relationship Id="rId3" Target="numbering.xml" Type="http://schemas.openxmlformats.org/officeDocument/2006/relationships/numbering"/>
<Relationship Id="rId4" Target="media/image1.png" Type="http://schemas.openxmlformats.org/officeDocument/2006/relationships/image"/>
<Relationship Id="rId5" Target="media/image2.png" Type="http://schemas.openxmlformats.org/officeDocument/2006/relationships/image"/>
<Relationship Id="rId6" Target="media/image3.png" Type="http://schemas.openxmlformats.org/officeDocument/2006/relationships/image"/>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