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HIPAA Compliance Reference &amp; Architecture Mapping</w:t>
      </w:r>
    </w:p>
    <w:p>
      <w:pPr>
        <w:spacing w:after="60"/>
      </w:pPr>
      <w:r>
        <w:rPr>
          <w:color w:val="444444"/>
          <w:sz w:val="26"/>
          <w:szCs w:val="26"/>
        </w:rPr>
        <w:t xml:space="preserve">Skilled Nursing Facility Patient Engagement App — Web &amp; Mobile</w:t>
      </w:r>
    </w:p>
    <w:p>
      <w:pPr>
        <w:spacing w:after="300"/>
      </w:pPr>
      <w:r>
        <w:rPr>
          <w:i/>
          <w:iCs/>
          <w:color w:val="666666"/>
          <w:sz w:val="20"/>
          <w:szCs w:val="20"/>
        </w:rPr>
        <w:t xml:space="preserve">Prepared for engineering &amp; product · July 16, 2026</w:t>
      </w:r>
    </w:p>
    <w:p>
      <w:pPr>
        <w:shd w:fill="FFF4E5" w:val="clear"/>
        <w:spacing w:after="240"/>
      </w:pPr>
      <w:r>
        <w:rPr>
          <w:b/>
          <w:bCs/>
        </w:rPr>
        <w:t xml:space="preserve">Not legal advice: </w:t>
      </w:r>
      <w:r>
        <w:t xml:space="preserve">This document is a technical/compliance reference for engineering and product planning. It summarizes HIPAA rules relevant to this application's architecture, with citations to their authoritative source (45 CFR Parts 160 and 164, and HHS Office for Civil Rights guidance). It does not constitute legal advice and does not replace a formal HIPAA risk analysis, Security Risk Assessment (SRA), or review by qualified healthcare/privacy counsel. Skilled nursing facilities (the covered entity) are also subject to CMS resident-rights regulations (e.g., 42 CFR §483.10) that are related but separate from HIPAA and are out of scope here.</w:t>
      </w:r>
    </w:p>
    <w:p>
      <w:pPr>
        <w:pStyle w:val="Heading1"/>
        <w:spacing w:after="160" w:before="360"/>
      </w:pPr>
      <w:r>
        <w:t xml:space="preserve">Key Terminology</w:t>
      </w:r>
    </w:p>
    <w:p>
      <w:pPr>
        <w:spacing w:after="140"/>
      </w:pPr>
      <w:r>
        <w:t xml:space="preserve">Terms used in this document that come from outside the HIPAA regulatory text itself — cited here because Section 7.1 references them as industry benchmarks, not HIPAA requirements.</w:t>
      </w:r>
    </w:p>
    <w:p>
      <w:pPr>
        <w:spacing w:after="60"/>
      </w:pPr>
      <w:r>
        <w:rPr>
          <w:b/>
          <w:bCs/>
        </w:rPr>
        <w:t xml:space="preserve">AAL (Authenticator Assurance Level)</w:t>
      </w:r>
    </w:p>
    <w:p>
      <w:pPr>
        <w:spacing w:after="140"/>
      </w:pPr>
      <w:r>
        <w:t xml:space="preserve">A tiering system defined by NIST SP 800-63B for how confident a system can be that the person authenticating is who they claim to be. It is a federal identity-management standard, not a HIPAA requirement — HIPAA does not adopt or reference AAL levels by name — but it is the benchmark most healthcare organizations cite when documenting the rationale behind session-timeout and re-authentication policies (see Section 7.1).</w:t>
      </w:r>
    </w:p>
    <w:p>
      <w:pPr>
        <w:pStyle w:val="ListParagraph"/>
        <w:numPr>
          <w:ilvl w:val="0"/>
          <w:numId w:val="2"/>
        </w:numPr>
        <w:spacing w:after="60"/>
      </w:pPr>
      <w:r>
        <w:rPr>
          <w:b/>
          <w:bCs/>
        </w:rPr>
        <w:t xml:space="preserve">AAL1: </w:t>
      </w:r>
      <w:r>
        <w:t xml:space="preserve">The lowest assurance level. Permits single-factor authentication (e.g., password only). Requires reauthentication at least every 30 days. Appropriate for lower-sensitivity access.</w:t>
      </w:r>
    </w:p>
    <w:p>
      <w:pPr>
        <w:pStyle w:val="ListParagraph"/>
        <w:numPr>
          <w:ilvl w:val="0"/>
          <w:numId w:val="2"/>
        </w:numPr>
        <w:spacing w:after="100"/>
      </w:pPr>
      <w:r>
        <w:rPr>
          <w:b/>
          <w:bCs/>
        </w:rPr>
        <w:t xml:space="preserve">AAL2: </w:t>
      </w:r>
      <w:r>
        <w:t xml:space="preserve">A higher assurance level requiring two distinct authentication factors (e.g., password plus a device-bound authenticator or MFA code) through an approved cryptographic protocol. Requires reauthentication at least every 12 hours or after 30 minutes of inactivity, whichever comes first. This is the level typically expected for systems handling sensitive personal or health data, including ePHI.</w:t>
      </w:r>
    </w:p>
    <w:p>
      <w:pPr>
        <w:spacing w:after="140"/>
      </w:pPr>
      <w:r>
        <w:t xml:space="preserve">Reference: NIST SP 800-63B, Digital Identity Guidelines — Authentication and Lifecycle Management (see Section 14 for link).</w:t>
      </w:r>
    </w:p>
    <w:p>
      <w:pPr>
        <w:pStyle w:val="Heading1"/>
        <w:spacing w:after="160" w:before="360"/>
      </w:pPr>
      <w:r>
        <w:t xml:space="preserve">1. Scope &amp; Roles</w:t>
      </w:r>
    </w:p>
    <w:p>
      <w:pPr>
        <w:spacing w:after="140"/>
      </w:pPr>
      <w:r>
        <w:t xml:space="preserve">This application is built for skilled nursing facilities (SNFs). Under HIPAA, the SNF is the Covered Entity. Your company, as the software vendor that creates, receives, maintains, or transmits protected health information (PHI) on the SNF's behalf, is a Business Associate (BA). Your infrastructure sub-processors — Amazon Web Services (Cognito, S3, and any compute/storage/logging services touching PHI) and PointClickCare (PCC), the EHR system you sync from — are each Subcontractor Business Associates or upstream Business Associates.</w:t>
      </w:r>
    </w:p>
    <w:p>
      <w:pPr>
        <w:spacing w:after="140"/>
      </w:pPr>
      <w:r>
        <w:t xml:space="preserve">Three HIPAA rules govern this system end-to-end:</w:t>
      </w:r>
    </w:p>
    <w:p>
      <w:pPr>
        <w:pStyle w:val="ListParagraph"/>
        <w:numPr>
          <w:ilvl w:val="0"/>
          <w:numId w:val="2"/>
        </w:numPr>
        <w:spacing w:after="60"/>
      </w:pPr>
      <w:r>
        <w:t xml:space="preserve">Privacy Rule (45 CFR Part 160 and Part 164, Subpart E) — governs who may see, use, or receive PHI, and under what permission.</w:t>
      </w:r>
    </w:p>
    <w:p>
      <w:pPr>
        <w:pStyle w:val="ListParagraph"/>
        <w:numPr>
          <w:ilvl w:val="0"/>
          <w:numId w:val="2"/>
        </w:numPr>
        <w:spacing w:after="60"/>
      </w:pPr>
      <w:r>
        <w:t xml:space="preserve">Security Rule (45 CFR Part 160 and Part 164, Subpart C) — governs the administrative, physical, and technical safeguards protecting electronic PHI (ePHI).</w:t>
      </w:r>
    </w:p>
    <w:p>
      <w:pPr>
        <w:pStyle w:val="ListParagraph"/>
        <w:numPr>
          <w:ilvl w:val="0"/>
          <w:numId w:val="2"/>
        </w:numPr>
        <w:spacing w:after="60"/>
      </w:pPr>
      <w:r>
        <w:t xml:space="preserve">Breach Notification Rule (45 CFR Part 164, Subpart D, §§164.400–414) — governs what happens, and who must be told, if PHI is exposed.</w:t>
      </w:r>
    </w:p>
    <w:p>
      <w:pPr>
        <w:spacing w:after="140"/>
      </w:pPr>
      <w:r>
        <w:t xml:space="preserve">A fourth area — Business Associate Agreements — is procedural rather than technical, but it is the legal precondition that makes everything else enforceable, so it is covered in Section 8.</w:t>
      </w:r>
    </w:p>
    <w:p>
      <w:pPr>
        <w:pStyle w:val="Heading1"/>
        <w:spacing w:after="160" w:before="360"/>
      </w:pPr>
      <w:r>
        <w:t xml:space="preserve">2. Actors &amp; Access Patterns in This App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Actor</w:t>
            </w:r>
          </w:p>
        </w:tc>
        <w:tc>
          <w:tcPr>
            <w:tcW w:type="dxa" w:w="3500"/>
            <w:shd w:fill="1F3864" w:val="clear"/>
            <w:tcMar>
              <w:top w:type="dxa" w:w="80"/>
              <w:left w:type="dxa" w:w="100"/>
              <w:bottom w:type="dxa" w:w="80"/>
              <w:right w:type="dxa" w:w="100"/>
            </w:tcMar>
            <w:vAlign w:val="center"/>
          </w:tcPr>
          <w:p>
            <w:r>
              <w:rPr>
                <w:b/>
                <w:bCs/>
                <w:color w:val="FFFFFF"/>
                <w:sz w:val="20"/>
                <w:szCs w:val="20"/>
              </w:rPr>
              <w:t xml:space="preserve">Interface</w:t>
            </w:r>
          </w:p>
        </w:tc>
        <w:tc>
          <w:tcPr>
            <w:tcW w:type="dxa" w:w="3500"/>
            <w:shd w:fill="1F3864" w:val="clear"/>
            <w:tcMar>
              <w:top w:type="dxa" w:w="80"/>
              <w:left w:type="dxa" w:w="100"/>
              <w:bottom w:type="dxa" w:w="80"/>
              <w:right w:type="dxa" w:w="100"/>
            </w:tcMar>
            <w:vAlign w:val="center"/>
          </w:tcPr>
          <w:p>
            <w:r>
              <w:rPr>
                <w:b/>
                <w:bCs/>
                <w:color w:val="FFFFFF"/>
                <w:sz w:val="20"/>
                <w:szCs w:val="20"/>
              </w:rPr>
              <w:t xml:space="preserve">PHI Access Pattern</w:t>
            </w:r>
          </w:p>
        </w:tc>
      </w:tr>
      <w:tr>
        <w:tc>
          <w:tcPr>
            <w:tcW w:type="dxa" w:w="2400"/>
            <w:tcMar>
              <w:top w:type="dxa" w:w="80"/>
              <w:left w:type="dxa" w:w="100"/>
              <w:bottom w:type="dxa" w:w="80"/>
              <w:right w:type="dxa" w:w="100"/>
            </w:tcMar>
            <w:vAlign w:val="center"/>
          </w:tcPr>
          <w:p>
            <w:r>
              <w:rPr>
                <w:sz w:val="20"/>
                <w:szCs w:val="20"/>
              </w:rPr>
              <w:t xml:space="preserve">Facility staff</w:t>
            </w:r>
          </w:p>
        </w:tc>
        <w:tc>
          <w:tcPr>
            <w:tcW w:type="dxa" w:w="3500"/>
            <w:tcMar>
              <w:top w:type="dxa" w:w="80"/>
              <w:left w:type="dxa" w:w="100"/>
              <w:bottom w:type="dxa" w:w="80"/>
              <w:right w:type="dxa" w:w="100"/>
            </w:tcMar>
            <w:vAlign w:val="center"/>
          </w:tcPr>
          <w:p>
            <w:r>
              <w:rPr>
                <w:sz w:val="20"/>
                <w:szCs w:val="20"/>
              </w:rPr>
              <w:t xml:space="preserve">Web + mobile</w:t>
            </w:r>
          </w:p>
        </w:tc>
        <w:tc>
          <w:tcPr>
            <w:tcW w:type="dxa" w:w="3500"/>
            <w:tcMar>
              <w:top w:type="dxa" w:w="80"/>
              <w:left w:type="dxa" w:w="100"/>
              <w:bottom w:type="dxa" w:w="80"/>
              <w:right w:type="dxa" w:w="100"/>
            </w:tcMar>
            <w:vAlign w:val="center"/>
          </w:tcPr>
          <w:p>
            <w:r>
              <w:rPr>
                <w:sz w:val="20"/>
                <w:szCs w:val="20"/>
              </w:rPr>
              <w:t xml:space="preserve">Broad, role-based access to residents in their facility; uploads/downloads documents; views records synced from PCC</w:t>
            </w:r>
          </w:p>
        </w:tc>
      </w:tr>
      <w:tr>
        <w:tc>
          <w:tcPr>
            <w:tcW w:type="dxa" w:w="2400"/>
            <w:tcMar>
              <w:top w:type="dxa" w:w="80"/>
              <w:left w:type="dxa" w:w="100"/>
              <w:bottom w:type="dxa" w:w="80"/>
              <w:right w:type="dxa" w:w="100"/>
            </w:tcMar>
            <w:vAlign w:val="center"/>
          </w:tcPr>
          <w:p>
            <w:r>
              <w:rPr>
                <w:sz w:val="20"/>
                <w:szCs w:val="20"/>
              </w:rPr>
              <w:t xml:space="preserve">Resident</w:t>
            </w:r>
          </w:p>
        </w:tc>
        <w:tc>
          <w:tcPr>
            <w:tcW w:type="dxa" w:w="3500"/>
            <w:tcMar>
              <w:top w:type="dxa" w:w="80"/>
              <w:left w:type="dxa" w:w="100"/>
              <w:bottom w:type="dxa" w:w="80"/>
              <w:right w:type="dxa" w:w="100"/>
            </w:tcMar>
            <w:vAlign w:val="center"/>
          </w:tcPr>
          <w:p>
            <w:r>
              <w:rPr>
                <w:sz w:val="20"/>
                <w:szCs w:val="20"/>
              </w:rPr>
              <w:t xml:space="preserve">Mobile</w:t>
            </w:r>
          </w:p>
        </w:tc>
        <w:tc>
          <w:tcPr>
            <w:tcW w:type="dxa" w:w="3500"/>
            <w:tcMar>
              <w:top w:type="dxa" w:w="80"/>
              <w:left w:type="dxa" w:w="100"/>
              <w:bottom w:type="dxa" w:w="80"/>
              <w:right w:type="dxa" w:w="100"/>
            </w:tcMar>
            <w:vAlign w:val="center"/>
          </w:tcPr>
          <w:p>
            <w:r>
              <w:rPr>
                <w:sz w:val="20"/>
                <w:szCs w:val="20"/>
              </w:rPr>
              <w:t xml:space="preserve">Access to own health information; grants/revokes consent for family sharing</w:t>
            </w:r>
          </w:p>
        </w:tc>
      </w:tr>
      <w:tr>
        <w:tc>
          <w:tcPr>
            <w:tcW w:type="dxa" w:w="2400"/>
            <w:tcMar>
              <w:top w:type="dxa" w:w="80"/>
              <w:left w:type="dxa" w:w="100"/>
              <w:bottom w:type="dxa" w:w="80"/>
              <w:right w:type="dxa" w:w="100"/>
            </w:tcMar>
            <w:vAlign w:val="center"/>
          </w:tcPr>
          <w:p>
            <w:r>
              <w:rPr>
                <w:sz w:val="20"/>
                <w:szCs w:val="20"/>
              </w:rPr>
              <w:t xml:space="preserve">Family member</w:t>
            </w:r>
          </w:p>
        </w:tc>
        <w:tc>
          <w:tcPr>
            <w:tcW w:type="dxa" w:w="3500"/>
            <w:tcMar>
              <w:top w:type="dxa" w:w="80"/>
              <w:left w:type="dxa" w:w="100"/>
              <w:bottom w:type="dxa" w:w="80"/>
              <w:right w:type="dxa" w:w="100"/>
            </w:tcMar>
            <w:vAlign w:val="center"/>
          </w:tcPr>
          <w:p>
            <w:r>
              <w:rPr>
                <w:sz w:val="20"/>
                <w:szCs w:val="20"/>
              </w:rPr>
              <w:t xml:space="preserve">Mobile</w:t>
            </w:r>
          </w:p>
        </w:tc>
        <w:tc>
          <w:tcPr>
            <w:tcW w:type="dxa" w:w="3500"/>
            <w:tcMar>
              <w:top w:type="dxa" w:w="80"/>
              <w:left w:type="dxa" w:w="100"/>
              <w:bottom w:type="dxa" w:w="80"/>
              <w:right w:type="dxa" w:w="100"/>
            </w:tcMar>
            <w:vAlign w:val="center"/>
          </w:tcPr>
          <w:p>
            <w:r>
              <w:rPr>
                <w:sz w:val="20"/>
                <w:szCs w:val="20"/>
              </w:rPr>
              <w:t xml:space="preserve">Access only to the specific resident(s) and data categories the resident (or personal representative) has consented to share</w:t>
            </w:r>
          </w:p>
        </w:tc>
      </w:tr>
    </w:tbl>
    <w:p>
      <w:pPr>
        <w:spacing w:after="140"/>
      </w:pPr>
      <w:r>
        <w:t xml:space="preserve"/>
      </w:r>
    </w:p>
    <w:p>
      <w:pPr>
        <w:pStyle w:val="Heading2"/>
        <w:spacing w:after="120" w:before="280"/>
      </w:pPr>
      <w:r>
        <w:t xml:space="preserve">3. Minimum Necessary Standard</w:t>
      </w:r>
    </w:p>
    <w:p>
      <w:pPr>
        <w:spacing w:after="100"/>
      </w:pPr>
      <w:r>
        <w:rPr>
          <w:b/>
          <w:bCs/>
          <w:color w:val="1F3864"/>
          <w:sz w:val="20"/>
          <w:szCs w:val="20"/>
        </w:rPr>
        <w:t xml:space="preserve">45 CFR §164.502(b); §164.514(d)</w:t>
      </w:r>
    </w:p>
    <w:p>
      <w:pPr>
        <w:spacing w:after="140"/>
      </w:pPr>
      <w:r>
        <w:t xml:space="preserve">Covered entities and business associates must limit PHI use, disclosure, and requests to the minimum necessary to accomplish the intended purpose. This is the legal basis for role-based access control.</w:t>
      </w:r>
    </w:p>
    <w:p>
      <w:pPr>
        <w:spacing w:after="60"/>
      </w:pPr>
      <w:r>
        <w:rPr>
          <w:b/>
          <w:bCs/>
        </w:rPr>
        <w:t xml:space="preserve">Application to this app:</w:t>
      </w:r>
    </w:p>
    <w:p>
      <w:pPr>
        <w:pStyle w:val="ListParagraph"/>
        <w:numPr>
          <w:ilvl w:val="0"/>
          <w:numId w:val="2"/>
        </w:numPr>
        <w:spacing w:after="60"/>
      </w:pPr>
      <w:r>
        <w:t xml:space="preserve">Staff roles should be scoped (e.g., nursing vs. administrative vs. billing) so each role sees only the PHI fields it needs — not a blanket "all fields, all residents" grant.</w:t>
      </w:r>
    </w:p>
    <w:p>
      <w:pPr>
        <w:pStyle w:val="ListParagraph"/>
        <w:numPr>
          <w:ilvl w:val="0"/>
          <w:numId w:val="2"/>
        </w:numPr>
        <w:spacing w:after="60"/>
      </w:pPr>
      <w:r>
        <w:t xml:space="preserve">Family member accounts must be scoped per resident and, ideally, per data category (e.g., care plan updates vs. full chart), not given blanket access once any consent exists.</w:t>
      </w:r>
    </w:p>
    <w:p>
      <w:pPr>
        <w:pStyle w:val="ListParagraph"/>
        <w:numPr>
          <w:ilvl w:val="0"/>
          <w:numId w:val="2"/>
        </w:numPr>
        <w:spacing w:after="60"/>
      </w:pPr>
      <w:r>
        <w:t xml:space="preserve">PCC sync jobs should pull only the data fields the app actually uses, not a full chart mirror, to avoid over-retention of unnecessary PHI in your own S3/DB.</w:t>
      </w:r>
    </w:p>
    <w:p>
      <w:pPr>
        <w:spacing w:after="160"/>
      </w:pPr>
      <w:r>
        <w:rPr>
          <w:b/>
          <w:bCs/>
          <w:color w:val="B45F06"/>
        </w:rPr>
        <w:t xml:space="preserve">Action needed: </w:t>
      </w:r>
      <w:r>
        <w:t xml:space="preserve">Confirm Cognito user groups / custom attributes map to a documented minimum-necessary role matrix, and that family-facing APIs filter by consented data category, not just by resident ID.</w:t>
      </w:r>
    </w:p>
    <w:p>
      <w:pPr>
        <w:pStyle w:val="Heading2"/>
        <w:spacing w:after="120" w:before="280"/>
      </w:pPr>
      <w:r>
        <w:t xml:space="preserve">4. Personal Representatives &amp; Family/Caregiver Disclosures</w:t>
      </w:r>
    </w:p>
    <w:p>
      <w:pPr>
        <w:spacing w:after="100"/>
      </w:pPr>
      <w:r>
        <w:rPr>
          <w:b/>
          <w:bCs/>
          <w:color w:val="1F3864"/>
          <w:sz w:val="20"/>
          <w:szCs w:val="20"/>
        </w:rPr>
        <w:t xml:space="preserve">45 CFR §164.502(g); §164.510(b)</w:t>
      </w:r>
    </w:p>
    <w:p>
      <w:pPr>
        <w:spacing w:after="140"/>
      </w:pPr>
      <w:r>
        <w:t xml:space="preserve">§164.502(g) requires that a resident's legally authorized personal representative (e.g., healthcare power of attorney or court-appointed guardian, per state law) be treated as the resident for PHI access purposes. Separately, §164.510(b) permits — but does not require — disclosure to family members or others involved in care, limited to information relevant to that person's involvement, as long as the resident does not object (or, if the resident lacks capacity, the facility uses professional judgment that it is in the resident's best interest).</w:t>
      </w:r>
    </w:p>
    <w:p>
      <w:pPr>
        <w:spacing w:after="60"/>
      </w:pPr>
      <w:r>
        <w:rPr>
          <w:b/>
          <w:bCs/>
        </w:rPr>
        <w:t xml:space="preserve">Application to this app:</w:t>
      </w:r>
    </w:p>
    <w:p>
      <w:pPr>
        <w:pStyle w:val="ListParagraph"/>
        <w:numPr>
          <w:ilvl w:val="0"/>
          <w:numId w:val="2"/>
        </w:numPr>
        <w:spacing w:after="60"/>
      </w:pPr>
      <w:r>
        <w:t xml:space="preserve">These are two distinct legal bases and your consent model should not conflate them: (1) a personal representative with state-law decision-making authority effectively steps into the resident's shoes, vs. (2) a family member the resident has simply agreed to share information with, whose access is narrower and revocable at will.</w:t>
      </w:r>
    </w:p>
    <w:p>
      <w:pPr>
        <w:pStyle w:val="ListParagraph"/>
        <w:numPr>
          <w:ilvl w:val="0"/>
          <w:numId w:val="2"/>
        </w:numPr>
        <w:spacing w:after="60"/>
      </w:pPr>
      <w:r>
        <w:t xml:space="preserve">Capture, for every family-member grant: who granted it (resident or personal representative), the scope of data covered, the date, and that it is revocable.</w:t>
      </w:r>
    </w:p>
    <w:p>
      <w:pPr>
        <w:pStyle w:val="ListParagraph"/>
        <w:numPr>
          <w:ilvl w:val="0"/>
          <w:numId w:val="2"/>
        </w:numPr>
        <w:spacing w:after="60"/>
      </w:pPr>
      <w:r>
        <w:t xml:space="preserve">If a resident lacks capacity to consent (e.g., advanced dementia), the facility — not the app — makes the best-interest determination under §164.510(b); the app should support recording who made that determination and when, rather than auto-granting access.</w:t>
      </w:r>
    </w:p>
    <w:p>
      <w:pPr>
        <w:pStyle w:val="ListParagraph"/>
        <w:numPr>
          <w:ilvl w:val="0"/>
          <w:numId w:val="2"/>
        </w:numPr>
        <w:spacing w:after="60"/>
      </w:pPr>
      <w:r>
        <w:t xml:space="preserve">Support immediate revocation: when a resident or personal representative revokes consent, family access must be cut off without delay across both web and mobile.</w:t>
      </w:r>
    </w:p>
    <w:p>
      <w:pPr>
        <w:spacing w:after="160"/>
      </w:pPr>
      <w:r>
        <w:rPr>
          <w:b/>
          <w:bCs/>
          <w:color w:val="B45F06"/>
        </w:rPr>
        <w:t xml:space="preserve">Action needed: </w:t>
      </w:r>
      <w:r>
        <w:t xml:space="preserve">Confirm the consent capture flow distinguishes personal-representative status from simple family consent, is timestamped/auditable, and revocation is enforced in real time (not on a batch/cache delay).</w:t>
      </w:r>
    </w:p>
    <w:p>
      <w:pPr>
        <w:pStyle w:val="Heading2"/>
        <w:spacing w:after="120" w:before="280"/>
      </w:pPr>
      <w:r>
        <w:t xml:space="preserve">5. Right of Access &amp; Accounting of Disclosures</w:t>
      </w:r>
    </w:p>
    <w:p>
      <w:pPr>
        <w:spacing w:after="100"/>
      </w:pPr>
      <w:r>
        <w:rPr>
          <w:b/>
          <w:bCs/>
          <w:color w:val="1F3864"/>
          <w:sz w:val="20"/>
          <w:szCs w:val="20"/>
        </w:rPr>
        <w:t xml:space="preserve">45 CFR §164.524; §164.528</w:t>
      </w:r>
    </w:p>
    <w:p>
      <w:pPr>
        <w:spacing w:after="140"/>
      </w:pPr>
      <w:r>
        <w:t xml:space="preserve">Individuals (or their personal representative) have a right to inspect and obtain a copy of their PHI, generally within 30 days of request (§164.524). Separately, individuals can request an accounting of certain disclosures made of their PHI in the prior six years (§164.528).</w:t>
      </w:r>
    </w:p>
    <w:p>
      <w:pPr>
        <w:spacing w:after="60"/>
      </w:pPr>
      <w:r>
        <w:rPr>
          <w:b/>
          <w:bCs/>
        </w:rPr>
        <w:t xml:space="preserve">Application to this app:</w:t>
      </w:r>
    </w:p>
    <w:p>
      <w:pPr>
        <w:pStyle w:val="ListParagraph"/>
        <w:numPr>
          <w:ilvl w:val="0"/>
          <w:numId w:val="2"/>
        </w:numPr>
        <w:spacing w:after="60"/>
      </w:pPr>
      <w:r>
        <w:t xml:space="preserve">If residents/personal representatives use the app to view or export their own records, the app is directly fulfilling part of the access right — the SNF should still have a documented backstop process for requests the app cannot satisfy (e.g., data not yet synced from PCC).</w:t>
      </w:r>
    </w:p>
    <w:p>
      <w:pPr>
        <w:pStyle w:val="ListParagraph"/>
        <w:numPr>
          <w:ilvl w:val="0"/>
          <w:numId w:val="2"/>
        </w:numPr>
        <w:spacing w:after="60"/>
      </w:pPr>
      <w:r>
        <w:t xml:space="preserve">Disclosures to family members under §164.510(b) are generally exempt from the accounting-of-disclosures requirement, but access grants and revocations should still be logged for your own audit-control obligations under the Security Rule (Section 7).</w:t>
      </w:r>
    </w:p>
    <w:p>
      <w:pPr>
        <w:spacing w:after="160"/>
      </w:pPr>
      <w:r>
        <w:rPr>
          <w:b/>
          <w:bCs/>
          <w:color w:val="2E7D32"/>
        </w:rPr>
        <w:t xml:space="preserve">Status: </w:t>
      </w:r>
      <w:r>
        <w:t xml:space="preserve">Lower urgency — primarily a process question for the SNF (covered entity), with the app providing supporting audit logs on request.</w:t>
      </w:r>
    </w:p>
    <w:p>
      <w:pPr>
        <w:pStyle w:val="Heading2"/>
        <w:spacing w:after="120" w:before="280"/>
      </w:pPr>
      <w:r>
        <w:t xml:space="preserve">6. Notice of Privacy Practices</w:t>
      </w:r>
    </w:p>
    <w:p>
      <w:pPr>
        <w:spacing w:after="100"/>
      </w:pPr>
      <w:r>
        <w:rPr>
          <w:b/>
          <w:bCs/>
          <w:color w:val="1F3864"/>
          <w:sz w:val="20"/>
          <w:szCs w:val="20"/>
        </w:rPr>
        <w:t xml:space="preserve">45 CFR §164.520</w:t>
      </w:r>
    </w:p>
    <w:p>
      <w:pPr>
        <w:spacing w:after="140"/>
      </w:pPr>
      <w:r>
        <w:t xml:space="preserve">Covered entities must provide individuals a Notice of Privacy Practices describing how PHI is used and disclosed and the individual's rights.</w:t>
      </w:r>
    </w:p>
    <w:p>
      <w:pPr>
        <w:spacing w:after="60"/>
      </w:pPr>
      <w:r>
        <w:rPr>
          <w:b/>
          <w:bCs/>
        </w:rPr>
        <w:t xml:space="preserve">Application to this app:</w:t>
      </w:r>
    </w:p>
    <w:p>
      <w:pPr>
        <w:pStyle w:val="ListParagraph"/>
        <w:numPr>
          <w:ilvl w:val="0"/>
          <w:numId w:val="2"/>
        </w:numPr>
        <w:spacing w:after="60"/>
      </w:pPr>
      <w:r>
        <w:t xml:space="preserve">This is the SNF's obligation, not the app vendor's — but the app is a natural place to surface it (e.g., link/acknowledge the NPP during resident or family onboarding).</w:t>
      </w:r>
    </w:p>
    <w:p>
      <w:pPr>
        <w:spacing w:after="160"/>
      </w:pPr>
      <w:r>
        <w:rPr>
          <w:b/>
          <w:bCs/>
          <w:color w:val="2E7D32"/>
        </w:rPr>
        <w:t xml:space="preserve">Recommendation: </w:t>
      </w:r>
      <w:r>
        <w:t xml:space="preserve">Add an NPP link/acknowledgment step to resident and family onboarding flows; confirm with each facility which NPP version applies.</w:t>
      </w:r>
    </w:p>
    <w:p>
      <w:pPr>
        <w:pStyle w:val="Heading1"/>
        <w:spacing w:after="160" w:before="360"/>
      </w:pPr>
      <w:r>
        <w:t xml:space="preserve">7. Security Rule — Safeguards for Electronic PHI</w:t>
      </w:r>
    </w:p>
    <w:p>
      <w:pPr>
        <w:spacing w:after="140"/>
      </w:pPr>
      <w:r>
        <w:t xml:space="preserve">The Security Rule (45 CFR §§164.302–318) organizes protections into Administrative, Physical, and Technical safeguards. Each standard has “required” or “addressable” implementation specifications — addressable does not mean optional; it means you must implement it as written, implement an equivalent alternative, or document why it is not reasonable and appropriate for your environment.</w:t>
      </w:r>
    </w:p>
    <w:p>
      <w:pPr>
        <w:pStyle w:val="Heading2"/>
        <w:spacing w:after="120" w:before="280"/>
      </w:pPr>
      <w:r>
        <w:t xml:space="preserve">7.1 Access Control</w:t>
      </w:r>
    </w:p>
    <w:p>
      <w:pPr>
        <w:spacing w:after="100"/>
      </w:pPr>
      <w:r>
        <w:rPr>
          <w:b/>
          <w:bCs/>
          <w:color w:val="1F3864"/>
          <w:sz w:val="20"/>
          <w:szCs w:val="20"/>
        </w:rPr>
        <w:t xml:space="preserve">45 CFR §164.312(a)(1)–(2)</w:t>
      </w:r>
    </w:p>
    <w:p>
      <w:pPr>
        <w:spacing w:after="140"/>
      </w:pPr>
      <w:r>
        <w:t xml:space="preserve">Requires technical policies limiting ePHI access to authorized users, with unique user identification and emergency access procedures (required), and automatic logoff and encryption/decryption (addressable).</w:t>
      </w:r>
    </w:p>
    <w:p>
      <w:pPr>
        <w:spacing w:after="60"/>
      </w:pPr>
      <w:r>
        <w:rPr>
          <w:b/>
          <w:bCs/>
        </w:rPr>
        <w:t xml:space="preserve">Application to this app:</w:t>
      </w:r>
    </w:p>
    <w:p>
      <w:pPr>
        <w:pStyle w:val="ListParagraph"/>
        <w:numPr>
          <w:ilvl w:val="0"/>
          <w:numId w:val="2"/>
        </w:numPr>
        <w:spacing w:after="60"/>
      </w:pPr>
      <w:r>
        <w:t xml:space="preserve">Unique user identification: every Cognito user pool identity (staff, resident, family) must map to one real person — no shared logins.</w:t>
      </w:r>
    </w:p>
    <w:p>
      <w:pPr>
        <w:pStyle w:val="ListParagraph"/>
        <w:numPr>
          <w:ilvl w:val="0"/>
          <w:numId w:val="2"/>
        </w:numPr>
        <w:spacing w:after="60"/>
      </w:pPr>
      <w:r>
        <w:t xml:space="preserve">Automatic logoff (§164.312(a)(2)(iii)): the regulation only requires that a session terminate after a predetermined period of inactivity — it names no specific number of minutes, hours, or days. The duration is a risk-based decision you make and document; what matters to OCR is that the rationale exists and is applied consistently, not the exact figure chosen.</w:t>
      </w:r>
    </w:p>
    <w:p>
      <w:pPr>
        <w:pStyle w:val="ListParagraph"/>
        <w:numPr>
          <w:ilvl w:val="0"/>
          <w:numId w:val="2"/>
        </w:numPr>
        <w:spacing w:after="60"/>
      </w:pPr>
      <w:r>
        <w:t xml:space="preserve">Note: in this app, Cognito's token refresh is intentionally transparent to the user — the underlying credential session is kept alive in the background so the person is never dropped mid-task. Auto-logoff (the inactivity-based termination of active PHI access) is enforced at the application layer, not by Cognito token expiry itself. This is standard practice in web/mobile apps and does not conflict with §164.312(a)(2)(iii), which only cares that a session-termination control exists somewhere in the stack — it does not require the token layer to be the enforcement point.</w:t>
      </w:r>
    </w:p>
    <w:p>
      <w:pPr>
        <w:pStyle w:val="ListParagraph"/>
        <w:numPr>
          <w:ilvl w:val="0"/>
          <w:numId w:val="2"/>
        </w:numPr>
        <w:spacing w:after="60"/>
      </w:pPr>
      <w:r>
        <w:t xml:space="preserve">Emergency access procedure: document a "break-glass" path for authorized staff to reach a resident's record if normal auth fails during a care emergency, with mandatory post-hoc audit review of any such access.</w:t>
      </w:r>
    </w:p>
    <w:p>
      <w:pPr>
        <w:spacing w:after="160"/>
      </w:pPr>
      <w:r>
        <w:rPr>
          <w:b/>
          <w:bCs/>
          <w:color w:val="B45F06"/>
        </w:rPr>
        <w:t xml:space="preserve">Action needed: </w:t>
      </w:r>
      <w:r>
        <w:t xml:space="preserve">Confirm Cognito enforces unique identities per role type, and that the application-layer auto-logoff is configured consistently across both the web app and mobile app (not just one).</w:t>
      </w:r>
    </w:p>
    <w:p>
      <w:pPr>
        <w:pStyle w:val="Heading3"/>
        <w:spacing w:after="80" w:before="200"/>
      </w:pPr>
      <w:r>
        <w:t xml:space="preserve">Screen lock vs. full logoff — a two-tier model</w:t>
      </w:r>
    </w:p>
    <w:p>
      <w:pPr>
        <w:spacing w:after="140"/>
      </w:pPr>
      <w:r>
        <w:t xml:space="preserve">"Auto-logoff" is often read as forcing a full credential re-entry (username, password, MFA) whenever a session times out. That's a stricter (and more staff-disruptive) implementation than the rule requires. HIPAA only requires that the electronic session terminate — it does not require the re-entry method to be a full login. A widely used, compliant pattern separates two layers:</w:t>
      </w:r>
    </w:p>
    <w:p>
      <w:pPr>
        <w:pStyle w:val="ListParagraph"/>
        <w:numPr>
          <w:ilvl w:val="0"/>
          <w:numId w:val="2"/>
        </w:numPr>
        <w:spacing w:after="60"/>
      </w:pPr>
      <w:r>
        <w:t xml:space="preserve">Inactivity lock (short, minutes): after a brief idle period, the app locks and blocks further PHI access, but re-entry only requires a lightweight, device-bound re-authentication — a PIN or biometric (Face ID/Touch ID) — which still satisfies the Person or Entity Authentication standard (§164.312(d)) separately.</w:t>
      </w:r>
    </w:p>
    <w:p>
      <w:pPr>
        <w:pStyle w:val="ListParagraph"/>
        <w:numPr>
          <w:ilvl w:val="0"/>
          <w:numId w:val="2"/>
        </w:numPr>
        <w:spacing w:after="60"/>
      </w:pPr>
      <w:r>
        <w:t xml:space="preserve">Full session lifetime (longer, hours-to-days): the underlying credential/token is only fully invalidated — forcing a complete username + password + MFA login — after a longer absolute period, or on events like app force-close, device restart, or device deregistration.</w:t>
      </w:r>
    </w:p>
    <w:p>
      <w:pPr>
        <w:spacing w:after="140"/>
      </w:pPr>
      <w:r>
        <w:t xml:space="preserve">This is standard practice in comparable clinical mobile apps: PointClickCare's own Point of Care module auto-logs out after roughly 15–20 minutes of inactivity, and Epic's mobile apps (Rover, Haiku/Canto) pair a short inactivity lock with a device PIN or biometric unlock (e.g., via Imprivata Locker) specifically so staff aren't repeating a full login throughout a shift — the full-credential session persists in the background far longer than the visible "locked" state.</w:t>
      </w:r>
    </w:p>
    <w:p>
      <w:pPr>
        <w:spacing w:after="140"/>
      </w:pPr>
      <w:r>
        <w:t xml:space="preserve">There is no HIPAA-mandated ceiling on that background session lifetime. The most commonly cited benchmark, NIST SP 800-63B (not a HIPAA requirement itself, but the standard most healthcare organizations cite when documenting their rationale), suggests reauthentication at least every 30 days at its lower assurance level (AAL1), tightening to every 12 hours at the level typically expected for systems handling sensitive health data (AAL2).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400"/>
      </w:tblGrid>
      <w:tr>
        <w:tc>
          <w:tcPr>
            <w:tcW w:type="dxa" w:w="3600"/>
            <w:shd w:fill="1F3864" w:val="clear"/>
            <w:tcMar>
              <w:top w:type="dxa" w:w="80"/>
              <w:left w:type="dxa" w:w="100"/>
              <w:bottom w:type="dxa" w:w="80"/>
              <w:right w:type="dxa" w:w="100"/>
            </w:tcMar>
            <w:vAlign w:val="center"/>
          </w:tcPr>
          <w:p>
            <w:r>
              <w:rPr>
                <w:b/>
                <w:bCs/>
                <w:color w:val="FFFFFF"/>
                <w:sz w:val="20"/>
                <w:szCs w:val="20"/>
              </w:rPr>
              <w:t xml:space="preserve">Reference point</w:t>
            </w:r>
          </w:p>
        </w:tc>
        <w:tc>
          <w:tcPr>
            <w:tcW w:type="dxa" w:w="3400"/>
            <w:shd w:fill="1F3864" w:val="clear"/>
            <w:tcMar>
              <w:top w:type="dxa" w:w="80"/>
              <w:left w:type="dxa" w:w="100"/>
              <w:bottom w:type="dxa" w:w="80"/>
              <w:right w:type="dxa" w:w="100"/>
            </w:tcMar>
            <w:vAlign w:val="center"/>
          </w:tcPr>
          <w:p>
            <w:r>
              <w:rPr>
                <w:b/>
                <w:bCs/>
                <w:color w:val="FFFFFF"/>
                <w:sz w:val="20"/>
                <w:szCs w:val="20"/>
              </w:rPr>
              <w:t xml:space="preserve">Full re-auth interval</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Basis</w:t>
            </w:r>
          </w:p>
        </w:tc>
      </w:tr>
      <w:tr>
        <w:tc>
          <w:tcPr>
            <w:tcW w:type="dxa" w:w="3600"/>
            <w:tcMar>
              <w:top w:type="dxa" w:w="80"/>
              <w:left w:type="dxa" w:w="100"/>
              <w:bottom w:type="dxa" w:w="80"/>
              <w:right w:type="dxa" w:w="100"/>
            </w:tcMar>
            <w:vAlign w:val="center"/>
          </w:tcPr>
          <w:p>
            <w:r>
              <w:rPr>
                <w:sz w:val="20"/>
                <w:szCs w:val="20"/>
              </w:rPr>
              <w:t xml:space="preserve">NIST 800-63B, AAL1</w:t>
            </w:r>
          </w:p>
        </w:tc>
        <w:tc>
          <w:tcPr>
            <w:tcW w:type="dxa" w:w="3400"/>
            <w:tcMar>
              <w:top w:type="dxa" w:w="80"/>
              <w:left w:type="dxa" w:w="100"/>
              <w:bottom w:type="dxa" w:w="80"/>
              <w:right w:type="dxa" w:w="100"/>
            </w:tcMar>
            <w:vAlign w:val="center"/>
          </w:tcPr>
          <w:p>
            <w:r>
              <w:rPr>
                <w:sz w:val="20"/>
                <w:szCs w:val="20"/>
              </w:rPr>
              <w:t xml:space="preserve">Up to 30 days</w:t>
            </w:r>
          </w:p>
        </w:tc>
        <w:tc>
          <w:tcPr>
            <w:tcW w:type="dxa" w:w="2400"/>
            <w:tcMar>
              <w:top w:type="dxa" w:w="80"/>
              <w:left w:type="dxa" w:w="100"/>
              <w:bottom w:type="dxa" w:w="80"/>
              <w:right w:type="dxa" w:w="100"/>
            </w:tcMar>
            <w:vAlign w:val="center"/>
          </w:tcPr>
          <w:p>
            <w:r>
              <w:rPr>
                <w:sz w:val="20"/>
                <w:szCs w:val="20"/>
              </w:rPr>
              <w:t xml:space="preserve">Industry benchmark, not HIPAA text</w:t>
            </w:r>
          </w:p>
        </w:tc>
      </w:tr>
      <w:tr>
        <w:tc>
          <w:tcPr>
            <w:tcW w:type="dxa" w:w="3600"/>
            <w:tcMar>
              <w:top w:type="dxa" w:w="80"/>
              <w:left w:type="dxa" w:w="100"/>
              <w:bottom w:type="dxa" w:w="80"/>
              <w:right w:type="dxa" w:w="100"/>
            </w:tcMar>
            <w:vAlign w:val="center"/>
          </w:tcPr>
          <w:p>
            <w:r>
              <w:rPr>
                <w:sz w:val="20"/>
                <w:szCs w:val="20"/>
              </w:rPr>
              <w:t xml:space="preserve">NIST 800-63B, AAL2 (typical for ePHI)</w:t>
            </w:r>
          </w:p>
        </w:tc>
        <w:tc>
          <w:tcPr>
            <w:tcW w:type="dxa" w:w="3400"/>
            <w:tcMar>
              <w:top w:type="dxa" w:w="80"/>
              <w:left w:type="dxa" w:w="100"/>
              <w:bottom w:type="dxa" w:w="80"/>
              <w:right w:type="dxa" w:w="100"/>
            </w:tcMar>
            <w:vAlign w:val="center"/>
          </w:tcPr>
          <w:p>
            <w:r>
              <w:rPr>
                <w:sz w:val="20"/>
                <w:szCs w:val="20"/>
              </w:rPr>
              <w:t xml:space="preserve">12 hours</w:t>
            </w:r>
          </w:p>
        </w:tc>
        <w:tc>
          <w:tcPr>
            <w:tcW w:type="dxa" w:w="2400"/>
            <w:tcMar>
              <w:top w:type="dxa" w:w="80"/>
              <w:left w:type="dxa" w:w="100"/>
              <w:bottom w:type="dxa" w:w="80"/>
              <w:right w:type="dxa" w:w="100"/>
            </w:tcMar>
            <w:vAlign w:val="center"/>
          </w:tcPr>
          <w:p>
            <w:r>
              <w:rPr>
                <w:sz w:val="20"/>
                <w:szCs w:val="20"/>
              </w:rPr>
              <w:t xml:space="preserve">Industry benchmark, not HIPAA text</w:t>
            </w:r>
          </w:p>
        </w:tc>
      </w:tr>
      <w:tr>
        <w:tc>
          <w:tcPr>
            <w:tcW w:type="dxa" w:w="3600"/>
            <w:tcMar>
              <w:top w:type="dxa" w:w="80"/>
              <w:left w:type="dxa" w:w="100"/>
              <w:bottom w:type="dxa" w:w="80"/>
              <w:right w:type="dxa" w:w="100"/>
            </w:tcMar>
            <w:vAlign w:val="center"/>
          </w:tcPr>
          <w:p>
            <w:r>
              <w:rPr>
                <w:sz w:val="20"/>
                <w:szCs w:val="20"/>
              </w:rPr>
              <w:t xml:space="preserve">PointClickCare Point of Care</w:t>
            </w:r>
          </w:p>
        </w:tc>
        <w:tc>
          <w:tcPr>
            <w:tcW w:type="dxa" w:w="3400"/>
            <w:tcMar>
              <w:top w:type="dxa" w:w="80"/>
              <w:left w:type="dxa" w:w="100"/>
              <w:bottom w:type="dxa" w:w="80"/>
              <w:right w:type="dxa" w:w="100"/>
            </w:tcMar>
            <w:vAlign w:val="center"/>
          </w:tcPr>
          <w:p>
            <w:r>
              <w:rPr>
                <w:sz w:val="20"/>
                <w:szCs w:val="20"/>
              </w:rPr>
              <w:t xml:space="preserve">~15–20 min idle lock (not full-session figure published)</w:t>
            </w:r>
          </w:p>
        </w:tc>
        <w:tc>
          <w:tcPr>
            <w:tcW w:type="dxa" w:w="2400"/>
            <w:tcMar>
              <w:top w:type="dxa" w:w="80"/>
              <w:left w:type="dxa" w:w="100"/>
              <w:bottom w:type="dxa" w:w="80"/>
              <w:right w:type="dxa" w:w="100"/>
            </w:tcMar>
            <w:vAlign w:val="center"/>
          </w:tcPr>
          <w:p>
            <w:r>
              <w:rPr>
                <w:sz w:val="20"/>
                <w:szCs w:val="20"/>
              </w:rPr>
              <w:t xml:space="preserve">Vendor practice</w:t>
            </w:r>
          </w:p>
        </w:tc>
      </w:tr>
      <w:tr>
        <w:tc>
          <w:tcPr>
            <w:tcW w:type="dxa" w:w="3600"/>
            <w:tcMar>
              <w:top w:type="dxa" w:w="80"/>
              <w:left w:type="dxa" w:w="100"/>
              <w:bottom w:type="dxa" w:w="80"/>
              <w:right w:type="dxa" w:w="100"/>
            </w:tcMar>
            <w:vAlign w:val="center"/>
          </w:tcPr>
          <w:p>
            <w:r>
              <w:rPr>
                <w:sz w:val="20"/>
                <w:szCs w:val="20"/>
              </w:rPr>
              <w:t xml:space="preserve">Epic Rover / Haiku / Canto</w:t>
            </w:r>
          </w:p>
        </w:tc>
        <w:tc>
          <w:tcPr>
            <w:tcW w:type="dxa" w:w="3400"/>
            <w:tcMar>
              <w:top w:type="dxa" w:w="80"/>
              <w:left w:type="dxa" w:w="100"/>
              <w:bottom w:type="dxa" w:w="80"/>
              <w:right w:type="dxa" w:w="100"/>
            </w:tcMar>
            <w:vAlign w:val="center"/>
          </w:tcPr>
          <w:p>
            <w:r>
              <w:rPr>
                <w:sz w:val="20"/>
                <w:szCs w:val="20"/>
              </w:rPr>
              <w:t xml:space="preserve">Short idle lock + PIN/biometric unlock; full login infrequent</w:t>
            </w:r>
          </w:p>
        </w:tc>
        <w:tc>
          <w:tcPr>
            <w:tcW w:type="dxa" w:w="2400"/>
            <w:tcMar>
              <w:top w:type="dxa" w:w="80"/>
              <w:left w:type="dxa" w:w="100"/>
              <w:bottom w:type="dxa" w:w="80"/>
              <w:right w:type="dxa" w:w="100"/>
            </w:tcMar>
            <w:vAlign w:val="center"/>
          </w:tcPr>
          <w:p>
            <w:r>
              <w:rPr>
                <w:sz w:val="20"/>
                <w:szCs w:val="20"/>
              </w:rPr>
              <w:t xml:space="preserve">Vendor practice</w:t>
            </w:r>
          </w:p>
        </w:tc>
      </w:tr>
      <w:tr>
        <w:tc>
          <w:tcPr>
            <w:tcW w:type="dxa" w:w="3600"/>
            <w:tcMar>
              <w:top w:type="dxa" w:w="80"/>
              <w:left w:type="dxa" w:w="100"/>
              <w:bottom w:type="dxa" w:w="80"/>
              <w:right w:type="dxa" w:w="100"/>
            </w:tcMar>
            <w:vAlign w:val="center"/>
          </w:tcPr>
          <w:p>
            <w:r>
              <w:rPr>
                <w:sz w:val="20"/>
                <w:szCs w:val="20"/>
              </w:rPr>
              <w:t xml:space="preserve">Your current setting</w:t>
            </w:r>
          </w:p>
        </w:tc>
        <w:tc>
          <w:tcPr>
            <w:tcW w:type="dxa" w:w="3400"/>
            <w:tcMar>
              <w:top w:type="dxa" w:w="80"/>
              <w:left w:type="dxa" w:w="100"/>
              <w:bottom w:type="dxa" w:w="80"/>
              <w:right w:type="dxa" w:w="100"/>
            </w:tcMar>
            <w:vAlign w:val="center"/>
          </w:tcPr>
          <w:p>
            <w:r>
              <w:rPr>
                <w:sz w:val="20"/>
                <w:szCs w:val="20"/>
              </w:rPr>
              <w:t xml:space="preserve">7 days (full session)</w:t>
            </w:r>
          </w:p>
        </w:tc>
        <w:tc>
          <w:tcPr>
            <w:tcW w:type="dxa" w:w="2400"/>
            <w:tcMar>
              <w:top w:type="dxa" w:w="80"/>
              <w:left w:type="dxa" w:w="100"/>
              <w:bottom w:type="dxa" w:w="80"/>
              <w:right w:type="dxa" w:w="100"/>
            </w:tcMar>
            <w:vAlign w:val="center"/>
          </w:tcPr>
          <w:p>
            <w:r>
              <w:rPr>
                <w:sz w:val="20"/>
                <w:szCs w:val="20"/>
              </w:rPr>
              <w:t xml:space="preserve">Internal</w:t>
            </w:r>
          </w:p>
        </w:tc>
      </w:tr>
    </w:tbl>
    <w:p>
      <w:pPr>
        <w:spacing w:after="140"/>
      </w:pPr>
      <w:r>
        <w:t xml:space="preserve"/>
      </w:r>
    </w:p>
    <w:p>
      <w:pPr>
        <w:spacing w:after="140"/>
      </w:pPr>
      <w:r>
        <w:t xml:space="preserve">Read against that range, a 7-day full-session lifetime is a defensible middle ground — stricter than AAL1, more lenient than AAL2 — provided it is paired with a short inactivity lock in front of it (the actual control that prevents unattended-device exposure) and with compensating controls such as MDM-enforced remote wipe and device-bound biometric/PIN unlock. What would be difficult to defend in a risk analysis is a 7-day window with no inactivity lock at all standing in front of it.</w:t>
      </w:r>
    </w:p>
    <w:p>
      <w:pPr>
        <w:spacing w:after="160"/>
      </w:pPr>
      <w:r>
        <w:rPr>
          <w:b/>
          <w:bCs/>
          <w:color w:val="2E7D32"/>
        </w:rPr>
        <w:t xml:space="preserve">Recommendation: </w:t>
      </w:r>
      <w:r>
        <w:t xml:space="preserve">Keep the 7-day full-session lifetime, but confirm a short inactivity lock (minutes, not hours) sits in front of it requiring PIN/biometric to resume, and document both figures with rationale in the Security Risk Assessment. Reserve full Cognito re-authentication (password + MFA) for session expiry, app force-close, or device deregistration events.</w:t>
      </w:r>
    </w:p>
    <w:p>
      <w:pPr>
        <w:pStyle w:val="Heading2"/>
        <w:spacing w:after="120" w:before="280"/>
      </w:pPr>
      <w:r>
        <w:t xml:space="preserve">7.2 Person or Entity Authentication</w:t>
      </w:r>
    </w:p>
    <w:p>
      <w:pPr>
        <w:spacing w:after="100"/>
      </w:pPr>
      <w:r>
        <w:rPr>
          <w:b/>
          <w:bCs/>
          <w:color w:val="1F3864"/>
          <w:sz w:val="20"/>
          <w:szCs w:val="20"/>
        </w:rPr>
        <w:t xml:space="preserve">45 CFR §164.312(d)</w:t>
      </w:r>
    </w:p>
    <w:p>
      <w:pPr>
        <w:spacing w:after="140"/>
      </w:pPr>
      <w:r>
        <w:t xml:space="preserve">Requires verifying that a person or entity seeking access to ePHI is who they claim to be.</w:t>
      </w:r>
    </w:p>
    <w:p>
      <w:pPr>
        <w:spacing w:after="60"/>
      </w:pPr>
      <w:r>
        <w:rPr>
          <w:b/>
          <w:bCs/>
        </w:rPr>
        <w:t xml:space="preserve">Application to this app:</w:t>
      </w:r>
    </w:p>
    <w:p>
      <w:pPr>
        <w:pStyle w:val="ListParagraph"/>
        <w:numPr>
          <w:ilvl w:val="0"/>
          <w:numId w:val="2"/>
        </w:numPr>
        <w:spacing w:after="60"/>
      </w:pPr>
      <w:r>
        <w:t xml:space="preserve">Cognito should enforce strong password policy and, at minimum, MFA for staff accounts (highest-privilege access); MFA for family/resident accounts is strongly recommended given they access sensitive health data from personal devices.</w:t>
      </w:r>
    </w:p>
    <w:p>
      <w:pPr>
        <w:pStyle w:val="ListParagraph"/>
        <w:numPr>
          <w:ilvl w:val="0"/>
          <w:numId w:val="2"/>
        </w:numPr>
        <w:spacing w:after="60"/>
      </w:pPr>
      <w:r>
        <w:t xml:space="preserve">Note: the pending 2025 HIPAA Security Rule proposal (see Section 11) would make MFA a required, not addressable, specification — building it in now avoids future rework.</w:t>
      </w:r>
    </w:p>
    <w:p>
      <w:pPr>
        <w:spacing w:after="160"/>
      </w:pPr>
      <w:r>
        <w:rPr>
          <w:b/>
          <w:bCs/>
          <w:color w:val="B45F06"/>
        </w:rPr>
        <w:t xml:space="preserve">Action needed: </w:t>
      </w:r>
      <w:r>
        <w:t xml:space="preserve">Confirm current MFA enforcement policy per Cognito user pool/group (staff vs. family vs. resident) and whether it's mandatory or optional today.</w:t>
      </w:r>
    </w:p>
    <w:p>
      <w:pPr>
        <w:pStyle w:val="Heading3"/>
        <w:spacing w:after="80" w:before="200"/>
      </w:pPr>
      <w:r>
        <w:t xml:space="preserve">Determining the right AAL — an objective method, not a per-field judgment call</w:t>
      </w:r>
    </w:p>
    <w:p>
      <w:pPr>
        <w:spacing w:after="140"/>
      </w:pPr>
      <w:r>
        <w:t xml:space="preserve">Every PHI field this app stores or displays is, by definition, ePHI — under 45 CFR §160.103, ePHI is not a separate category of data, it is simply PHI that exists in electronic form. There is no field-by-field test for whether something "counts" as ePHI; if it is identifiable health information and it lives in this system, it is ePHI, and §164.312's technical safeguards apply to all of it uniformly. That means AAL selection cannot be solved by asking which fields are more sensitive — it has to be solved per account/session type, using an objective risk method.</w:t>
      </w:r>
    </w:p>
    <w:p>
      <w:pPr>
        <w:spacing w:after="140"/>
      </w:pPr>
      <w:r>
        <w:t xml:space="preserve">NIST SP 800-63-3, Volume A (Digital Identity Risk Management — not a HIPAA requirement, but the standard method referenced in Section 7.1) provides that method. It rates the consequence of an authentication failure — an imposter, not the real user, gaining access to the account — across six impact categories, each scored Low / Moderate / High:</w:t>
      </w:r>
    </w:p>
    <w:p>
      <w:pPr>
        <w:pStyle w:val="ListParagraph"/>
        <w:numPr>
          <w:ilvl w:val="0"/>
          <w:numId w:val="2"/>
        </w:numPr>
        <w:spacing w:after="60"/>
      </w:pPr>
      <w:r>
        <w:t xml:space="preserve">Inconvenience, distress, or damage to standing/reputation</w:t>
      </w:r>
    </w:p>
    <w:p>
      <w:pPr>
        <w:pStyle w:val="ListParagraph"/>
        <w:numPr>
          <w:ilvl w:val="0"/>
          <w:numId w:val="2"/>
        </w:numPr>
        <w:spacing w:after="60"/>
      </w:pPr>
      <w:r>
        <w:t xml:space="preserve">Financial loss or liability</w:t>
      </w:r>
    </w:p>
    <w:p>
      <w:pPr>
        <w:pStyle w:val="ListParagraph"/>
        <w:numPr>
          <w:ilvl w:val="0"/>
          <w:numId w:val="2"/>
        </w:numPr>
        <w:spacing w:after="60"/>
      </w:pPr>
      <w:r>
        <w:t xml:space="preserve">Harm to organizational operations or public interest</w:t>
      </w:r>
    </w:p>
    <w:p>
      <w:pPr>
        <w:pStyle w:val="ListParagraph"/>
        <w:numPr>
          <w:ilvl w:val="0"/>
          <w:numId w:val="2"/>
        </w:numPr>
        <w:spacing w:after="60"/>
      </w:pPr>
      <w:r>
        <w:t xml:space="preserve">Unauthorized release of sensitive information</w:t>
      </w:r>
    </w:p>
    <w:p>
      <w:pPr>
        <w:pStyle w:val="ListParagraph"/>
        <w:numPr>
          <w:ilvl w:val="0"/>
          <w:numId w:val="2"/>
        </w:numPr>
        <w:spacing w:after="60"/>
      </w:pPr>
      <w:r>
        <w:t xml:space="preserve">Personal safety</w:t>
      </w:r>
    </w:p>
    <w:p>
      <w:pPr>
        <w:pStyle w:val="ListParagraph"/>
        <w:numPr>
          <w:ilvl w:val="0"/>
          <w:numId w:val="2"/>
        </w:numPr>
        <w:spacing w:after="60"/>
      </w:pPr>
      <w:r>
        <w:t xml:space="preserve">Civil or criminal liability</w:t>
      </w:r>
    </w:p>
    <w:p>
      <w:pPr>
        <w:spacing w:after="140"/>
      </w:pPr>
      <w:r>
        <w:t xml:space="preserve">The required AAL is driven by the single worst-rated category, not an average across them: Low everywhere → AAL1 is sufficient. Moderate or High in any one category → AAL2 is required. Severe impact (commonly personal safety) → consider AAL3.</w:t>
      </w:r>
    </w:p>
    <w:p>
      <w:pPr>
        <w:spacing w:after="140"/>
      </w:pPr>
      <w:r>
        <w:t xml:space="preserve">Applying this to the app's account types: for staff, resident, and family-member accounts alike, "unauthorized release of sensitive information" lands at Moderate or higher, because every one of these account types — even the narrowly-scoped family-member role — exposes real identifiable health information once authenticated. That puts AAL2 as the objective floor for all three account types; there is no role in this app where AAL1 (password-only, single-factor) is defensible, since none of them are free of ePHI exposure. AAL1 would only be appropriate for a surface that reveals no PHI at all — e.g., a pre-login marketing page or an appointment-request form.</w:t>
      </w:r>
    </w:p>
    <w:p>
      <w:pPr>
        <w:spacing w:after="160"/>
      </w:pPr>
      <w:r>
        <w:rPr>
          <w:b/>
          <w:bCs/>
          <w:color w:val="444444"/>
        </w:rPr>
        <w:t xml:space="preserve">Important distinction: </w:t>
      </w:r>
      <w:r>
        <w:t xml:space="preserve">AAL is a property of the account/session (authentication assurance), not of individual data fields (authorization / minimum necessary). Field-level sensitivity is a separate axis handled by role-based access control (Section 3), not by lowering or raising the AAL of the account itself.</w:t>
      </w:r>
    </w:p>
    <w:p>
      <w:pPr>
        <w:spacing w:after="140"/>
      </w:pPr>
      <w:r>
        <w:t xml:space="preserve">Field sensitivity does still matter — through step-up authentication, not through a different AAL baseline. If a future feature surfaces an especially sensitive category of health information (e.g., behavioral health or substance-use notes, which can also trigger stricter state law or 42 CFR Part 2 protections beyond HIPAA), require an additional re-authentication challenge before revealing that specific record type, layered on top of the existing AAL2 session — rather than defining a separate, lower-assurance tier for less sensitive fields.</w:t>
      </w:r>
    </w:p>
    <w:p>
      <w:pPr>
        <w:spacing w:after="160"/>
      </w:pPr>
      <w:r>
        <w:rPr>
          <w:b/>
          <w:bCs/>
          <w:color w:val="2E7D32"/>
        </w:rPr>
        <w:t xml:space="preserve">Recommendation: </w:t>
      </w:r>
      <w:r>
        <w:t xml:space="preserve">Treat AAL2 (password + a second distinct factor, e.g., MFA code or device-bound biometric) as the non-negotiable floor for every authenticated account type in this app — staff, resident, and family. Reserve any step-up beyond that for specific high-sensitivity record types, not for whole account tiers.</w:t>
      </w:r>
    </w:p>
    <w:p>
      <w:pPr>
        <w:pStyle w:val="Heading2"/>
        <w:spacing w:after="120" w:before="280"/>
      </w:pPr>
      <w:r>
        <w:t xml:space="preserve">7.3 Audit Controls</w:t>
      </w:r>
    </w:p>
    <w:p>
      <w:pPr>
        <w:spacing w:after="100"/>
      </w:pPr>
      <w:r>
        <w:rPr>
          <w:b/>
          <w:bCs/>
          <w:color w:val="1F3864"/>
          <w:sz w:val="20"/>
          <w:szCs w:val="20"/>
        </w:rPr>
        <w:t xml:space="preserve">45 CFR §164.312(b)</w:t>
      </w:r>
    </w:p>
    <w:p>
      <w:pPr>
        <w:spacing w:after="140"/>
      </w:pPr>
      <w:r>
        <w:t xml:space="preserve">Requires hardware, software, or procedural mechanisms that record and examine activity in systems containing ePHI.</w:t>
      </w:r>
    </w:p>
    <w:p>
      <w:pPr>
        <w:spacing w:after="60"/>
      </w:pPr>
      <w:r>
        <w:rPr>
          <w:b/>
          <w:bCs/>
        </w:rPr>
        <w:t xml:space="preserve">Application to this app:</w:t>
      </w:r>
    </w:p>
    <w:p>
      <w:pPr>
        <w:pStyle w:val="ListParagraph"/>
        <w:numPr>
          <w:ilvl w:val="0"/>
          <w:numId w:val="2"/>
        </w:numPr>
        <w:spacing w:after="60"/>
      </w:pPr>
      <w:r>
        <w:t xml:space="preserve">Every read/write of PHI — record views, document uploads/downloads, call-recording playback, family consent grants/revocations — should generate an immutable, timestamped audit log entry (who, what record, when, from where).</w:t>
      </w:r>
    </w:p>
    <w:p>
      <w:pPr>
        <w:pStyle w:val="ListParagraph"/>
        <w:numPr>
          <w:ilvl w:val="0"/>
          <w:numId w:val="2"/>
        </w:numPr>
        <w:spacing w:after="60"/>
      </w:pPr>
      <w:r>
        <w:t xml:space="preserve">Logs should be retained long enough to support both breach investigations and §164.528 accounting-of-disclosure requests, and should themselves be access-controlled (staff shouldn't be able to edit or delete their own audit trail).</w:t>
      </w:r>
    </w:p>
    <w:p>
      <w:pPr>
        <w:spacing w:after="160"/>
      </w:pPr>
      <w:r>
        <w:rPr>
          <w:b/>
          <w:bCs/>
          <w:color w:val="B45F06"/>
        </w:rPr>
        <w:t xml:space="preserve">Action needed: </w:t>
      </w:r>
      <w:r>
        <w:t xml:space="preserve">Confirm CloudTrail/application-level audit logging covers PHI record access (not just infrastructure events) and that logs are tamper-resistant and retained per a defined schedule.</w:t>
      </w:r>
    </w:p>
    <w:p>
      <w:pPr>
        <w:pStyle w:val="Heading2"/>
        <w:spacing w:after="120" w:before="280"/>
      </w:pPr>
      <w:r>
        <w:t xml:space="preserve">7.4 Integrity</w:t>
      </w:r>
    </w:p>
    <w:p>
      <w:pPr>
        <w:spacing w:after="100"/>
      </w:pPr>
      <w:r>
        <w:rPr>
          <w:b/>
          <w:bCs/>
          <w:color w:val="1F3864"/>
          <w:sz w:val="20"/>
          <w:szCs w:val="20"/>
        </w:rPr>
        <w:t xml:space="preserve">45 CFR §164.312(c)(1)</w:t>
      </w:r>
    </w:p>
    <w:p>
      <w:pPr>
        <w:spacing w:after="140"/>
      </w:pPr>
      <w:r>
        <w:t xml:space="preserve">Requires policies protecting ePHI from improper alteration or destruction.</w:t>
      </w:r>
    </w:p>
    <w:p>
      <w:pPr>
        <w:spacing w:after="60"/>
      </w:pPr>
      <w:r>
        <w:rPr>
          <w:b/>
          <w:bCs/>
        </w:rPr>
        <w:t xml:space="preserve">Application to this app:</w:t>
      </w:r>
    </w:p>
    <w:p>
      <w:pPr>
        <w:pStyle w:val="ListParagraph"/>
        <w:numPr>
          <w:ilvl w:val="0"/>
          <w:numId w:val="2"/>
        </w:numPr>
        <w:spacing w:after="60"/>
      </w:pPr>
      <w:r>
        <w:t xml:space="preserve">Uploaded documents in S3 should use versioning and, ideally, checksums so accidental or malicious overwrites/deletions are detectable and recoverable.</w:t>
      </w:r>
    </w:p>
    <w:p>
      <w:pPr>
        <w:pStyle w:val="ListParagraph"/>
        <w:numPr>
          <w:ilvl w:val="0"/>
          <w:numId w:val="2"/>
        </w:numPr>
        <w:spacing w:after="60"/>
      </w:pPr>
      <w:r>
        <w:t xml:space="preserve">PCC-synced data should be treated as read-only in the app where possible, with clear provenance (source system + sync timestamp) so staff don't mistake app-side edits for authoritative EHR data.</w:t>
      </w:r>
    </w:p>
    <w:p>
      <w:pPr>
        <w:spacing w:after="160"/>
      </w:pPr>
      <w:r>
        <w:rPr>
          <w:b/>
          <w:bCs/>
          <w:color w:val="2E7D32"/>
        </w:rPr>
        <w:t xml:space="preserve">Recommendation: </w:t>
      </w:r>
      <w:r>
        <w:t xml:space="preserve">Enable S3 object versioning on all PHI/document buckets; confirm the app does not allow silent overwrites of PCC-sourced fields.</w:t>
      </w:r>
    </w:p>
    <w:p>
      <w:pPr>
        <w:pStyle w:val="Heading2"/>
        <w:spacing w:after="120" w:before="280"/>
      </w:pPr>
      <w:r>
        <w:t xml:space="preserve">7.5 Transmission Security</w:t>
      </w:r>
    </w:p>
    <w:p>
      <w:pPr>
        <w:spacing w:after="100"/>
      </w:pPr>
      <w:r>
        <w:rPr>
          <w:b/>
          <w:bCs/>
          <w:color w:val="1F3864"/>
          <w:sz w:val="20"/>
          <w:szCs w:val="20"/>
        </w:rPr>
        <w:t xml:space="preserve">45 CFR §164.312(e)(1)–(2)</w:t>
      </w:r>
    </w:p>
    <w:p>
      <w:pPr>
        <w:spacing w:after="140"/>
      </w:pPr>
      <w:r>
        <w:t xml:space="preserve">Requires guarding against unauthorized access to ePHI transmitted over an electronic network, including integrity controls and encryption.</w:t>
      </w:r>
    </w:p>
    <w:p>
      <w:pPr>
        <w:spacing w:after="60"/>
      </w:pPr>
      <w:r>
        <w:rPr>
          <w:b/>
          <w:bCs/>
        </w:rPr>
        <w:t xml:space="preserve">Application to this app:</w:t>
      </w:r>
    </w:p>
    <w:p>
      <w:pPr>
        <w:pStyle w:val="ListParagraph"/>
        <w:numPr>
          <w:ilvl w:val="0"/>
          <w:numId w:val="2"/>
        </w:numPr>
        <w:spacing w:after="60"/>
      </w:pPr>
      <w:r>
        <w:t xml:space="preserve">All traffic — mobile app ↔ backend, web app ↔ backend, backend ↔ PCC sync, backend ↔ S3 — must run over TLS (1.2 minimum, 1.3 preferred); no fallback to plaintext HTTP for any PHI-carrying endpoint.</w:t>
      </w:r>
    </w:p>
    <w:p>
      <w:pPr>
        <w:pStyle w:val="ListParagraph"/>
        <w:numPr>
          <w:ilvl w:val="0"/>
          <w:numId w:val="2"/>
        </w:numPr>
        <w:spacing w:after="60"/>
      </w:pPr>
      <w:r>
        <w:t xml:space="preserve">Call recordings, if streamed or uploaded from the app, need the same TLS requirement during transit before landing in encrypted S3 storage.</w:t>
      </w:r>
    </w:p>
    <w:p>
      <w:pPr>
        <w:spacing w:after="160"/>
      </w:pPr>
      <w:r>
        <w:rPr>
          <w:b/>
          <w:bCs/>
          <w:color w:val="B45F06"/>
        </w:rPr>
        <w:t xml:space="preserve">Action needed: </w:t>
      </w:r>
      <w:r>
        <w:t xml:space="preserve">Confirm TLS is enforced (not just available) on every PHI-carrying endpoint, including the PCC sync integration and internal service-to-service calls, not only user-facing traffic.</w:t>
      </w:r>
    </w:p>
    <w:p>
      <w:pPr>
        <w:pStyle w:val="Heading2"/>
        <w:spacing w:after="120" w:before="280"/>
      </w:pPr>
      <w:r>
        <w:t xml:space="preserve">7.6 Encryption of ePHI at Rest</w:t>
      </w:r>
    </w:p>
    <w:p>
      <w:pPr>
        <w:spacing w:after="100"/>
      </w:pPr>
      <w:r>
        <w:rPr>
          <w:b/>
          <w:bCs/>
          <w:color w:val="1F3864"/>
          <w:sz w:val="20"/>
          <w:szCs w:val="20"/>
        </w:rPr>
        <w:t xml:space="preserve">45 CFR §164.312(a)(2)(iv) (addressable specification under Access Control)</w:t>
      </w:r>
    </w:p>
    <w:p>
      <w:pPr>
        <w:spacing w:after="140"/>
      </w:pPr>
      <w:r>
        <w:t xml:space="preserve">Addressable does not mean optional here in practice: given cloud storage of PHI and call recordings, encryption at rest is the reasonable and appropriate implementation, and its absence is difficult to justify to OCR.</w:t>
      </w:r>
    </w:p>
    <w:p>
      <w:pPr>
        <w:spacing w:after="60"/>
      </w:pPr>
      <w:r>
        <w:rPr>
          <w:b/>
          <w:bCs/>
        </w:rPr>
        <w:t xml:space="preserve">Application to this app:</w:t>
      </w:r>
    </w:p>
    <w:p>
      <w:pPr>
        <w:pStyle w:val="ListParagraph"/>
        <w:numPr>
          <w:ilvl w:val="0"/>
          <w:numId w:val="2"/>
        </w:numPr>
        <w:spacing w:after="60"/>
      </w:pPr>
      <w:r>
        <w:t xml:space="preserve">S3 buckets storing PHI documents and call recordings should use server-side encryption (SSE-KMS recommended over SSE-S3 for key-access auditability) with bucket policies that deny unencrypted (HTTP) requests.</w:t>
      </w:r>
    </w:p>
    <w:p>
      <w:pPr>
        <w:pStyle w:val="ListParagraph"/>
        <w:numPr>
          <w:ilvl w:val="0"/>
          <w:numId w:val="2"/>
        </w:numPr>
        <w:spacing w:after="60"/>
      </w:pPr>
      <w:r>
        <w:t xml:space="preserve">Use customer-managed KMS keys with restricted key policies so encryption keys themselves are access-controlled separately from the data.</w:t>
      </w:r>
    </w:p>
    <w:p>
      <w:pPr>
        <w:pStyle w:val="ListParagraph"/>
        <w:numPr>
          <w:ilvl w:val="0"/>
          <w:numId w:val="2"/>
        </w:numPr>
        <w:spacing w:after="60"/>
      </w:pPr>
      <w:r>
        <w:t xml:space="preserve">This also matters for the Breach Notification Rule's safe harbor (Section 10): properly encrypted, unbreached-key PHI is not "unsecured PHI" and a resulting incident may not trigger notification obligations.</w:t>
      </w:r>
    </w:p>
    <w:p>
      <w:pPr>
        <w:spacing w:after="160"/>
      </w:pPr>
      <w:r>
        <w:rPr>
          <w:b/>
          <w:bCs/>
          <w:color w:val="B45F06"/>
        </w:rPr>
        <w:t xml:space="preserve">Action needed: </w:t>
      </w:r>
      <w:r>
        <w:t xml:space="preserve">Confirm SSE-KMS (not just default SSE-S3) is enabled on every bucket holding PHI or call recordings, and that bucket policies block non-HTTPS access.</w:t>
      </w:r>
    </w:p>
    <w:p>
      <w:pPr>
        <w:pStyle w:val="Heading1"/>
        <w:spacing w:after="160" w:before="360"/>
      </w:pPr>
      <w:r>
        <w:t xml:space="preserve">8. Business Associate Agreements</w:t>
      </w:r>
    </w:p>
    <w:p>
      <w:pPr>
        <w:spacing w:after="100"/>
      </w:pPr>
      <w:r>
        <w:rPr>
          <w:b/>
          <w:bCs/>
          <w:color w:val="1F3864"/>
          <w:sz w:val="20"/>
          <w:szCs w:val="20"/>
        </w:rPr>
        <w:t xml:space="preserve">45 CFR §164.308(b)(1); §164.502(e); §164.314(a)</w:t>
      </w:r>
    </w:p>
    <w:p>
      <w:pPr>
        <w:spacing w:after="140"/>
      </w:pPr>
      <w:r>
        <w:t xml:space="preserve">A covered entity may disclose PHI to a business associate — and a business associate may disclose PHI to its own subcontractors — only after obtaining a signed BAA containing satisfactory assurances that the PHI will be appropriately safeguarded. This applies at every link in the chain: SNF ↔ your company, and your company ↔ each infrastructure/data subcontractor that touches PHI.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Relationship</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40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3000"/>
            <w:tcMar>
              <w:top w:type="dxa" w:w="80"/>
              <w:left w:type="dxa" w:w="100"/>
              <w:bottom w:type="dxa" w:w="80"/>
              <w:right w:type="dxa" w:w="100"/>
            </w:tcMar>
            <w:vAlign w:val="center"/>
          </w:tcPr>
          <w:p>
            <w:r>
              <w:rPr>
                <w:sz w:val="20"/>
                <w:szCs w:val="20"/>
              </w:rPr>
              <w:t xml:space="preserve">Your company ↔ SNF (covered entity)</w:t>
            </w:r>
          </w:p>
        </w:tc>
        <w:tc>
          <w:tcPr>
            <w:tcW w:type="dxa" w:w="2400"/>
            <w:tcMar>
              <w:top w:type="dxa" w:w="80"/>
              <w:left w:type="dxa" w:w="100"/>
              <w:bottom w:type="dxa" w:w="80"/>
              <w:right w:type="dxa" w:w="100"/>
            </w:tcMar>
            <w:vAlign w:val="center"/>
          </w:tcPr>
          <w:p>
            <w:r>
              <w:rPr>
                <w:sz w:val="20"/>
                <w:szCs w:val="20"/>
              </w:rPr>
              <w:t xml:space="preserve">Confirm in place</w:t>
            </w:r>
          </w:p>
        </w:tc>
        <w:tc>
          <w:tcPr>
            <w:tcW w:type="dxa" w:w="4000"/>
            <w:tcMar>
              <w:top w:type="dxa" w:w="80"/>
              <w:left w:type="dxa" w:w="100"/>
              <w:bottom w:type="dxa" w:w="80"/>
              <w:right w:type="dxa" w:w="100"/>
            </w:tcMar>
            <w:vAlign w:val="center"/>
          </w:tcPr>
          <w:p>
            <w:r>
              <w:rPr>
                <w:sz w:val="20"/>
                <w:szCs w:val="20"/>
              </w:rPr>
              <w:t xml:space="preserve">This BAA is the foundation for all downstream ones — verify it's signed with every facility/customer, not just a master template.</w:t>
            </w:r>
          </w:p>
        </w:tc>
      </w:tr>
      <w:tr>
        <w:tc>
          <w:tcPr>
            <w:tcW w:type="dxa" w:w="3000"/>
            <w:tcMar>
              <w:top w:type="dxa" w:w="80"/>
              <w:left w:type="dxa" w:w="100"/>
              <w:bottom w:type="dxa" w:w="80"/>
              <w:right w:type="dxa" w:w="100"/>
            </w:tcMar>
            <w:vAlign w:val="center"/>
          </w:tcPr>
          <w:p>
            <w:r>
              <w:rPr>
                <w:sz w:val="20"/>
                <w:szCs w:val="20"/>
              </w:rPr>
              <w:t xml:space="preserve">Your company ↔ PCC</w:t>
            </w:r>
          </w:p>
        </w:tc>
        <w:tc>
          <w:tcPr>
            <w:tcW w:type="dxa" w:w="2400"/>
            <w:tcMar>
              <w:top w:type="dxa" w:w="80"/>
              <w:left w:type="dxa" w:w="100"/>
              <w:bottom w:type="dxa" w:w="80"/>
              <w:right w:type="dxa" w:w="100"/>
            </w:tcMar>
            <w:vAlign w:val="center"/>
          </w:tcPr>
          <w:p>
            <w:r>
              <w:rPr>
                <w:sz w:val="20"/>
                <w:szCs w:val="20"/>
              </w:rPr>
              <w:t xml:space="preserve">In place (per your confirmation)</w:t>
            </w:r>
          </w:p>
        </w:tc>
        <w:tc>
          <w:tcPr>
            <w:tcW w:type="dxa" w:w="4000"/>
            <w:tcMar>
              <w:top w:type="dxa" w:w="80"/>
              <w:left w:type="dxa" w:w="100"/>
              <w:bottom w:type="dxa" w:w="80"/>
              <w:right w:type="dxa" w:w="100"/>
            </w:tcMar>
            <w:vAlign w:val="center"/>
          </w:tcPr>
          <w:p>
            <w:r>
              <w:rPr>
                <w:sz w:val="20"/>
                <w:szCs w:val="20"/>
              </w:rPr>
              <w:t xml:space="preserve">Confirm it covers the specific data fields synced today, and is re-reviewed if the integration scope expands.</w:t>
            </w:r>
          </w:p>
        </w:tc>
      </w:tr>
      <w:tr>
        <w:tc>
          <w:tcPr>
            <w:tcW w:type="dxa" w:w="3000"/>
            <w:tcMar>
              <w:top w:type="dxa" w:w="80"/>
              <w:left w:type="dxa" w:w="100"/>
              <w:bottom w:type="dxa" w:w="80"/>
              <w:right w:type="dxa" w:w="100"/>
            </w:tcMar>
            <w:vAlign w:val="center"/>
          </w:tcPr>
          <w:p>
            <w:r>
              <w:rPr>
                <w:sz w:val="20"/>
                <w:szCs w:val="20"/>
              </w:rPr>
              <w:t xml:space="preserve">Your company ↔ AWS</w:t>
            </w:r>
          </w:p>
        </w:tc>
        <w:tc>
          <w:tcPr>
            <w:tcW w:type="dxa" w:w="2400"/>
            <w:shd w:fill="F8D7DA" w:val="clear"/>
            <w:tcMar>
              <w:top w:type="dxa" w:w="80"/>
              <w:left w:type="dxa" w:w="100"/>
              <w:bottom w:type="dxa" w:w="80"/>
              <w:right w:type="dxa" w:w="100"/>
            </w:tcMar>
            <w:vAlign w:val="center"/>
          </w:tcPr>
          <w:p>
            <w:r>
              <w:rPr>
                <w:sz w:val="20"/>
                <w:szCs w:val="20"/>
              </w:rPr>
              <w:t xml:space="preserve">STATUS UNCONFIRMED — verify now</w:t>
            </w:r>
          </w:p>
        </w:tc>
        <w:tc>
          <w:tcPr>
            <w:tcW w:type="dxa" w:w="4000"/>
            <w:tcMar>
              <w:top w:type="dxa" w:w="80"/>
              <w:left w:type="dxa" w:w="100"/>
              <w:bottom w:type="dxa" w:w="80"/>
              <w:right w:type="dxa" w:w="100"/>
            </w:tcMar>
            <w:vAlign w:val="center"/>
          </w:tcPr>
          <w:p>
            <w:r>
              <w:rPr>
                <w:sz w:val="20"/>
                <w:szCs w:val="20"/>
              </w:rPr>
              <w:t xml:space="preserve">See guidance below — AWS will sign a BAA at no extra cost via AWS Artifact, but it does not apply automatically.</w:t>
            </w:r>
          </w:p>
        </w:tc>
      </w:tr>
    </w:tbl>
    <w:p>
      <w:pPr>
        <w:spacing w:after="140"/>
      </w:pPr>
      <w:r>
        <w:t xml:space="preserve"/>
      </w:r>
    </w:p>
    <w:p>
      <w:pPr>
        <w:pStyle w:val="Heading3"/>
        <w:spacing w:after="80" w:before="200"/>
      </w:pPr>
      <w:r>
        <w:t xml:space="preserve">How to confirm/execute the AWS BAA</w:t>
      </w:r>
    </w:p>
    <w:p>
      <w:pPr>
        <w:pStyle w:val="ListParagraph"/>
        <w:numPr>
          <w:ilvl w:val="0"/>
          <w:numId w:val="2"/>
        </w:numPr>
        <w:spacing w:after="60"/>
      </w:pPr>
      <w:r>
        <w:t xml:space="preserve">AWS offers HIPAA eligibility under its standard customer agreement at no additional charge, but only after you accept AWS's Business Associate Addendum (BAA) through AWS Artifact in the AWS Management Console — it is opt-in, not automatic on account creation.</w:t>
      </w:r>
    </w:p>
    <w:p>
      <w:pPr>
        <w:pStyle w:val="ListParagraph"/>
        <w:numPr>
          <w:ilvl w:val="0"/>
          <w:numId w:val="2"/>
        </w:numPr>
        <w:spacing w:after="60"/>
      </w:pPr>
      <w:r>
        <w:t xml:space="preserve">Go to AWS Artifact → Agreements, and confirm the BAA has been accepted for the specific AWS account(s)/organization used by this app.</w:t>
      </w:r>
    </w:p>
    <w:p>
      <w:pPr>
        <w:pStyle w:val="ListParagraph"/>
        <w:numPr>
          <w:ilvl w:val="0"/>
          <w:numId w:val="2"/>
        </w:numPr>
        <w:spacing w:after="60"/>
      </w:pPr>
      <w:r>
        <w:t xml:space="preserve">A signed AWS BAA only covers HIPAA-eligible services. Confirm every AWS service in your architecture that touches PHI — Cognito, S3, and any compute, database, logging, or messaging service in the data path — is on AWS's current HIPAA-eligible services list (aws.amazon.com/compliance/hipaa-eligible-services-reference); the list changes over time, so re-check it before adding new services.</w:t>
      </w:r>
    </w:p>
    <w:p>
      <w:pPr>
        <w:pStyle w:val="ListParagraph"/>
        <w:numPr>
          <w:ilvl w:val="0"/>
          <w:numId w:val="2"/>
        </w:numPr>
        <w:spacing w:after="60"/>
      </w:pPr>
      <w:r>
        <w:t xml:space="preserve">Being "HIPAA-eligible" describes AWS's shared-responsibility floor, not automatic compliance — your team must still configure each service correctly (encryption on, access controlled, logging on) as covered in Section 7.</w:t>
      </w:r>
    </w:p>
    <w:p>
      <w:pPr>
        <w:spacing w:after="160"/>
      </w:pPr>
      <w:r>
        <w:rPr>
          <w:b/>
          <w:bCs/>
          <w:color w:val="B45F06"/>
        </w:rPr>
        <w:t xml:space="preserve">Action needed: </w:t>
      </w:r>
      <w:r>
        <w:t xml:space="preserve">Verify in AWS Artifact whether the BAA has been accepted for this workload's AWS account, and cross-check Cognito and every PHI-touching S3 bucket/service against AWS's current HIPAA-eligible services list.</w:t>
      </w:r>
    </w:p>
    <w:p>
      <w:pPr>
        <w:pStyle w:val="Heading1"/>
        <w:spacing w:after="160" w:before="360"/>
      </w:pPr>
      <w:r>
        <w:t xml:space="preserve">9. Call Recordings as PHI</w:t>
      </w:r>
    </w:p>
    <w:p>
      <w:pPr>
        <w:spacing w:after="140"/>
      </w:pPr>
      <w:r>
        <w:t xml:space="preserve">If call recordings capture discussion of a resident's health, treatment, or condition, they are PHI in audio form — HIPAA does not distinguish PHI by media type. The same Security Rule technical safeguards in Section 7 apply in full: encryption at rest and in transit, access control, audit logging of playback/download, and integrity protection.</w:t>
      </w:r>
    </w:p>
    <w:p>
      <w:pPr>
        <w:pStyle w:val="ListParagraph"/>
        <w:numPr>
          <w:ilvl w:val="0"/>
          <w:numId w:val="2"/>
        </w:numPr>
        <w:spacing w:after="60"/>
      </w:pPr>
      <w:r>
        <w:t xml:space="preserve">Apply minimum necessary to call-recording access specifically: staff who don't need playback access for their role shouldn't have it by default.</w:t>
      </w:r>
    </w:p>
    <w:p>
      <w:pPr>
        <w:pStyle w:val="ListParagraph"/>
        <w:numPr>
          <w:ilvl w:val="0"/>
          <w:numId w:val="2"/>
        </w:numPr>
        <w:spacing w:after="60"/>
      </w:pPr>
      <w:r>
        <w:t xml:space="preserve">Define and document a retention/deletion schedule for recordings — indefinite retention of PHI-containing audio increases breach exposure without a clear purpose.</w:t>
      </w:r>
    </w:p>
    <w:p>
      <w:pPr>
        <w:pStyle w:val="ListParagraph"/>
        <w:numPr>
          <w:ilvl w:val="0"/>
          <w:numId w:val="2"/>
        </w:numPr>
        <w:spacing w:after="60"/>
      </w:pPr>
      <w:r>
        <w:t xml:space="preserve">If any call could involve a family member speaking on the resident's behalf, confirm the same personal-representative/consent logic from Section 4 governs who may later access that recording.</w:t>
      </w:r>
    </w:p>
    <w:p>
      <w:pPr>
        <w:spacing w:after="160"/>
      </w:pPr>
      <w:r>
        <w:rPr>
          <w:b/>
          <w:bCs/>
          <w:color w:val="B45F06"/>
        </w:rPr>
        <w:t xml:space="preserve">Action needed: </w:t>
      </w:r>
      <w:r>
        <w:t xml:space="preserve">Confirm call recordings sit in the same encrypted, access-controlled, audit-logged S3 path as other PHI documents, and that a retention schedule exists and is enforced.</w:t>
      </w:r>
    </w:p>
    <w:p>
      <w:pPr>
        <w:pStyle w:val="Heading1"/>
        <w:spacing w:after="160" w:before="360"/>
      </w:pPr>
      <w:r>
        <w:t xml:space="preserve">10. Breach Notification Rule</w:t>
      </w:r>
    </w:p>
    <w:p>
      <w:pPr>
        <w:spacing w:after="100"/>
      </w:pPr>
      <w:r>
        <w:rPr>
          <w:b/>
          <w:bCs/>
          <w:color w:val="1F3864"/>
          <w:sz w:val="20"/>
          <w:szCs w:val="20"/>
        </w:rPr>
        <w:t xml:space="preserve">45 CFR §§164.400–414</w:t>
      </w:r>
    </w:p>
    <w:p>
      <w:pPr>
        <w:spacing w:after="140"/>
      </w:pPr>
      <w:r>
        <w:t xml:space="preserve">A breach is the acquisition, access, use, or disclosure of unsecured PHI in a manner not permitted by the Privacy Rule that compromises its security or privacy (§164.402). An impermissible use/disclosure is presumed to be a breach unless a documented risk assessment shows a low probability that the PHI was compromised.</w:t>
      </w:r>
    </w:p>
    <w:p>
      <w:pPr>
        <w:pStyle w:val="ListParagraph"/>
        <w:numPr>
          <w:ilvl w:val="0"/>
          <w:numId w:val="2"/>
        </w:numPr>
        <w:spacing w:after="60"/>
      </w:pPr>
      <w:r>
        <w:t xml:space="preserve">Individual notification: without unreasonable delay, no later than 60 days after discovery (§164.404).</w:t>
      </w:r>
    </w:p>
    <w:p>
      <w:pPr>
        <w:pStyle w:val="ListParagraph"/>
        <w:numPr>
          <w:ilvl w:val="0"/>
          <w:numId w:val="2"/>
        </w:numPr>
        <w:spacing w:after="60"/>
      </w:pPr>
      <w:r>
        <w:t xml:space="preserve">HHS Secretary notification: for breaches affecting 500+ individuals, without unreasonable delay and no later than 60 days; for breaches under 500, an annual log submitted within 60 days of year-end (§164.408).</w:t>
      </w:r>
    </w:p>
    <w:p>
      <w:pPr>
        <w:pStyle w:val="ListParagraph"/>
        <w:numPr>
          <w:ilvl w:val="0"/>
          <w:numId w:val="2"/>
        </w:numPr>
        <w:spacing w:after="60"/>
      </w:pPr>
      <w:r>
        <w:t xml:space="preserve">Media notification required for breaches affecting 500+ residents of a single state/jurisdiction (§164.406).</w:t>
      </w:r>
    </w:p>
    <w:p>
      <w:pPr>
        <w:pStyle w:val="ListParagraph"/>
        <w:numPr>
          <w:ilvl w:val="0"/>
          <w:numId w:val="2"/>
        </w:numPr>
        <w:spacing w:after="60"/>
      </w:pPr>
      <w:r>
        <w:t xml:space="preserve">Safe harbor: PHI encrypted to NIST SP 800‑111 standards (at rest) and rendered unreadable/undecipherable in transit, with the encryption key not compromised, is "secured" PHI — its exposure generally does not trigger notification. This is the practical payoff of Section 7.6's encryption requirement.</w:t>
      </w:r>
    </w:p>
    <w:p>
      <w:pPr>
        <w:spacing w:after="160"/>
      </w:pPr>
      <w:r>
        <w:rPr>
          <w:b/>
          <w:bCs/>
          <w:color w:val="B45F06"/>
        </w:rPr>
        <w:t xml:space="preserve">Action needed: </w:t>
      </w:r>
      <w:r>
        <w:t xml:space="preserve">Confirm an incident response runbook exists that assigns who performs the breach risk assessment, and that it references your specific systems (PCC sync, S3 buckets, Cognito) rather than being generic.</w:t>
      </w:r>
    </w:p>
    <w:p>
      <w:pPr>
        <w:pStyle w:val="Heading1"/>
        <w:spacing w:after="160" w:before="360"/>
      </w:pPr>
      <w:r>
        <w:t xml:space="preserve">11. Administrative &amp; Physical Safeguards (Process, Not Just Code)</w:t>
      </w:r>
    </w:p>
    <w:p>
      <w:pPr>
        <w:spacing w:after="100"/>
      </w:pPr>
      <w:r>
        <w:rPr>
          <w:b/>
          <w:bCs/>
          <w:color w:val="1F3864"/>
          <w:sz w:val="20"/>
          <w:szCs w:val="20"/>
        </w:rPr>
        <w:t xml:space="preserve">45 CFR §164.308 (Administrative); §164.310 (Physical)</w:t>
      </w:r>
    </w:p>
    <w:p>
      <w:pPr>
        <w:spacing w:after="140"/>
      </w:pPr>
      <w:r>
        <w:t xml:space="preserve">These largely fall on the covered entity (the SNF) and your company as a BA jointly, and are process rather than architecture, but the app should support them:</w:t>
      </w:r>
    </w:p>
    <w:p>
      <w:pPr>
        <w:pStyle w:val="ListParagraph"/>
        <w:numPr>
          <w:ilvl w:val="0"/>
          <w:numId w:val="2"/>
        </w:numPr>
        <w:spacing w:after="60"/>
      </w:pPr>
      <w:r>
        <w:t xml:space="preserve">Risk analysis (§164.308(a)(1)(ii)(A)): a documented, periodically-updated Security Risk Assessment covering this app's data flows — this document is a starting reference, not a substitute for one.</w:t>
      </w:r>
    </w:p>
    <w:p>
      <w:pPr>
        <w:pStyle w:val="ListParagraph"/>
        <w:numPr>
          <w:ilvl w:val="0"/>
          <w:numId w:val="2"/>
        </w:numPr>
        <w:spacing w:after="60"/>
      </w:pPr>
      <w:r>
        <w:t xml:space="preserve">Workforce training and sanctions policy for staff users (§164.308(a)(5), (1)(ii)(C)): outside the app itself, but role definitions in Cognito should reflect trained/authorized roles.</w:t>
      </w:r>
    </w:p>
    <w:p>
      <w:pPr>
        <w:pStyle w:val="ListParagraph"/>
        <w:numPr>
          <w:ilvl w:val="0"/>
          <w:numId w:val="2"/>
        </w:numPr>
        <w:spacing w:after="60"/>
      </w:pPr>
      <w:r>
        <w:t xml:space="preserve">Device and media controls (§164.310(d)): staff mobile devices accessing the app should be covered by a mobile device management (MDM) policy — remote wipe, lock screen enforcement, and restrictions on storing PHI locally/offline.</w:t>
      </w:r>
    </w:p>
    <w:p>
      <w:pPr>
        <w:pStyle w:val="ListParagraph"/>
        <w:numPr>
          <w:ilvl w:val="0"/>
          <w:numId w:val="2"/>
        </w:numPr>
        <w:spacing w:after="60"/>
      </w:pPr>
      <w:r>
        <w:t xml:space="preserve">Facility access controls (§164.310(a)) apply to physical server/data-center access — satisfied by AWS's own compliance program for its data centers, not something your team manages directly.</w:t>
      </w:r>
    </w:p>
    <w:p>
      <w:pPr>
        <w:pStyle w:val="Heading1"/>
        <w:spacing w:after="160" w:before="360"/>
      </w:pPr>
      <w:r>
        <w:t xml:space="preserve">12. Pending Regulatory Change to Monitor</w:t>
      </w:r>
    </w:p>
    <w:p>
      <w:pPr>
        <w:spacing w:after="140"/>
      </w:pPr>
      <w:r>
        <w:t xml:space="preserve">In January 2025, HHS proposed updates to the Security Rule (90 FR 898) that would remove the "addressable" designation for several specifications and make them required — including encryption of ePHI at rest and in transit, mandatory MFA, more prescriptive audit logging, and a 72‑hour internal incident reporting expectation. As of this writing (July 2026), this remains a proposed rule, not yet finalized or enforceable; OCR is still enforcing the current Security Rule described in Section 7.</w:t>
      </w:r>
    </w:p>
    <w:p>
      <w:pPr>
        <w:spacing w:after="140"/>
      </w:pPr>
      <w:r>
        <w:t xml:space="preserve">Recommendation: treat the items already flagged as "Action needed" above (mandatory MFA, encryption at rest, robust audit logging) as your baseline regardless of the proposal's fate — they are either already required or likely to become required, and are good practice either way.</w:t>
      </w:r>
    </w:p>
    <w:p>
      <w:pPr>
        <w:pStyle w:val="Heading1"/>
        <w:spacing w:after="160" w:before="360"/>
      </w:pPr>
      <w:r>
        <w:t xml:space="preserve">13. Consolidated Action Items</w:t>
      </w:r>
    </w:p>
    <w:p>
      <w:pPr>
        <w:spacing w:after="140"/>
      </w:pPr>
      <w:r>
        <w:t xml:space="preserve">This table is a point-in-time snapshot at the time this reference was written. For ongoing tracking, prioritization, status, and owner assignment — including a more detailed breakdown of the authentication, session, and consent model — see the companion tracker: HIPAA_Gap_Worklog.xlsx, in the same Compliance folder.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1600"/>
      </w:tblGrid>
      <w:tr>
        <w:tc>
          <w:tcPr>
            <w:tcW w:type="dxa" w:w="54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2400"/>
            <w:shd w:fill="1F3864" w:val="clear"/>
            <w:tcMar>
              <w:top w:type="dxa" w:w="80"/>
              <w:left w:type="dxa" w:w="100"/>
              <w:bottom w:type="dxa" w:w="80"/>
              <w:right w:type="dxa" w:w="100"/>
            </w:tcMar>
            <w:vAlign w:val="center"/>
          </w:tcPr>
          <w:p>
            <w:r>
              <w:rPr>
                <w:b/>
                <w:bCs/>
                <w:color w:val="FFFFFF"/>
                <w:sz w:val="20"/>
                <w:szCs w:val="20"/>
              </w:rPr>
              <w:t xml:space="preserve">Area</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5400"/>
            <w:tcMar>
              <w:top w:type="dxa" w:w="80"/>
              <w:left w:type="dxa" w:w="100"/>
              <w:bottom w:type="dxa" w:w="80"/>
              <w:right w:type="dxa" w:w="100"/>
            </w:tcMar>
            <w:vAlign w:val="center"/>
          </w:tcPr>
          <w:p>
            <w:r>
              <w:rPr>
                <w:sz w:val="20"/>
                <w:szCs w:val="20"/>
              </w:rPr>
              <w:t xml:space="preserve">Confirm AWS BAA accepted in AWS Artifact for this workload's account</w:t>
            </w:r>
          </w:p>
        </w:tc>
        <w:tc>
          <w:tcPr>
            <w:tcW w:type="dxa" w:w="2400"/>
            <w:tcMar>
              <w:top w:type="dxa" w:w="80"/>
              <w:left w:type="dxa" w:w="100"/>
              <w:bottom w:type="dxa" w:w="80"/>
              <w:right w:type="dxa" w:w="100"/>
            </w:tcMar>
            <w:vAlign w:val="center"/>
          </w:tcPr>
          <w:p>
            <w:r>
              <w:rPr>
                <w:sz w:val="20"/>
                <w:szCs w:val="20"/>
              </w:rPr>
              <w:t xml:space="preserve">BAA</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Cross-check Cognito, S3, and every PHI-touching AWS service against current HIPAA-eligible services list</w:t>
            </w:r>
          </w:p>
        </w:tc>
        <w:tc>
          <w:tcPr>
            <w:tcW w:type="dxa" w:w="2400"/>
            <w:tcMar>
              <w:top w:type="dxa" w:w="80"/>
              <w:left w:type="dxa" w:w="100"/>
              <w:bottom w:type="dxa" w:w="80"/>
              <w:right w:type="dxa" w:w="100"/>
            </w:tcMar>
            <w:vAlign w:val="center"/>
          </w:tcPr>
          <w:p>
            <w:r>
              <w:rPr>
                <w:sz w:val="20"/>
                <w:szCs w:val="20"/>
              </w:rPr>
              <w:t xml:space="preserve">BAA / Architecture</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Confirm SSE-KMS encryption + HTTPS-only bucket policy on all PHI and call-recording S3 buckets</w:t>
            </w:r>
          </w:p>
        </w:tc>
        <w:tc>
          <w:tcPr>
            <w:tcW w:type="dxa" w:w="2400"/>
            <w:tcMar>
              <w:top w:type="dxa" w:w="80"/>
              <w:left w:type="dxa" w:w="100"/>
              <w:bottom w:type="dxa" w:w="80"/>
              <w:right w:type="dxa" w:w="100"/>
            </w:tcMar>
            <w:vAlign w:val="center"/>
          </w:tcPr>
          <w:p>
            <w:r>
              <w:rPr>
                <w:sz w:val="20"/>
                <w:szCs w:val="20"/>
              </w:rPr>
              <w:t xml:space="preserve">Security Rule §164.312(a)(2)(iv)</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Confirm MFA enforcement policy per Cognito group (staff/resident/family)</w:t>
            </w:r>
          </w:p>
        </w:tc>
        <w:tc>
          <w:tcPr>
            <w:tcW w:type="dxa" w:w="2400"/>
            <w:tcMar>
              <w:top w:type="dxa" w:w="80"/>
              <w:left w:type="dxa" w:w="100"/>
              <w:bottom w:type="dxa" w:w="80"/>
              <w:right w:type="dxa" w:w="100"/>
            </w:tcMar>
            <w:vAlign w:val="center"/>
          </w:tcPr>
          <w:p>
            <w:r>
              <w:rPr>
                <w:sz w:val="20"/>
                <w:szCs w:val="20"/>
              </w:rPr>
              <w:t xml:space="preserve">Security Rule §164.312(d)</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Confirm audit logging captures PHI record-level access (view/download/playback), not just infra events</w:t>
            </w:r>
          </w:p>
        </w:tc>
        <w:tc>
          <w:tcPr>
            <w:tcW w:type="dxa" w:w="2400"/>
            <w:tcMar>
              <w:top w:type="dxa" w:w="80"/>
              <w:left w:type="dxa" w:w="100"/>
              <w:bottom w:type="dxa" w:w="80"/>
              <w:right w:type="dxa" w:w="100"/>
            </w:tcMar>
            <w:vAlign w:val="center"/>
          </w:tcPr>
          <w:p>
            <w:r>
              <w:rPr>
                <w:sz w:val="20"/>
                <w:szCs w:val="20"/>
              </w:rPr>
              <w:t xml:space="preserve">Security Rule §164.312(b)</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Confirm idle-session auto-logoff on both web and mobile</w:t>
            </w:r>
          </w:p>
        </w:tc>
        <w:tc>
          <w:tcPr>
            <w:tcW w:type="dxa" w:w="2400"/>
            <w:tcMar>
              <w:top w:type="dxa" w:w="80"/>
              <w:left w:type="dxa" w:w="100"/>
              <w:bottom w:type="dxa" w:w="80"/>
              <w:right w:type="dxa" w:w="100"/>
            </w:tcMar>
            <w:vAlign w:val="center"/>
          </w:tcPr>
          <w:p>
            <w:r>
              <w:rPr>
                <w:sz w:val="20"/>
                <w:szCs w:val="20"/>
              </w:rPr>
              <w:t xml:space="preserve">Security Rule §164.312(a)(2)(iii)</w:t>
            </w:r>
          </w:p>
        </w:tc>
        <w:tc>
          <w:tcPr>
            <w:tcW w:type="dxa" w:w="1600"/>
            <w:shd w:fill="FFF3CD" w:val="clear"/>
            <w:tcMar>
              <w:top w:type="dxa" w:w="80"/>
              <w:left w:type="dxa" w:w="100"/>
              <w:bottom w:type="dxa" w:w="80"/>
              <w:right w:type="dxa" w:w="100"/>
            </w:tcMar>
            <w:vAlign w:val="center"/>
          </w:tcPr>
          <w:p>
            <w:r>
              <w:rPr>
                <w:sz w:val="20"/>
                <w:szCs w:val="20"/>
              </w:rPr>
              <w:t xml:space="preserve">Medium</w:t>
            </w:r>
          </w:p>
        </w:tc>
      </w:tr>
      <w:tr>
        <w:tc>
          <w:tcPr>
            <w:tcW w:type="dxa" w:w="5400"/>
            <w:tcMar>
              <w:top w:type="dxa" w:w="80"/>
              <w:left w:type="dxa" w:w="100"/>
              <w:bottom w:type="dxa" w:w="80"/>
              <w:right w:type="dxa" w:w="100"/>
            </w:tcMar>
            <w:vAlign w:val="center"/>
          </w:tcPr>
          <w:p>
            <w:r>
              <w:rPr>
                <w:sz w:val="20"/>
                <w:szCs w:val="20"/>
              </w:rPr>
              <w:t xml:space="preserve">Confirm TLS enforced end-to-end incl. PCC sync and internal service calls</w:t>
            </w:r>
          </w:p>
        </w:tc>
        <w:tc>
          <w:tcPr>
            <w:tcW w:type="dxa" w:w="2400"/>
            <w:tcMar>
              <w:top w:type="dxa" w:w="80"/>
              <w:left w:type="dxa" w:w="100"/>
              <w:bottom w:type="dxa" w:w="80"/>
              <w:right w:type="dxa" w:w="100"/>
            </w:tcMar>
            <w:vAlign w:val="center"/>
          </w:tcPr>
          <w:p>
            <w:r>
              <w:rPr>
                <w:sz w:val="20"/>
                <w:szCs w:val="20"/>
              </w:rPr>
              <w:t xml:space="preserve">Security Rule §164.312(e)</w:t>
            </w:r>
          </w:p>
        </w:tc>
        <w:tc>
          <w:tcPr>
            <w:tcW w:type="dxa" w:w="1600"/>
            <w:shd w:fill="FFF3CD" w:val="clear"/>
            <w:tcMar>
              <w:top w:type="dxa" w:w="80"/>
              <w:left w:type="dxa" w:w="100"/>
              <w:bottom w:type="dxa" w:w="80"/>
              <w:right w:type="dxa" w:w="100"/>
            </w:tcMar>
            <w:vAlign w:val="center"/>
          </w:tcPr>
          <w:p>
            <w:r>
              <w:rPr>
                <w:sz w:val="20"/>
                <w:szCs w:val="20"/>
              </w:rPr>
              <w:t xml:space="preserve">Medium</w:t>
            </w:r>
          </w:p>
        </w:tc>
      </w:tr>
      <w:tr>
        <w:tc>
          <w:tcPr>
            <w:tcW w:type="dxa" w:w="5400"/>
            <w:tcMar>
              <w:top w:type="dxa" w:w="80"/>
              <w:left w:type="dxa" w:w="100"/>
              <w:bottom w:type="dxa" w:w="80"/>
              <w:right w:type="dxa" w:w="100"/>
            </w:tcMar>
            <w:vAlign w:val="center"/>
          </w:tcPr>
          <w:p>
            <w:r>
              <w:rPr>
                <w:sz w:val="20"/>
                <w:szCs w:val="20"/>
              </w:rPr>
              <w:t xml:space="preserve">Formalize consent model: personal representative vs. family consent, scoped + revocable + audited</w:t>
            </w:r>
          </w:p>
        </w:tc>
        <w:tc>
          <w:tcPr>
            <w:tcW w:type="dxa" w:w="2400"/>
            <w:tcMar>
              <w:top w:type="dxa" w:w="80"/>
              <w:left w:type="dxa" w:w="100"/>
              <w:bottom w:type="dxa" w:w="80"/>
              <w:right w:type="dxa" w:w="100"/>
            </w:tcMar>
            <w:vAlign w:val="center"/>
          </w:tcPr>
          <w:p>
            <w:r>
              <w:rPr>
                <w:sz w:val="20"/>
                <w:szCs w:val="20"/>
              </w:rPr>
              <w:t xml:space="preserve">Privacy Rule §164.502(g)/§164.510(b)</w:t>
            </w:r>
          </w:p>
        </w:tc>
        <w:tc>
          <w:tcPr>
            <w:tcW w:type="dxa" w:w="1600"/>
            <w:shd w:fill="F8D7DA" w:val="clear"/>
            <w:tcMar>
              <w:top w:type="dxa" w:w="80"/>
              <w:left w:type="dxa" w:w="100"/>
              <w:bottom w:type="dxa" w:w="80"/>
              <w:right w:type="dxa" w:w="100"/>
            </w:tcMar>
            <w:vAlign w:val="center"/>
          </w:tcPr>
          <w:p>
            <w:r>
              <w:rPr>
                <w:sz w:val="20"/>
                <w:szCs w:val="20"/>
              </w:rPr>
              <w:t xml:space="preserve">High</w:t>
            </w:r>
          </w:p>
        </w:tc>
      </w:tr>
      <w:tr>
        <w:tc>
          <w:tcPr>
            <w:tcW w:type="dxa" w:w="5400"/>
            <w:tcMar>
              <w:top w:type="dxa" w:w="80"/>
              <w:left w:type="dxa" w:w="100"/>
              <w:bottom w:type="dxa" w:w="80"/>
              <w:right w:type="dxa" w:w="100"/>
            </w:tcMar>
            <w:vAlign w:val="center"/>
          </w:tcPr>
          <w:p>
            <w:r>
              <w:rPr>
                <w:sz w:val="20"/>
                <w:szCs w:val="20"/>
              </w:rPr>
              <w:t xml:space="preserve">Define and enforce call-recording retention/deletion schedule</w:t>
            </w:r>
          </w:p>
        </w:tc>
        <w:tc>
          <w:tcPr>
            <w:tcW w:type="dxa" w:w="2400"/>
            <w:tcMar>
              <w:top w:type="dxa" w:w="80"/>
              <w:left w:type="dxa" w:w="100"/>
              <w:bottom w:type="dxa" w:w="80"/>
              <w:right w:type="dxa" w:w="100"/>
            </w:tcMar>
            <w:vAlign w:val="center"/>
          </w:tcPr>
          <w:p>
            <w:r>
              <w:rPr>
                <w:sz w:val="20"/>
                <w:szCs w:val="20"/>
              </w:rPr>
              <w:t xml:space="preserve">Minimum Necessary / Retention</w:t>
            </w:r>
          </w:p>
        </w:tc>
        <w:tc>
          <w:tcPr>
            <w:tcW w:type="dxa" w:w="1600"/>
            <w:shd w:fill="FFF3CD" w:val="clear"/>
            <w:tcMar>
              <w:top w:type="dxa" w:w="80"/>
              <w:left w:type="dxa" w:w="100"/>
              <w:bottom w:type="dxa" w:w="80"/>
              <w:right w:type="dxa" w:w="100"/>
            </w:tcMar>
            <w:vAlign w:val="center"/>
          </w:tcPr>
          <w:p>
            <w:r>
              <w:rPr>
                <w:sz w:val="20"/>
                <w:szCs w:val="20"/>
              </w:rPr>
              <w:t xml:space="preserve">Medium</w:t>
            </w:r>
          </w:p>
        </w:tc>
      </w:tr>
      <w:tr>
        <w:tc>
          <w:tcPr>
            <w:tcW w:type="dxa" w:w="5400"/>
            <w:tcMar>
              <w:top w:type="dxa" w:w="80"/>
              <w:left w:type="dxa" w:w="100"/>
              <w:bottom w:type="dxa" w:w="80"/>
              <w:right w:type="dxa" w:w="100"/>
            </w:tcMar>
            <w:vAlign w:val="center"/>
          </w:tcPr>
          <w:p>
            <w:r>
              <w:rPr>
                <w:sz w:val="20"/>
                <w:szCs w:val="20"/>
              </w:rPr>
              <w:t xml:space="preserve">Enable S3 object versioning on PHI/document buckets</w:t>
            </w:r>
          </w:p>
        </w:tc>
        <w:tc>
          <w:tcPr>
            <w:tcW w:type="dxa" w:w="2400"/>
            <w:tcMar>
              <w:top w:type="dxa" w:w="80"/>
              <w:left w:type="dxa" w:w="100"/>
              <w:bottom w:type="dxa" w:w="80"/>
              <w:right w:type="dxa" w:w="100"/>
            </w:tcMar>
            <w:vAlign w:val="center"/>
          </w:tcPr>
          <w:p>
            <w:r>
              <w:rPr>
                <w:sz w:val="20"/>
                <w:szCs w:val="20"/>
              </w:rPr>
              <w:t xml:space="preserve">Integrity §164.312(c)(1)</w:t>
            </w:r>
          </w:p>
        </w:tc>
        <w:tc>
          <w:tcPr>
            <w:tcW w:type="dxa" w:w="1600"/>
            <w:shd w:fill="FFF3CD" w:val="clear"/>
            <w:tcMar>
              <w:top w:type="dxa" w:w="80"/>
              <w:left w:type="dxa" w:w="100"/>
              <w:bottom w:type="dxa" w:w="80"/>
              <w:right w:type="dxa" w:w="100"/>
            </w:tcMar>
            <w:vAlign w:val="center"/>
          </w:tcPr>
          <w:p>
            <w:r>
              <w:rPr>
                <w:sz w:val="20"/>
                <w:szCs w:val="20"/>
              </w:rPr>
              <w:t xml:space="preserve">Medium</w:t>
            </w:r>
          </w:p>
        </w:tc>
      </w:tr>
      <w:tr>
        <w:tc>
          <w:tcPr>
            <w:tcW w:type="dxa" w:w="5400"/>
            <w:tcMar>
              <w:top w:type="dxa" w:w="80"/>
              <w:left w:type="dxa" w:w="100"/>
              <w:bottom w:type="dxa" w:w="80"/>
              <w:right w:type="dxa" w:w="100"/>
            </w:tcMar>
            <w:vAlign w:val="center"/>
          </w:tcPr>
          <w:p>
            <w:r>
              <w:rPr>
                <w:sz w:val="20"/>
                <w:szCs w:val="20"/>
              </w:rPr>
              <w:t xml:space="preserve">Add NPP link/acknowledgment to resident &amp; family onboarding</w:t>
            </w:r>
          </w:p>
        </w:tc>
        <w:tc>
          <w:tcPr>
            <w:tcW w:type="dxa" w:w="2400"/>
            <w:tcMar>
              <w:top w:type="dxa" w:w="80"/>
              <w:left w:type="dxa" w:w="100"/>
              <w:bottom w:type="dxa" w:w="80"/>
              <w:right w:type="dxa" w:w="100"/>
            </w:tcMar>
            <w:vAlign w:val="center"/>
          </w:tcPr>
          <w:p>
            <w:r>
              <w:rPr>
                <w:sz w:val="20"/>
                <w:szCs w:val="20"/>
              </w:rPr>
              <w:t xml:space="preserve">Privacy Rule §164.520</w:t>
            </w:r>
          </w:p>
        </w:tc>
        <w:tc>
          <w:tcPr>
            <w:tcW w:type="dxa" w:w="1600"/>
            <w:shd w:fill="D4EDDA" w:val="clear"/>
            <w:tcMar>
              <w:top w:type="dxa" w:w="80"/>
              <w:left w:type="dxa" w:w="100"/>
              <w:bottom w:type="dxa" w:w="80"/>
              <w:right w:type="dxa" w:w="100"/>
            </w:tcMar>
            <w:vAlign w:val="center"/>
          </w:tcPr>
          <w:p>
            <w:r>
              <w:rPr>
                <w:sz w:val="20"/>
                <w:szCs w:val="20"/>
              </w:rPr>
              <w:t xml:space="preserve">Low</w:t>
            </w:r>
          </w:p>
        </w:tc>
      </w:tr>
      <w:tr>
        <w:tc>
          <w:tcPr>
            <w:tcW w:type="dxa" w:w="5400"/>
            <w:tcMar>
              <w:top w:type="dxa" w:w="80"/>
              <w:left w:type="dxa" w:w="100"/>
              <w:bottom w:type="dxa" w:w="80"/>
              <w:right w:type="dxa" w:w="100"/>
            </w:tcMar>
            <w:vAlign w:val="center"/>
          </w:tcPr>
          <w:p>
            <w:r>
              <w:rPr>
                <w:sz w:val="20"/>
                <w:szCs w:val="20"/>
              </w:rPr>
              <w:t xml:space="preserve">Document MDM policy for staff devices (remote wipe, lock screen)</w:t>
            </w:r>
          </w:p>
        </w:tc>
        <w:tc>
          <w:tcPr>
            <w:tcW w:type="dxa" w:w="2400"/>
            <w:tcMar>
              <w:top w:type="dxa" w:w="80"/>
              <w:left w:type="dxa" w:w="100"/>
              <w:bottom w:type="dxa" w:w="80"/>
              <w:right w:type="dxa" w:w="100"/>
            </w:tcMar>
            <w:vAlign w:val="center"/>
          </w:tcPr>
          <w:p>
            <w:r>
              <w:rPr>
                <w:sz w:val="20"/>
                <w:szCs w:val="20"/>
              </w:rPr>
              <w:t xml:space="preserve">Physical Safeguards §164.310(d)</w:t>
            </w:r>
          </w:p>
        </w:tc>
        <w:tc>
          <w:tcPr>
            <w:tcW w:type="dxa" w:w="1600"/>
            <w:shd w:fill="FFF3CD" w:val="clear"/>
            <w:tcMar>
              <w:top w:type="dxa" w:w="80"/>
              <w:left w:type="dxa" w:w="100"/>
              <w:bottom w:type="dxa" w:w="80"/>
              <w:right w:type="dxa" w:w="100"/>
            </w:tcMar>
            <w:vAlign w:val="center"/>
          </w:tcPr>
          <w:p>
            <w:r>
              <w:rPr>
                <w:sz w:val="20"/>
                <w:szCs w:val="20"/>
              </w:rPr>
              <w:t xml:space="preserve">Medium</w:t>
            </w:r>
          </w:p>
        </w:tc>
      </w:tr>
    </w:tbl>
    <w:p>
      <w:pPr>
        <w:pStyle w:val="Heading1"/>
        <w:spacing w:after="160" w:before="360"/>
      </w:pPr>
      <w:r>
        <w:t xml:space="preserve">14. Authoritative Sources &amp; Citations</w:t>
      </w:r>
    </w:p>
    <w:p>
      <w:pPr>
        <w:spacing w:after="140"/>
      </w:pPr>
      <w:r>
        <w:t xml:space="preserve">Primary legal sources (regulatory text):</w:t>
      </w:r>
    </w:p>
    <w:p>
      <w:pPr>
        <w:pStyle w:val="ListParagraph"/>
        <w:numPr>
          <w:ilvl w:val="0"/>
          <w:numId w:val="2"/>
        </w:numPr>
        <w:spacing w:after="60"/>
      </w:pPr>
      <w:r>
        <w:t xml:space="preserve">45 CFR Part 160 &amp; Part 164 — eCFR, current: https://www.ecfr.gov/current/title-45/subtitle-A/subchapter-C</w:t>
      </w:r>
    </w:p>
    <w:p>
      <w:pPr>
        <w:pStyle w:val="ListParagraph"/>
        <w:numPr>
          <w:ilvl w:val="0"/>
          <w:numId w:val="2"/>
        </w:numPr>
        <w:spacing w:after="60"/>
      </w:pPr>
      <w:r>
        <w:t xml:space="preserve">45 CFR §164.312 (Technical Safeguards) — https://www.ecfr.gov/current/title-45/subtitle-A/subchapter-C/part-164/subpart-C/section-164.312</w:t>
      </w:r>
    </w:p>
    <w:p>
      <w:pPr>
        <w:pStyle w:val="ListParagraph"/>
        <w:numPr>
          <w:ilvl w:val="0"/>
          <w:numId w:val="2"/>
        </w:numPr>
        <w:spacing w:after="60"/>
      </w:pPr>
      <w:r>
        <w:t xml:space="preserve">45 CFR §164.502 (Uses &amp; Disclosures, General Rules) — https://www.ecfr.gov/current/title-45/subtitle-A/subchapter-C/part-164/subpart-E/section-164.502</w:t>
      </w:r>
    </w:p>
    <w:p>
      <w:pPr>
        <w:pStyle w:val="ListParagraph"/>
        <w:numPr>
          <w:ilvl w:val="0"/>
          <w:numId w:val="2"/>
        </w:numPr>
        <w:spacing w:after="60"/>
      </w:pPr>
      <w:r>
        <w:t xml:space="preserve">45 CFR Part 164, Subpart D (Breach Notification) — https://www.ecfr.gov/current/title-45/subtitle-A/subchapter-C/part-164/subpart-D</w:t>
      </w:r>
    </w:p>
    <w:p>
      <w:pPr>
        <w:spacing w:after="140"/>
      </w:pPr>
      <w:r>
        <w:t xml:space="preserve">HHS Office for Civil Rights guidance (interpretive, not binding regulatory text, but reflects enforcement posture):</w:t>
      </w:r>
    </w:p>
    <w:p>
      <w:pPr>
        <w:pStyle w:val="ListParagraph"/>
        <w:numPr>
          <w:ilvl w:val="0"/>
          <w:numId w:val="2"/>
        </w:numPr>
        <w:spacing w:after="60"/>
      </w:pPr>
      <w:r>
        <w:t xml:space="preserve">Personal Representatives — https://www.hhs.gov/hipaa/for-professionals/privacy/guidance/personal-representatives/index.html</w:t>
      </w:r>
    </w:p>
    <w:p>
      <w:pPr>
        <w:pStyle w:val="ListParagraph"/>
        <w:numPr>
          <w:ilvl w:val="0"/>
          <w:numId w:val="2"/>
        </w:numPr>
        <w:spacing w:after="60"/>
      </w:pPr>
      <w:r>
        <w:t xml:space="preserve">FAQ: family member access to PHI — https://www.hhs.gov/hipaa/for-professionals/faq/2069/under-hipaa-when-can-a-family-member/index.html</w:t>
      </w:r>
    </w:p>
    <w:p>
      <w:pPr>
        <w:pStyle w:val="ListParagraph"/>
        <w:numPr>
          <w:ilvl w:val="0"/>
          <w:numId w:val="2"/>
        </w:numPr>
        <w:spacing w:after="60"/>
      </w:pPr>
      <w:r>
        <w:t xml:space="preserve">Security Rule Technical Safeguards (Security Series #4) — https://www.hhs.gov/sites/default/files/ocr/privacy/hipaa/administrative/securityrule/techsafeguards.pdf</w:t>
      </w:r>
    </w:p>
    <w:p>
      <w:pPr>
        <w:pStyle w:val="ListParagraph"/>
        <w:numPr>
          <w:ilvl w:val="0"/>
          <w:numId w:val="2"/>
        </w:numPr>
        <w:spacing w:after="60"/>
      </w:pPr>
      <w:r>
        <w:t xml:space="preserve">Breach Notification Rule overview — https://www.hhs.gov/hipaa/for-professionals/breach-notification/index.html</w:t>
      </w:r>
    </w:p>
    <w:p>
      <w:pPr>
        <w:pStyle w:val="ListParagraph"/>
        <w:numPr>
          <w:ilvl w:val="0"/>
          <w:numId w:val="2"/>
        </w:numPr>
        <w:spacing w:after="60"/>
      </w:pPr>
      <w:r>
        <w:t xml:space="preserve">Business Associate Contracts / sample provisions — https://www.hhs.gov/hipaa/for-professionals/covered-entities/sample-business-associate-agreement-provisions/index.html</w:t>
      </w:r>
    </w:p>
    <w:p>
      <w:pPr>
        <w:pStyle w:val="ListParagraph"/>
        <w:numPr>
          <w:ilvl w:val="0"/>
          <w:numId w:val="2"/>
        </w:numPr>
        <w:spacing w:after="60"/>
      </w:pPr>
      <w:r>
        <w:t xml:space="preserve">Business Associates overview — https://www.hhs.gov/hipaa/for-professionals/privacy/guidance/business-associates/index.html</w:t>
      </w:r>
    </w:p>
    <w:p>
      <w:pPr>
        <w:pStyle w:val="ListParagraph"/>
        <w:numPr>
          <w:ilvl w:val="0"/>
          <w:numId w:val="2"/>
        </w:numPr>
        <w:spacing w:after="60"/>
      </w:pPr>
      <w:r>
        <w:t xml:space="preserve">Proposed HIPAA Security Rule update (Jan. 6, 2025 NPRM), 90 FR 898 — https://www.federalregister.gov/documents/2025/01/06/2024-30983/hipaa-security-rule-to-strengthen-the-cybersecurity-of-electronic-protected-health-information</w:t>
      </w:r>
    </w:p>
    <w:p>
      <w:pPr>
        <w:spacing w:after="140"/>
      </w:pPr>
      <w:r>
        <w:t xml:space="preserve">Industry benchmarks (not HIPAA regulatory text, cited for session-timeout and AAL-selection rationale in Section 7.1 and 7.2):</w:t>
      </w:r>
    </w:p>
    <w:p>
      <w:pPr>
        <w:pStyle w:val="ListParagraph"/>
        <w:numPr>
          <w:ilvl w:val="0"/>
          <w:numId w:val="2"/>
        </w:numPr>
        <w:spacing w:after="60"/>
      </w:pPr>
      <w:r>
        <w:t xml:space="preserve">NIST SP 800-63B, Digital Identity Guidelines — Authentication and Lifecycle Management, session/reauthentication guidance — https://pages.nist.gov/800-63-3/sp800-63b.html</w:t>
      </w:r>
    </w:p>
    <w:p>
      <w:pPr>
        <w:pStyle w:val="ListParagraph"/>
        <w:numPr>
          <w:ilvl w:val="0"/>
          <w:numId w:val="2"/>
        </w:numPr>
        <w:spacing w:after="60"/>
      </w:pPr>
      <w:r>
        <w:t xml:space="preserve">NIST SP 800-63-3, Volume A — Digital Identity Risk Management (impact categories and AAL selection methodology) — https://pages.nist.gov/800-63-3/sp800-63-3.html</w:t>
      </w:r>
    </w:p>
    <w:p>
      <w:pPr>
        <w:spacing w:after="140"/>
      </w:pPr>
      <w:r>
        <w:t xml:space="preserve">AWS-specific references:</w:t>
      </w:r>
    </w:p>
    <w:p>
      <w:pPr>
        <w:pStyle w:val="ListParagraph"/>
        <w:numPr>
          <w:ilvl w:val="0"/>
          <w:numId w:val="2"/>
        </w:numPr>
        <w:spacing w:after="60"/>
      </w:pPr>
      <w:r>
        <w:t xml:space="preserve">AWS HIPAA Eligible Services Reference — https://aws.amazon.com/compliance/hipaa-eligible-services-reference/</w:t>
      </w:r>
    </w:p>
    <w:p>
      <w:pPr>
        <w:pStyle w:val="ListParagraph"/>
        <w:numPr>
          <w:ilvl w:val="0"/>
          <w:numId w:val="2"/>
        </w:numPr>
        <w:spacing w:after="60"/>
      </w:pPr>
      <w:r>
        <w:t xml:space="preserve">AWS HIPAA Compliance overview — https://aws.amazon.com/compliance/hipaa-compliance/</w:t>
      </w:r>
    </w:p>
    <w:p>
      <w:pPr>
        <w:spacing w:before="300"/>
      </w:pPr>
      <w:r>
        <w:rPr>
          <w:i/>
          <w:iCs/>
          <w:color w:val="666666"/>
          <w:sz w:val="18"/>
          <w:szCs w:val="18"/>
        </w:rPr>
        <w:t xml:space="preserve">This reference should be re-validated against current eCFR text and AWS's live HIPAA-eligible services list before relying on it for an audit, and reviewed by qualified privacy counsel before external representation of compliance.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2026-07-19T19:12:53.561Z</dcterms:created>
  <dcterms:modified xsi:type="dcterms:W3CDTF">2026-07-19T19:12:53.561Z</dcterms:modified>
</cp:coreProperties>
</file>

<file path=docProps/custom.xml><?xml version="1.0" encoding="utf-8"?>
<Properties xmlns="http://schemas.openxmlformats.org/officeDocument/2006/custom-properties" xmlns:vt="http://schemas.openxmlformats.org/officeDocument/2006/docPropsVTypes"/>
</file>