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b/>
          <w:color w:val="4338CA"/>
          <w:sz w:val="18"/>
        </w:rPr>
        <w:t>ITSM PLATFORM · DOCUMENT 3 OF 3</w:t>
      </w:r>
    </w:p>
    <w:p>
      <w:pPr>
        <w:pStyle w:val="Title"/>
        <w:spacing w:after="120"/>
      </w:pPr>
      <w:r>
        <w:rPr>
          <w:rFonts w:ascii="Calibri" w:hAnsi="Calibri"/>
          <w:color w:val="161B26"/>
          <w:sz w:val="60"/>
        </w:rPr>
        <w:t>Go-Live Checklist</w:t>
      </w:r>
    </w:p>
    <w:p>
      <w:pPr>
        <w:spacing w:after="200"/>
      </w:pPr>
      <w:r>
        <w:rPr>
          <w:color w:val="4C5262"/>
          <w:sz w:val="23"/>
        </w:rPr>
        <w:t>What to gather before this moves from “we're testing it” to “the team actually uses this.” For each item: what it is, why it matters, where to get it, and where it goes in the app.</w:t>
      </w:r>
    </w:p>
    <w:p>
      <w:pPr>
        <w:pBdr>
          <w:bottom w:val="single" w:sz="6" w:space="6" w:color="DDE1E9"/>
        </w:pBdr>
        <w:spacing w:after="320"/>
      </w:pPr>
      <w:r>
        <w:rPr>
          <w:i/>
          <w:color w:val="4C5262"/>
          <w:sz w:val="18"/>
        </w:rPr>
        <w:t>Prepared September 15, 2026   ·   Companion docs: Build Status, How ITSM AI Works</w:t>
      </w:r>
    </w:p>
    <w:p>
      <w:pPr>
        <w:spacing w:after="280"/>
      </w:pPr>
      <w:r>
        <w:rPr>
          <w:b/>
          <w:color w:val="B91C1C"/>
          <w:sz w:val="16"/>
        </w:rPr>
        <w:t xml:space="preserve"> REQUIRED </w:t>
      </w:r>
      <w:r>
        <w:t xml:space="preserve">   </w:t>
      </w:r>
      <w:r>
        <w:rPr>
          <w:b/>
          <w:color w:val="B45309"/>
          <w:sz w:val="16"/>
        </w:rPr>
        <w:t xml:space="preserve"> RECOMMENDED </w:t>
      </w:r>
      <w:r>
        <w:t xml:space="preserve">   </w:t>
      </w:r>
      <w:r>
        <w:rPr>
          <w:b/>
          <w:color w:val="0F7A54"/>
          <w:sz w:val="16"/>
        </w:rPr>
        <w:t xml:space="preserve"> OPTIONAL </w:t>
      </w:r>
    </w:p>
    <w:p>
      <w:pPr>
        <w:pStyle w:val="Heading1"/>
        <w:spacing w:before="360" w:after="160"/>
        <w:pBdr>
          <w:bottom w:val="single" w:sz="6" w:space="6" w:color="DDE1E9"/>
        </w:pBdr>
      </w:pPr>
      <w:r>
        <w:rPr>
          <w:b/>
          <w:color w:val="161B26"/>
          <w:sz w:val="32"/>
        </w:rPr>
        <w:t>Make the AI assistant real</w:t>
      </w:r>
    </w:p>
    <w:p>
      <w:pPr>
        <w:spacing w:after="40"/>
      </w:pPr>
      <w:r>
        <w:rPr>
          <w:b/>
          <w:color w:val="161B26"/>
          <w:sz w:val="23"/>
        </w:rPr>
        <w:t>An AI provider key</w:t>
      </w:r>
      <w:r>
        <w:rPr>
          <w:b/>
          <w:color w:val="B91C1C"/>
          <w:sz w:val="16"/>
        </w:rPr>
        <w:t xml:space="preserve"> REQUIRED </w:t>
      </w:r>
    </w:p>
    <w:p>
      <w:r>
        <w:rPr>
          <w:i w:val="0"/>
          <w:color w:val="4C5262"/>
          <w:sz w:val="19"/>
        </w:rPr>
        <w:t>Sona (the AI assistant that summarizes tickets, suggests answers, and chats with employees) currently falls back to a placeholder response with no key connected. One key turns that on for real.</w:t>
      </w:r>
    </w:p>
    <w:tbl>
      <w:tblPr>
        <w:tblStyle w:val="LightList-Accent1"/>
        <w:tblW w:type="auto" w:w="0"/>
        <w:tblLook w:firstColumn="1" w:firstRow="1" w:lastColumn="0" w:lastRow="0" w:noHBand="0" w:noVBand="1" w:val="04A0"/>
      </w:tblPr>
      <w:tblGrid>
        <w:gridCol w:w="1814"/>
        <w:gridCol w:w="6520"/>
      </w:tblGrid>
      <w:tr>
        <w:tc>
          <w:tcPr>
            <w:tcW w:type="dxa" w:w="4759"/>
          </w:tcPr>
          <w:p>
            <w:r>
              <w:rPr>
                <w:b/>
                <w:sz w:val="18"/>
              </w:rPr>
              <w:t>Pick one</w:t>
            </w:r>
          </w:p>
        </w:tc>
        <w:tc>
          <w:tcPr>
            <w:tcW w:type="dxa" w:w="4759"/>
          </w:tcPr>
          <w:p>
            <w:r>
              <w:rPr>
                <w:color w:val="4C5262"/>
                <w:sz w:val="18"/>
              </w:rPr>
              <w:t>OpenAI, Azure OpenAI, or Anthropic — any one is enough to start</w:t>
            </w:r>
          </w:p>
        </w:tc>
      </w:tr>
      <w:tr>
        <w:tc>
          <w:tcPr>
            <w:tcW w:type="dxa" w:w="4759"/>
          </w:tcPr>
          <w:p>
            <w:r>
              <w:rPr>
                <w:b/>
                <w:sz w:val="18"/>
              </w:rPr>
              <w:t>Get it from</w:t>
            </w:r>
          </w:p>
        </w:tc>
        <w:tc>
          <w:tcPr>
            <w:tcW w:type="dxa" w:w="4759"/>
          </w:tcPr>
          <w:p>
            <w:r>
              <w:rPr>
                <w:color w:val="4C5262"/>
                <w:sz w:val="18"/>
              </w:rPr>
              <w:t>platform.openai.com → API keys, or your Azure Portal → Azure OpenAI resource, or console.anthropic.com</w:t>
            </w:r>
          </w:p>
        </w:tc>
      </w:tr>
      <w:tr>
        <w:tc>
          <w:tcPr>
            <w:tcW w:type="dxa" w:w="4759"/>
          </w:tcPr>
          <w:p>
            <w:r>
              <w:rPr>
                <w:b/>
                <w:sz w:val="18"/>
              </w:rPr>
              <w:t>Goes into</w:t>
            </w:r>
          </w:p>
        </w:tc>
        <w:tc>
          <w:tcPr>
            <w:tcW w:type="dxa" w:w="4759"/>
          </w:tcPr>
          <w:p>
            <w:r>
              <w:rPr>
                <w:color w:val="4C5262"/>
                <w:sz w:val="18"/>
              </w:rPr>
              <w:t>Admin Settings → AI Settings</w:t>
            </w:r>
          </w:p>
        </w:tc>
      </w:tr>
    </w:tbl>
    <w:p>
      <w:pPr>
        <w:spacing w:after="40"/>
      </w:pPr>
    </w:p>
    <w:p>
      <w:pPr>
        <w:pStyle w:val="Heading1"/>
        <w:spacing w:before="360" w:after="160"/>
        <w:pBdr>
          <w:bottom w:val="single" w:sz="6" w:space="6" w:color="DDE1E9"/>
        </w:pBdr>
      </w:pPr>
      <w:r>
        <w:rPr>
          <w:b/>
          <w:color w:val="161B26"/>
          <w:sz w:val="32"/>
        </w:rPr>
        <w:t>Connect your company's accounts</w:t>
      </w:r>
    </w:p>
    <w:p>
      <w:pPr>
        <w:spacing w:after="40"/>
      </w:pPr>
      <w:r>
        <w:rPr>
          <w:b/>
          <w:color w:val="161B26"/>
          <w:sz w:val="23"/>
        </w:rPr>
        <w:t>Azure AD (or Active Directory) app details</w:t>
      </w:r>
      <w:r>
        <w:rPr>
          <w:b/>
          <w:color w:val="B91C1C"/>
          <w:sz w:val="16"/>
        </w:rPr>
        <w:t xml:space="preserve"> REQUIRED </w:t>
      </w:r>
    </w:p>
    <w:p>
      <w:r>
        <w:rPr>
          <w:i w:val="0"/>
          <w:color w:val="4C5262"/>
          <w:sz w:val="19"/>
        </w:rPr>
        <w:t>Lets employee accounts be created, updated and disabled automatically instead of by hand, and lets people sign in with their existing work account instead of a new password.</w:t>
      </w:r>
    </w:p>
    <w:tbl>
      <w:tblPr>
        <w:tblStyle w:val="LightList-Accent1"/>
        <w:tblW w:type="auto" w:w="0"/>
        <w:tblLook w:firstColumn="1" w:firstRow="1" w:lastColumn="0" w:lastRow="0" w:noHBand="0" w:noVBand="1" w:val="04A0"/>
      </w:tblPr>
      <w:tblGrid>
        <w:gridCol w:w="1814"/>
        <w:gridCol w:w="6520"/>
      </w:tblGrid>
      <w:tr>
        <w:tc>
          <w:tcPr>
            <w:tcW w:type="dxa" w:w="4759"/>
          </w:tcPr>
          <w:p>
            <w:r>
              <w:rPr>
                <w:b/>
                <w:sz w:val="18"/>
              </w:rPr>
              <w:t>You'll need</w:t>
            </w:r>
          </w:p>
        </w:tc>
        <w:tc>
          <w:tcPr>
            <w:tcW w:type="dxa" w:w="4759"/>
          </w:tcPr>
          <w:p>
            <w:r>
              <w:rPr>
                <w:color w:val="4C5262"/>
                <w:sz w:val="18"/>
              </w:rPr>
              <w:t>A Client ID, Client Secret and Tenant ID from an app registration in Azure</w:t>
            </w:r>
          </w:p>
        </w:tc>
      </w:tr>
      <w:tr>
        <w:tc>
          <w:tcPr>
            <w:tcW w:type="dxa" w:w="4759"/>
          </w:tcPr>
          <w:p>
            <w:r>
              <w:rPr>
                <w:b/>
                <w:sz w:val="18"/>
              </w:rPr>
              <w:t>Get it from</w:t>
            </w:r>
          </w:p>
        </w:tc>
        <w:tc>
          <w:tcPr>
            <w:tcW w:type="dxa" w:w="4759"/>
          </w:tcPr>
          <w:p>
            <w:r>
              <w:rPr>
                <w:color w:val="4C5262"/>
                <w:sz w:val="18"/>
              </w:rPr>
              <w:t>Azure Portal → Microsoft Entra ID → App registrations → New registration</w:t>
            </w:r>
          </w:p>
        </w:tc>
      </w:tr>
      <w:tr>
        <w:tc>
          <w:tcPr>
            <w:tcW w:type="dxa" w:w="4759"/>
          </w:tcPr>
          <w:p>
            <w:r>
              <w:rPr>
                <w:b/>
                <w:sz w:val="18"/>
              </w:rPr>
              <w:t>Permissions</w:t>
            </w:r>
          </w:p>
        </w:tc>
        <w:tc>
          <w:tcPr>
            <w:tcW w:type="dxa" w:w="4759"/>
          </w:tcPr>
          <w:p>
            <w:r>
              <w:rPr>
                <w:color w:val="4C5262"/>
                <w:sz w:val="18"/>
              </w:rPr>
              <w:t>User.Read.All / Directory.Read.All for account sync, or just User.Read for sign-in only</w:t>
            </w:r>
          </w:p>
        </w:tc>
      </w:tr>
      <w:tr>
        <w:tc>
          <w:tcPr>
            <w:tcW w:type="dxa" w:w="4759"/>
          </w:tcPr>
          <w:p>
            <w:r>
              <w:rPr>
                <w:b/>
                <w:sz w:val="18"/>
              </w:rPr>
              <w:t>On-prem instead?</w:t>
            </w:r>
          </w:p>
        </w:tc>
        <w:tc>
          <w:tcPr>
            <w:tcW w:type="dxa" w:w="4759"/>
          </w:tcPr>
          <w:p>
            <w:r>
              <w:rPr>
                <w:color w:val="4C5262"/>
                <w:sz w:val="18"/>
              </w:rPr>
              <w:t>Use your Active Directory server address, a service account, and its base DN</w:t>
            </w:r>
          </w:p>
        </w:tc>
      </w:tr>
      <w:tr>
        <w:tc>
          <w:tcPr>
            <w:tcW w:type="dxa" w:w="4759"/>
          </w:tcPr>
          <w:p>
            <w:r>
              <w:rPr>
                <w:b/>
                <w:sz w:val="18"/>
              </w:rPr>
              <w:t>Goes into</w:t>
            </w:r>
          </w:p>
        </w:tc>
        <w:tc>
          <w:tcPr>
            <w:tcW w:type="dxa" w:w="4759"/>
          </w:tcPr>
          <w:p>
            <w:r>
              <w:rPr>
                <w:color w:val="4C5262"/>
                <w:sz w:val="18"/>
              </w:rPr>
              <w:t>Admin Settings → Directory Sync and/or Single Sign-On</w:t>
            </w:r>
          </w:p>
        </w:tc>
      </w:tr>
    </w:tbl>
    <w:p>
      <w:pPr>
        <w:spacing w:after="40"/>
      </w:pPr>
    </w:p>
    <w:p>
      <w:pPr>
        <w:spacing w:after="40"/>
      </w:pPr>
      <w:r>
        <w:rPr>
          <w:b/>
          <w:color w:val="161B26"/>
          <w:sz w:val="23"/>
        </w:rPr>
        <w:t>Someone named as the admin owner</w:t>
      </w:r>
      <w:r>
        <w:rPr>
          <w:b/>
          <w:color w:val="B91C1C"/>
          <w:sz w:val="16"/>
        </w:rPr>
        <w:t xml:space="preserve"> REQUIRED </w:t>
      </w:r>
    </w:p>
    <w:p>
      <w:r>
        <w:rPr>
          <w:i w:val="0"/>
          <w:color w:val="4C5262"/>
          <w:sz w:val="19"/>
        </w:rPr>
        <w:t>One real person (not a shared login) who's responsible for keeping the settings, users and integrations correct going forward.</w:t>
      </w:r>
    </w:p>
    <w:tbl>
      <w:tblPr>
        <w:tblStyle w:val="LightList-Accent1"/>
        <w:tblW w:type="auto" w:w="0"/>
        <w:tblLook w:firstColumn="1" w:firstRow="1" w:lastColumn="0" w:lastRow="0" w:noHBand="0" w:noVBand="1" w:val="04A0"/>
      </w:tblPr>
      <w:tblGrid>
        <w:gridCol w:w="1814"/>
        <w:gridCol w:w="6520"/>
      </w:tblGrid>
      <w:tr>
        <w:tc>
          <w:tcPr>
            <w:tcW w:type="dxa" w:w="4759"/>
          </w:tcPr>
          <w:p>
            <w:r>
              <w:rPr>
                <w:b/>
                <w:sz w:val="18"/>
              </w:rPr>
              <w:t>Decide</w:t>
            </w:r>
          </w:p>
        </w:tc>
        <w:tc>
          <w:tcPr>
            <w:tcW w:type="dxa" w:w="4759"/>
          </w:tcPr>
          <w:p>
            <w:r>
              <w:rPr>
                <w:color w:val="4C5262"/>
                <w:sz w:val="18"/>
              </w:rPr>
              <w:t>Who that is, and give them the seeded admin account or their own admin login</w:t>
            </w:r>
          </w:p>
        </w:tc>
      </w:tr>
    </w:tbl>
    <w:p>
      <w:pPr>
        <w:spacing w:after="40"/>
      </w:pPr>
    </w:p>
    <w:p>
      <w:pPr>
        <w:pStyle w:val="Heading1"/>
        <w:spacing w:before="360" w:after="160"/>
        <w:pBdr>
          <w:bottom w:val="single" w:sz="6" w:space="6" w:color="DDE1E9"/>
        </w:pBdr>
      </w:pPr>
      <w:r>
        <w:rPr>
          <w:b/>
          <w:color w:val="161B26"/>
          <w:sz w:val="32"/>
        </w:rPr>
        <w:t>Make email real</w:t>
      </w:r>
    </w:p>
    <w:p>
      <w:pPr>
        <w:spacing w:after="40"/>
      </w:pPr>
      <w:r>
        <w:rPr>
          <w:b/>
          <w:color w:val="161B26"/>
          <w:sz w:val="23"/>
        </w:rPr>
        <w:t>SMTP email credentials</w:t>
      </w:r>
      <w:r>
        <w:rPr>
          <w:b/>
          <w:color w:val="B91C1C"/>
          <w:sz w:val="16"/>
        </w:rPr>
        <w:t xml:space="preserve"> REQUIRED </w:t>
      </w:r>
    </w:p>
    <w:p>
      <w:r>
        <w:rPr>
          <w:i w:val="0"/>
          <w:color w:val="4C5262"/>
          <w:sz w:val="19"/>
        </w:rPr>
        <w:t>Right now, ticket emails are only logged internally, not actually delivered. Real credentials turn on real delivery — confirmations, replies, approvals, all of it.</w:t>
      </w:r>
    </w:p>
    <w:tbl>
      <w:tblPr>
        <w:tblStyle w:val="LightList-Accent1"/>
        <w:tblW w:type="auto" w:w="0"/>
        <w:tblLook w:firstColumn="1" w:firstRow="1" w:lastColumn="0" w:lastRow="0" w:noHBand="0" w:noVBand="1" w:val="04A0"/>
      </w:tblPr>
      <w:tblGrid>
        <w:gridCol w:w="1814"/>
        <w:gridCol w:w="6520"/>
      </w:tblGrid>
      <w:tr>
        <w:tc>
          <w:tcPr>
            <w:tcW w:type="dxa" w:w="4759"/>
          </w:tcPr>
          <w:p>
            <w:r>
              <w:rPr>
                <w:b/>
                <w:sz w:val="18"/>
              </w:rPr>
              <w:t>You'll need</w:t>
            </w:r>
          </w:p>
        </w:tc>
        <w:tc>
          <w:tcPr>
            <w:tcW w:type="dxa" w:w="4759"/>
          </w:tcPr>
          <w:p>
            <w:r>
              <w:rPr>
                <w:color w:val="4C5262"/>
                <w:sz w:val="18"/>
              </w:rPr>
              <w:t>A host, port, username and password (or app password) from your email provider</w:t>
            </w:r>
          </w:p>
        </w:tc>
      </w:tr>
      <w:tr>
        <w:tc>
          <w:tcPr>
            <w:tcW w:type="dxa" w:w="4759"/>
          </w:tcPr>
          <w:p>
            <w:r>
              <w:rPr>
                <w:b/>
                <w:sz w:val="18"/>
              </w:rPr>
              <w:t>Common sources</w:t>
            </w:r>
          </w:p>
        </w:tc>
        <w:tc>
          <w:tcPr>
            <w:tcW w:type="dxa" w:w="4759"/>
          </w:tcPr>
          <w:p>
            <w:r>
              <w:rPr>
                <w:color w:val="4C5262"/>
                <w:sz w:val="18"/>
              </w:rPr>
              <w:t>Microsoft 365, Google Workspace, SendGrid, or Amazon SES</w:t>
            </w:r>
          </w:p>
        </w:tc>
      </w:tr>
      <w:tr>
        <w:tc>
          <w:tcPr>
            <w:tcW w:type="dxa" w:w="4759"/>
          </w:tcPr>
          <w:p>
            <w:r>
              <w:rPr>
                <w:b/>
                <w:sz w:val="18"/>
              </w:rPr>
              <w:t>Goes into</w:t>
            </w:r>
          </w:p>
        </w:tc>
        <w:tc>
          <w:tcPr>
            <w:tcW w:type="dxa" w:w="4759"/>
          </w:tcPr>
          <w:p>
            <w:r>
              <w:rPr>
                <w:color w:val="4C5262"/>
                <w:sz w:val="18"/>
              </w:rPr>
              <w:t>Admin Settings → Email Configuration</w:t>
            </w:r>
          </w:p>
        </w:tc>
      </w:tr>
    </w:tbl>
    <w:p>
      <w:pPr>
        <w:spacing w:after="40"/>
      </w:pPr>
    </w:p>
    <w:p>
      <w:pPr>
        <w:pStyle w:val="Heading1"/>
        <w:spacing w:before="360" w:after="160"/>
        <w:pBdr>
          <w:bottom w:val="single" w:sz="6" w:space="6" w:color="DDE1E9"/>
        </w:pBdr>
      </w:pPr>
      <w:r>
        <w:rPr>
          <w:b/>
          <w:color w:val="161B26"/>
          <w:sz w:val="32"/>
        </w:rPr>
        <w:t>Make it ready for real use</w:t>
      </w:r>
    </w:p>
    <w:p>
      <w:pPr>
        <w:spacing w:after="40"/>
      </w:pPr>
      <w:r>
        <w:rPr>
          <w:b/>
          <w:color w:val="161B26"/>
          <w:sz w:val="23"/>
        </w:rPr>
        <w:t>Permanent storage</w:t>
      </w:r>
      <w:r>
        <w:rPr>
          <w:b/>
          <w:color w:val="B91C1C"/>
          <w:sz w:val="16"/>
        </w:rPr>
        <w:t xml:space="preserve"> REQUIRED </w:t>
      </w:r>
    </w:p>
    <w:p>
      <w:r>
        <w:rPr>
          <w:i w:val="0"/>
          <w:color w:val="4C5262"/>
          <w:sz w:val="19"/>
        </w:rPr>
        <w:t>The free plan used for testing has no permanent disk — every restart wipes the database back to sample data. Fine for trying the app, not for keeping real tickets.</w:t>
      </w:r>
    </w:p>
    <w:tbl>
      <w:tblPr>
        <w:tblStyle w:val="LightList-Accent1"/>
        <w:tblW w:type="auto" w:w="0"/>
        <w:tblLook w:firstColumn="1" w:firstRow="1" w:lastColumn="0" w:lastRow="0" w:noHBand="0" w:noVBand="1" w:val="04A0"/>
      </w:tblPr>
      <w:tblGrid>
        <w:gridCol w:w="1814"/>
        <w:gridCol w:w="6520"/>
      </w:tblGrid>
      <w:tr>
        <w:tc>
          <w:tcPr>
            <w:tcW w:type="dxa" w:w="4759"/>
          </w:tcPr>
          <w:p>
            <w:r>
              <w:rPr>
                <w:b/>
                <w:sz w:val="18"/>
              </w:rPr>
              <w:t>What to do</w:t>
            </w:r>
          </w:p>
        </w:tc>
        <w:tc>
          <w:tcPr>
            <w:tcW w:type="dxa" w:w="4759"/>
          </w:tcPr>
          <w:p>
            <w:r>
              <w:rPr>
                <w:color w:val="4C5262"/>
                <w:sz w:val="18"/>
              </w:rPr>
              <w:t>Move to a paid hosting tier with a persistent disk, or a proper hosted database, before entering real data</w:t>
            </w:r>
          </w:p>
        </w:tc>
      </w:tr>
    </w:tbl>
    <w:p>
      <w:pPr>
        <w:spacing w:after="40"/>
      </w:pPr>
    </w:p>
    <w:p>
      <w:pPr>
        <w:spacing w:after="40"/>
      </w:pPr>
      <w:r>
        <w:rPr>
          <w:b/>
          <w:color w:val="161B26"/>
          <w:sz w:val="23"/>
        </w:rPr>
        <w:t>A custom domain</w:t>
      </w:r>
      <w:r>
        <w:rPr>
          <w:b/>
          <w:color w:val="B45309"/>
          <w:sz w:val="16"/>
        </w:rPr>
        <w:t xml:space="preserve"> RECOMMENDED </w:t>
      </w:r>
    </w:p>
    <w:p>
      <w:r>
        <w:rPr>
          <w:i w:val="0"/>
          <w:color w:val="4C5262"/>
          <w:sz w:val="19"/>
        </w:rPr>
        <w:t>A company address (like helpdesk.yourcompany.com) is easier to trust and remember than the free testing link. A secure padlock (SSL) comes free with it.</w:t>
      </w:r>
    </w:p>
    <w:p>
      <w:pPr>
        <w:spacing w:after="40"/>
      </w:pPr>
      <w:r>
        <w:rPr>
          <w:b/>
          <w:color w:val="161B26"/>
          <w:sz w:val="23"/>
        </w:rPr>
        <w:t>Multi-factor authentication</w:t>
      </w:r>
      <w:r>
        <w:rPr>
          <w:b/>
          <w:color w:val="B45309"/>
          <w:sz w:val="16"/>
        </w:rPr>
        <w:t xml:space="preserve"> RECOMMENDED </w:t>
      </w:r>
    </w:p>
    <w:p>
      <w:r>
        <w:rPr>
          <w:i w:val="0"/>
          <w:color w:val="4C5262"/>
          <w:sz w:val="19"/>
        </w:rPr>
        <w:t>An extra check beyond a password — especially worth turning on for admin accounts, which can see and change everything.</w:t>
      </w:r>
    </w:p>
    <w:p>
      <w:pPr>
        <w:spacing w:after="40"/>
      </w:pPr>
      <w:r>
        <w:rPr>
          <w:b/>
          <w:color w:val="161B26"/>
          <w:sz w:val="23"/>
        </w:rPr>
        <w:t>A backup plan</w:t>
      </w:r>
      <w:r>
        <w:rPr>
          <w:b/>
          <w:color w:val="B45309"/>
          <w:sz w:val="16"/>
        </w:rPr>
        <w:t xml:space="preserve"> RECOMMENDED </w:t>
      </w:r>
    </w:p>
    <w:p>
      <w:r>
        <w:rPr>
          <w:i w:val="0"/>
          <w:color w:val="4C5262"/>
          <w:sz w:val="19"/>
        </w:rPr>
        <w:t>A schedule for saving copies of the data somewhere safe, so a bad restart or an accidental change is never the whole story.</w:t>
      </w:r>
    </w:p>
    <w:p>
      <w:pPr>
        <w:pStyle w:val="Heading1"/>
        <w:spacing w:before="360" w:after="160"/>
        <w:pBdr>
          <w:bottom w:val="single" w:sz="6" w:space="6" w:color="DDE1E9"/>
        </w:pBdr>
      </w:pPr>
      <w:r>
        <w:rPr>
          <w:b/>
          <w:color w:val="161B26"/>
          <w:sz w:val="32"/>
        </w:rPr>
        <w:t>Optional, if you want them</w:t>
      </w:r>
    </w:p>
    <w:p>
      <w:pPr>
        <w:spacing w:after="40"/>
      </w:pPr>
      <w:r>
        <w:rPr>
          <w:b/>
          <w:color w:val="161B26"/>
          <w:sz w:val="23"/>
        </w:rPr>
        <w:t>A Slack webhook URL</w:t>
      </w:r>
      <w:r>
        <w:rPr>
          <w:b/>
          <w:color w:val="0F7A54"/>
          <w:sz w:val="16"/>
        </w:rPr>
        <w:t xml:space="preserve"> OPTIONAL </w:t>
      </w:r>
    </w:p>
    <w:p>
      <w:r>
        <w:rPr>
          <w:i w:val="0"/>
          <w:color w:val="4C5262"/>
          <w:sz w:val="19"/>
        </w:rPr>
        <w:t>Posts alerts into a Slack channel, e.g. when a critical ticket comes in.</w:t>
      </w:r>
    </w:p>
    <w:tbl>
      <w:tblPr>
        <w:tblStyle w:val="LightList-Accent1"/>
        <w:tblW w:type="auto" w:w="0"/>
        <w:tblLook w:firstColumn="1" w:firstRow="1" w:lastColumn="0" w:lastRow="0" w:noHBand="0" w:noVBand="1" w:val="04A0"/>
      </w:tblPr>
      <w:tblGrid>
        <w:gridCol w:w="1814"/>
        <w:gridCol w:w="6520"/>
      </w:tblGrid>
      <w:tr>
        <w:tc>
          <w:tcPr>
            <w:tcW w:type="dxa" w:w="4759"/>
          </w:tcPr>
          <w:p>
            <w:r>
              <w:rPr>
                <w:b/>
                <w:sz w:val="18"/>
              </w:rPr>
              <w:t>Goes into</w:t>
            </w:r>
          </w:p>
        </w:tc>
        <w:tc>
          <w:tcPr>
            <w:tcW w:type="dxa" w:w="4759"/>
          </w:tcPr>
          <w:p>
            <w:r>
              <w:rPr>
                <w:color w:val="4C5262"/>
                <w:sz w:val="18"/>
              </w:rPr>
              <w:t>Integrations → Connect integration</w:t>
            </w:r>
          </w:p>
        </w:tc>
      </w:tr>
    </w:tbl>
    <w:p>
      <w:pPr>
        <w:spacing w:after="40"/>
      </w:pPr>
    </w:p>
    <w:p>
      <w:pPr>
        <w:spacing w:after="40"/>
      </w:pPr>
      <w:r>
        <w:rPr>
          <w:b/>
          <w:color w:val="161B26"/>
          <w:sz w:val="23"/>
        </w:rPr>
        <w:t>Jira / ServiceNow / Freshservice credentials</w:t>
      </w:r>
      <w:r>
        <w:rPr>
          <w:b/>
          <w:color w:val="0F7A54"/>
          <w:sz w:val="16"/>
        </w:rPr>
        <w:t xml:space="preserve"> OPTIONAL </w:t>
      </w:r>
    </w:p>
    <w:p>
      <w:r>
        <w:rPr>
          <w:i w:val="0"/>
          <w:color w:val="4C5262"/>
          <w:sz w:val="19"/>
        </w:rPr>
        <w:t>Only needed if you want tickets to stay in sync with one of those tools automatically, in both directions.</w:t>
      </w:r>
    </w:p>
    <w:tbl>
      <w:tblPr>
        <w:tblStyle w:val="LightList-Accent1"/>
        <w:tblW w:type="auto" w:w="0"/>
        <w:tblLook w:firstColumn="1" w:firstRow="1" w:lastColumn="0" w:lastRow="0" w:noHBand="0" w:noVBand="1" w:val="04A0"/>
      </w:tblPr>
      <w:tblGrid>
        <w:gridCol w:w="1814"/>
        <w:gridCol w:w="6520"/>
      </w:tblGrid>
      <w:tr>
        <w:tc>
          <w:tcPr>
            <w:tcW w:type="dxa" w:w="4759"/>
          </w:tcPr>
          <w:p>
            <w:r>
              <w:rPr>
                <w:b/>
                <w:sz w:val="18"/>
              </w:rPr>
              <w:t>Goes into</w:t>
            </w:r>
          </w:p>
        </w:tc>
        <w:tc>
          <w:tcPr>
            <w:tcW w:type="dxa" w:w="4759"/>
          </w:tcPr>
          <w:p>
            <w:r>
              <w:rPr>
                <w:color w:val="4C5262"/>
                <w:sz w:val="18"/>
              </w:rPr>
              <w:t>External Connections</w:t>
            </w:r>
          </w:p>
        </w:tc>
      </w:tr>
    </w:tbl>
    <w:p>
      <w:pPr>
        <w:spacing w:after="40"/>
      </w:pPr>
    </w:p>
    <w:tbl>
      <w:tblPr>
        <w:tblW w:type="auto" w:w="0"/>
        <w:jc w:val="center"/>
        <w:tblLook w:firstColumn="1" w:firstRow="1" w:lastColumn="0" w:lastRow="0" w:noHBand="0" w:noVBand="1" w:val="04A0"/>
      </w:tblPr>
      <w:tblGrid>
        <w:gridCol w:w="9518"/>
      </w:tblGrid>
      <w:tr>
        <w:tc>
          <w:tcPr>
            <w:tcW w:type="dxa" w:w="9518"/>
            <w:shd w:val="clear" w:color="auto" w:fill="EEF0FD"/>
            <w:tcBorders>
              <w:top w:val="single" w:sz="4" w:color="C7CAF5"/>
              <w:left w:val="single" w:sz="4" w:color="C7CAF5"/>
              <w:bottom w:val="single" w:sz="4" w:color="C7CAF5"/>
              <w:right w:val="single" w:sz="4" w:color="C7CAF5"/>
            </w:tcBorders>
          </w:tcPr>
          <w:p>
            <w:r>
              <w:rPr>
                <w:b/>
                <w:color w:val="4338CA"/>
                <w:sz w:val="21"/>
              </w:rPr>
              <w:t>One more thing worth doing</w:t>
            </w:r>
          </w:p>
          <w:p>
            <w:r>
              <w:rPr>
                <w:color w:val="161B26"/>
                <w:sz w:val="20"/>
              </w:rPr>
              <w:t>Before real employee data goes in anywhere, it's worth a short security pass — who has admin access, is MFA on for them, is the AI key scoped and not shared in chat, does the backup plan actually get tested. None of that needs to block a first real trial with a small, friendly team, but it should happen before the whole company relies on it.</w:t>
            </w:r>
          </w:p>
        </w:tc>
      </w:tr>
    </w:tbl>
    <w:p>
      <w:pPr>
        <w:spacing w:after="80"/>
      </w:pPr>
    </w:p>
    <w:p>
      <w:pPr>
        <w:pStyle w:val="Heading1"/>
        <w:spacing w:before="360" w:after="160"/>
        <w:pBdr>
          <w:bottom w:val="single" w:sz="6" w:space="6" w:color="DDE1E9"/>
        </w:pBdr>
      </w:pPr>
      <w:r>
        <w:rPr>
          <w:b/>
          <w:color w:val="161B26"/>
          <w:sz w:val="32"/>
        </w:rPr>
        <w:t>Suggested Order</w:t>
      </w:r>
    </w:p>
    <w:p>
      <w:pPr>
        <w:spacing w:after="80"/>
      </w:pPr>
      <w:r>
        <w:rPr>
          <w:b/>
          <w:color w:val="4338CA"/>
          <w:sz w:val="21"/>
        </w:rPr>
        <w:t xml:space="preserve">1.  </w:t>
      </w:r>
      <w:r>
        <w:rPr>
          <w:color w:val="161B26"/>
          <w:sz w:val="21"/>
        </w:rPr>
        <w:t>Name the admin owner</w:t>
      </w:r>
    </w:p>
    <w:p>
      <w:pPr>
        <w:spacing w:after="80"/>
      </w:pPr>
      <w:r>
        <w:rPr>
          <w:b/>
          <w:color w:val="4338CA"/>
          <w:sz w:val="21"/>
        </w:rPr>
        <w:t xml:space="preserve">2.  </w:t>
      </w:r>
      <w:r>
        <w:rPr>
          <w:color w:val="161B26"/>
          <w:sz w:val="21"/>
        </w:rPr>
        <w:t>Add SMTP email credentials</w:t>
      </w:r>
    </w:p>
    <w:p>
      <w:pPr>
        <w:spacing w:after="80"/>
      </w:pPr>
      <w:r>
        <w:rPr>
          <w:b/>
          <w:color w:val="4338CA"/>
          <w:sz w:val="21"/>
        </w:rPr>
        <w:t xml:space="preserve">3.  </w:t>
      </w:r>
      <w:r>
        <w:rPr>
          <w:color w:val="161B26"/>
          <w:sz w:val="21"/>
        </w:rPr>
        <w:t>Add an AI provider key</w:t>
      </w:r>
    </w:p>
    <w:p>
      <w:pPr>
        <w:spacing w:after="80"/>
      </w:pPr>
      <w:r>
        <w:rPr>
          <w:b/>
          <w:color w:val="4338CA"/>
          <w:sz w:val="21"/>
        </w:rPr>
        <w:t xml:space="preserve">4.  </w:t>
      </w:r>
      <w:r>
        <w:rPr>
          <w:color w:val="161B26"/>
          <w:sz w:val="21"/>
        </w:rPr>
        <w:t>Connect Azure AD / Active Directory</w:t>
      </w:r>
    </w:p>
    <w:p>
      <w:pPr>
        <w:spacing w:after="80"/>
      </w:pPr>
      <w:r>
        <w:rPr>
          <w:b/>
          <w:color w:val="4338CA"/>
          <w:sz w:val="21"/>
        </w:rPr>
        <w:t xml:space="preserve">5.  </w:t>
      </w:r>
      <w:r>
        <w:rPr>
          <w:color w:val="161B26"/>
          <w:sz w:val="21"/>
        </w:rPr>
        <w:t>Move to permanent, paid hosting</w:t>
      </w:r>
    </w:p>
    <w:p>
      <w:pPr>
        <w:spacing w:after="80"/>
      </w:pPr>
      <w:r>
        <w:rPr>
          <w:b/>
          <w:color w:val="4338CA"/>
          <w:sz w:val="21"/>
        </w:rPr>
        <w:t xml:space="preserve">6.  </w:t>
      </w:r>
      <w:r>
        <w:rPr>
          <w:color w:val="161B26"/>
          <w:sz w:val="21"/>
        </w:rPr>
        <w:t>Turn on MFA and do a short security pass</w:t>
      </w:r>
    </w:p>
    <w:p>
      <w:pPr>
        <w:spacing w:after="80"/>
      </w:pPr>
      <w:r>
        <w:rPr>
          <w:b/>
          <w:color w:val="4338CA"/>
          <w:sz w:val="21"/>
        </w:rPr>
        <w:t xml:space="preserve">7.  </w:t>
      </w:r>
      <w:r>
        <w:rPr>
          <w:color w:val="161B26"/>
          <w:sz w:val="21"/>
        </w:rPr>
        <w:t>Point a custom domain at it</w:t>
      </w:r>
    </w:p>
    <w:p>
      <w:pPr>
        <w:spacing w:after="80"/>
      </w:pPr>
      <w:r>
        <w:rPr>
          <w:b/>
          <w:color w:val="4338CA"/>
          <w:sz w:val="21"/>
        </w:rPr>
        <w:t xml:space="preserve">8.  </w:t>
      </w:r>
      <w:r>
        <w:rPr>
          <w:color w:val="161B26"/>
          <w:sz w:val="21"/>
        </w:rPr>
        <w:t>Everything else, as you need it</w:t>
      </w:r>
    </w:p>
    <w:p>
      <w:pPr>
        <w:pBdr>
          <w:top w:val="single" w:sz="6" w:space="6" w:color="DDE1E9"/>
        </w:pBdr>
        <w:spacing w:before="360"/>
      </w:pPr>
      <w:r>
        <w:rPr>
          <w:color w:val="4C5262"/>
          <w:sz w:val="17"/>
        </w:rPr>
        <w:t>ITSM Platform Documentation</w:t>
      </w:r>
      <w:r>
        <w:rPr>
          <w:i/>
          <w:color w:val="4C5262"/>
          <w:sz w:val="17"/>
        </w:rPr>
        <w:tab/>
        <w:t>Doc 3/3 · Go-Live Checklist</w:t>
      </w:r>
    </w:p>
    <w:sectPr w:rsidR="00FC693F" w:rsidRPr="0006063C" w:rsidSect="00034616">
      <w:pgSz w:w="12240" w:h="15840"/>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color w:val="161B2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