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/>
          <w:sz w:val="22"/>
        </w:rPr>
        <w:t>International Conference on Advances in Aerospace and Navigation Systems (ICAAN–2026)</w:t>
      </w:r>
    </w:p>
    <w:p>
      <w:pPr>
        <w:spacing w:after="280"/>
        <w:jc w:val="center"/>
      </w:pPr>
      <w:r>
        <w:rPr>
          <w:b w:val="0"/>
          <w:i/>
          <w:sz w:val="22"/>
        </w:rPr>
        <w:t>Track: Artificial Intelligence in Aerospace</w:t>
      </w:r>
    </w:p>
    <w:p>
      <w:pPr>
        <w:spacing w:after="240"/>
        <w:jc w:val="center"/>
      </w:pPr>
      <w:r>
        <w:rPr>
          <w:b/>
          <w:i w:val="0"/>
          <w:sz w:val="28"/>
        </w:rPr>
        <w:t>Machine Learning Surrogate Model for Rapid Prediction of Lift and Suction Peak of NACA 4-Digit Airfoils</w:t>
      </w:r>
    </w:p>
    <w:p>
      <w:pPr>
        <w:spacing w:after="40"/>
        <w:jc w:val="center"/>
      </w:pPr>
      <w:r>
        <w:rPr>
          <w:b/>
          <w:sz w:val="24"/>
        </w:rPr>
        <w:t>Dr. S. R. Sathishkumar</w:t>
      </w:r>
      <w:r>
        <w:rPr>
          <w:sz w:val="24"/>
          <w:vertAlign w:val="superscript"/>
        </w:rPr>
        <w:t>1*</w:t>
      </w:r>
      <w:r>
        <w:t xml:space="preserve">, </w:t>
      </w:r>
      <w:r>
        <w:rPr>
          <w:b/>
          <w:sz w:val="24"/>
        </w:rPr>
        <w:t>[Staff Name]</w:t>
      </w:r>
      <w:r>
        <w:rPr>
          <w:sz w:val="24"/>
          <w:vertAlign w:val="superscript"/>
        </w:rPr>
        <w:t>1</w:t>
      </w:r>
      <w:r>
        <w:t xml:space="preserve">, </w:t>
      </w:r>
      <w:r>
        <w:rPr>
          <w:b/>
          <w:sz w:val="24"/>
        </w:rPr>
        <w:t>[Student 1]</w:t>
      </w:r>
      <w:r>
        <w:rPr>
          <w:sz w:val="24"/>
          <w:vertAlign w:val="superscript"/>
        </w:rPr>
        <w:t>2</w:t>
      </w:r>
      <w:r>
        <w:t xml:space="preserve">, </w:t>
      </w:r>
      <w:r>
        <w:rPr>
          <w:b/>
          <w:sz w:val="24"/>
        </w:rPr>
        <w:t>[Student 2]</w:t>
      </w:r>
      <w:r>
        <w:rPr>
          <w:sz w:val="24"/>
          <w:vertAlign w:val="superscript"/>
        </w:rPr>
        <w:t>2</w:t>
      </w:r>
      <w:r>
        <w:t xml:space="preserve">, </w:t>
      </w:r>
      <w:r>
        <w:rPr>
          <w:b/>
          <w:sz w:val="24"/>
        </w:rPr>
        <w:t>[Student 3]</w:t>
      </w:r>
      <w:r>
        <w:rPr>
          <w:sz w:val="24"/>
          <w:vertAlign w:val="superscript"/>
        </w:rPr>
        <w:t>2</w:t>
      </w:r>
      <w:r>
        <w:t xml:space="preserve">, </w:t>
      </w:r>
      <w:r>
        <w:rPr>
          <w:b/>
          <w:sz w:val="24"/>
        </w:rPr>
        <w:t>[Student 4]</w:t>
      </w:r>
      <w:r>
        <w:rPr>
          <w:sz w:val="24"/>
          <w:vertAlign w:val="superscript"/>
        </w:rPr>
        <w:t>2</w:t>
      </w:r>
    </w:p>
    <w:p>
      <w:pPr>
        <w:spacing w:after="0"/>
        <w:jc w:val="center"/>
      </w:pPr>
      <w:r>
        <w:rPr>
          <w:b w:val="0"/>
          <w:i/>
          <w:sz w:val="22"/>
        </w:rPr>
        <w:t>¹Assistant Professor, ²UG Student, Department of Mechanical Engineering,</w:t>
      </w:r>
    </w:p>
    <w:p>
      <w:pPr>
        <w:spacing w:after="0"/>
        <w:jc w:val="center"/>
      </w:pPr>
      <w:r>
        <w:rPr>
          <w:b w:val="0"/>
          <w:i/>
          <w:sz w:val="22"/>
        </w:rPr>
        <w:t>St. Joseph’s College of Engineering and Technology, Thanjavur – 613 403, Tamil Nadu, India</w:t>
      </w:r>
    </w:p>
    <w:p>
      <w:pPr>
        <w:spacing w:after="320"/>
        <w:jc w:val="center"/>
      </w:pPr>
      <w:r>
        <w:rPr>
          <w:b w:val="0"/>
          <w:i/>
          <w:sz w:val="22"/>
        </w:rPr>
        <w:t>*Corresponding author: [email address]</w:t>
      </w:r>
    </w:p>
    <w:p>
      <w:pPr>
        <w:spacing w:after="120"/>
        <w:jc w:val="left"/>
      </w:pPr>
      <w:r>
        <w:rPr>
          <w:b/>
          <w:sz w:val="24"/>
        </w:rPr>
        <w:t>Abstract</w:t>
      </w:r>
    </w:p>
    <w:p>
      <w:pPr>
        <w:spacing w:after="200" w:line="276" w:lineRule="auto"/>
        <w:jc w:val="both"/>
      </w:pPr>
      <w:r>
        <w:rPr>
          <w:b w:val="0"/>
          <w:i w:val="0"/>
          <w:sz w:val="24"/>
        </w:rPr>
        <w:t>Aerodynamic analysis of airfoils during the preliminary design of aircraft and unmanned aerial vehicles (UAVs) requires repeated flow computations, which become time-consuming when many shape variants must be evaluated. This work presents a machine learning (ML) surrogate model that instantly predicts the lift coefficient (CL) and the minimum pressure coefficient (Cp,min, suction peak) of NACA 4-digit airfoils. A Hess–Smith source–vortex panel method with 160 panels was implemented in Python and validated against thin airfoil theory: the computed lift-curve slope of NACA 0012 was 0.120 per degree, and the zero-lift angle of NACA 2412 was −2.13°, compared with −2.08° predicted by theory. Using the validated solver, a dataset of 3,000 cases was generated by randomly varying the maximum camber (0–6%), camber position (20–60% of chord), thickness (8–18%) and angle of attack (−4° to 12°). Linear regression, random forest and artificial neural network (ANN, two hidden layers of 64 neurons) models were trained on 80% of the data and tested on the remaining 20%. The ANN gave the best accuracy, with a coefficient of determination (R²) of 0.999 for both CL and Cp,min and mean absolute errors of 0.016 and 0.042 respectively, whereas linear regression could not capture the nonlinear suction peak (R² = 0.66). Angle of attack and camber were found to dominate the lift. The trained ANN predicts each case about 1,500 times faster than the panel method, enabling rapid design-space exploration of UAV wing sections. The present study is limited to inviscid, incompressible flow; viscous effects and stall will be included in future work.</w:t>
      </w:r>
    </w:p>
    <w:p>
      <w:pPr>
        <w:spacing w:after="0"/>
        <w:jc w:val="both"/>
      </w:pPr>
      <w:r>
        <w:rPr>
          <w:b/>
        </w:rPr>
        <w:t xml:space="preserve">Keywords: </w:t>
      </w:r>
      <w:r>
        <w:t>Airfoil; Panel method; Machine learning; Artificial neural network; Surrogate model; UAV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