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DataQuery Assistant</w:t>
      </w:r>
    </w:p>
    <w:p>
      <w:pPr>
        <w:pStyle w:val="Heading3"/>
      </w:pPr>
      <w:r>
        <w:t>User Query:</w:t>
      </w:r>
      <w:r>
        <w:rPr>
          <w:b/>
        </w:rPr>
        <w:t xml:space="preserve"> Show total transactions by region in Q1 2024’</w:t>
      </w:r>
    </w:p>
    <w:p>
      <w:pPr>
        <w:pStyle w:val="Heading3"/>
      </w:pPr>
      <w:r>
        <w:t>Summary:</w:t>
      </w:r>
    </w:p>
    <w:p>
      <w:r>
        <w:t>Summary of Transactions - Q1 2024</w:t>
        <w:br/>
        <w:br/>
        <w:t>**Status Breakdowns:**  There were 0 successful and 0 failed transactions recorded.</w:t>
        <w:br/>
        <w:br/>
        <w:t>**Monthly/Quarterly Trends and Peaks/Dips:**  Analysis of monthly trends is not possible due to the lack of temporal data (only quarterly data is provided).  The highest number of total transactions in Q1 2024 was observed in North America East (91 transactions), while the lowest was in Europe Central (75 transactions).</w:t>
        <w:br/>
        <w:br/>
        <w:t>**Transaction Methods:** No information on transaction methods is available in the provided dataset.</w:t>
        <w:br/>
        <w:br/>
        <w:t>**Total Transactions by Region (Q1 2024):**</w:t>
        <w:br/>
        <w:br/>
        <w:t>The total number of transactions across all regions in Q1 2024 was 390.  The regional breakdown is as follows:</w:t>
        <w:br/>
        <w:br/>
        <w:t>* APAC: 63 transactions</w:t>
        <w:br/>
        <w:t>* North America West: 81 transactions</w:t>
        <w:br/>
        <w:t>* North America East: 91 transactions</w:t>
        <w:br/>
        <w:t>* Europe West: 80 transactions</w:t>
        <w:br/>
        <w:t>* Europe Central: 75 transactions</w:t>
        <w:br/>
        <w:br/>
        <w:t>**Note:** The absence of successful and failed transaction data prevents a more detailed analysis of transaction success rates or potential issues.  Further data is needed to understand transaction methods and temporal patterns beyond the provided quarterly overview.</w:t>
      </w:r>
    </w:p>
    <w:p>
      <w:pPr>
        <w:pStyle w:val="Heading3"/>
      </w:pPr>
      <w:r>
        <w:t>Story Insights:</w:t>
      </w:r>
    </w:p>
    <w:p>
      <w:pPr>
        <w:pStyle w:val="ListBullet"/>
      </w:pPr>
      <w:r>
        <w:t>Total transactions in Q1 2024 across all regions were 390.</w:t>
      </w:r>
    </w:p>
    <w:p>
      <w:pPr>
        <w:pStyle w:val="ListBullet"/>
      </w:pPr>
      <w:r>
        <w:t>North America East had the highest number of transactions (91), while Europe Central had the lowest (75).</w:t>
      </w:r>
    </w:p>
    <w:p>
      <w:pPr>
        <w:pStyle w:val="ListBullet"/>
      </w:pPr>
      <w:r>
        <w:t>APAC recorded 63 transactions in Q1 2024.</w:t>
      </w:r>
    </w:p>
    <w:p>
      <w:pPr>
        <w:pStyle w:val="ListBullet"/>
      </w:pPr>
      <w:r>
        <w:t>North America West and Europe West recorded 81 and 80 transactions respectively.</w:t>
      </w:r>
    </w:p>
    <w:p>
      <w:pPr>
        <w:pStyle w:val="ListBullet"/>
      </w:pPr>
      <w:r>
        <w:t>No data on transaction success rates or methods is available.</w:t>
      </w:r>
    </w:p>
    <w:p>
      <w:pPr>
        <w:pStyle w:val="Heading3"/>
      </w:pPr>
      <w:r>
        <w:t>Key Points Summary:</w:t>
      </w:r>
    </w:p>
    <w:p>
      <w:pPr>
        <w:pStyle w:val="ListBullet"/>
      </w:pPr>
      <w:r>
        <w:t>**North America is the top performing region:**  North America (East &amp; West combined) accounts for nearly half of all Q1 2024 transactions.</w:t>
      </w:r>
    </w:p>
    <w:p>
      <w:pPr>
        <w:pStyle w:val="ListBullet"/>
      </w:pPr>
      <w:r>
        <w:t>**Regional performance varies:** Significant differences exist in transaction volume across regions, ranging from 63 (APAC) to 91 (North America East).</w:t>
      </w:r>
    </w:p>
    <w:p>
      <w:pPr>
        <w:pStyle w:val="ListBullet"/>
      </w:pPr>
      <w:r>
        <w:t>**Data limitations hinder deeper analysis:** The absence of transaction success rates, methods, and monthly data prevents a comprehensive performance evaluation.</w:t>
      </w:r>
    </w:p>
    <w:p>
      <w:pPr>
        <w:pStyle w:val="ListBullet"/>
      </w:pPr>
      <w:r>
        <w:t>**Q1 2024 total transactions:** A total of 390 transactions were recorded across all regions in Q1 2024.</w:t>
      </w:r>
    </w:p>
    <w:p>
      <w:pPr>
        <w:pStyle w:val="ListBullet"/>
      </w:pPr>
      <w:r>
        <w:t>**Further data required:**  More granular data is needed to identify areas for improvement and optimize regional performance.</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chart_q1_transactions_20250616_093432.png"/>
                    <pic:cNvPicPr/>
                  </pic:nvPicPr>
                  <pic:blipFill>
                    <a:blip r:embed="rId9"/>
                    <a:stretch>
                      <a:fillRect/>
                    </a:stretch>
                  </pic:blipFill>
                  <pic:spPr>
                    <a:xfrm>
                      <a:off x="0" y="0"/>
                      <a:ext cx="4572000" cy="304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