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ind w:firstLine="0"/>
        <w:jc w:val="center"/>
      </w:pPr>
      <w:r>
        <w:rPr>
          <w:rFonts w:ascii="Times New Roman" w:hAnsi="Times New Roman"/>
          <w:b w:val="0"/>
          <w:sz w:val="24"/>
        </w:rPr>
      </w:r>
    </w:p>
    <w:p>
      <w:pPr>
        <w:spacing w:line="480" w:lineRule="auto"/>
        <w:ind w:firstLine="0"/>
        <w:jc w:val="center"/>
      </w:pPr>
      <w:r>
        <w:rPr>
          <w:rFonts w:ascii="Times New Roman" w:hAnsi="Times New Roman"/>
          <w:b w:val="0"/>
          <w:sz w:val="24"/>
        </w:rPr>
      </w:r>
    </w:p>
    <w:p>
      <w:pPr>
        <w:spacing w:line="480" w:lineRule="auto"/>
        <w:ind w:firstLine="0"/>
        <w:jc w:val="center"/>
      </w:pPr>
      <w:r>
        <w:rPr>
          <w:rFonts w:ascii="Times New Roman" w:hAnsi="Times New Roman"/>
          <w:b w:val="0"/>
          <w:sz w:val="24"/>
        </w:rPr>
        <w:t>Data Analytics Capstone</w:t>
      </w:r>
    </w:p>
    <w:p>
      <w:pPr>
        <w:spacing w:line="480" w:lineRule="auto"/>
        <w:ind w:firstLine="0"/>
        <w:jc w:val="center"/>
      </w:pPr>
      <w:r>
        <w:rPr>
          <w:rFonts w:ascii="Times New Roman" w:hAnsi="Times New Roman"/>
          <w:b w:val="0"/>
          <w:sz w:val="24"/>
        </w:rPr>
        <w:t>An Investigative Agentic AI Framework for CMS Hospital Excess Readmission Risk: Parallel Machine Learning, Fairness Monitoring, and Tool-Grounded Quality Improvement Case Dossiers under Human-in-the-Loop Review</w:t>
      </w:r>
    </w:p>
    <w:p>
      <w:pPr>
        <w:spacing w:line="480" w:lineRule="auto"/>
        <w:ind w:firstLine="0"/>
        <w:jc w:val="center"/>
      </w:pPr>
      <w:r>
        <w:rPr>
          <w:rFonts w:ascii="Times New Roman" w:hAnsi="Times New Roman"/>
          <w:b w:val="0"/>
          <w:sz w:val="24"/>
        </w:rPr>
      </w:r>
    </w:p>
    <w:p>
      <w:pPr>
        <w:spacing w:line="480" w:lineRule="auto"/>
        <w:ind w:firstLine="0"/>
        <w:jc w:val="center"/>
      </w:pPr>
      <w:r>
        <w:rPr>
          <w:rFonts w:ascii="Times New Roman" w:hAnsi="Times New Roman"/>
          <w:b w:val="0"/>
          <w:sz w:val="24"/>
        </w:rPr>
        <w:t>Interim Report</w:t>
      </w:r>
    </w:p>
    <w:p>
      <w:pPr>
        <w:spacing w:line="480" w:lineRule="auto"/>
        <w:ind w:firstLine="0"/>
        <w:jc w:val="center"/>
      </w:pPr>
      <w:r>
        <w:rPr>
          <w:rFonts w:ascii="Times New Roman" w:hAnsi="Times New Roman"/>
          <w:b w:val="0"/>
          <w:sz w:val="24"/>
        </w:rPr>
      </w:r>
    </w:p>
    <w:p>
      <w:pPr>
        <w:spacing w:line="480" w:lineRule="auto"/>
        <w:ind w:firstLine="0"/>
        <w:jc w:val="center"/>
      </w:pPr>
      <w:r>
        <w:rPr>
          <w:rFonts w:ascii="Times New Roman" w:hAnsi="Times New Roman"/>
          <w:b w:val="0"/>
          <w:sz w:val="24"/>
        </w:rPr>
        <w:t>SATHIYAVIRADHAN JANARTHANAN</w:t>
      </w:r>
    </w:p>
    <w:p>
      <w:pPr>
        <w:spacing w:line="480" w:lineRule="auto"/>
        <w:ind w:firstLine="0"/>
        <w:jc w:val="center"/>
      </w:pPr>
      <w:r>
        <w:rPr>
          <w:rFonts w:ascii="Times New Roman" w:hAnsi="Times New Roman"/>
          <w:b w:val="0"/>
          <w:sz w:val="24"/>
        </w:rPr>
        <w:t>Walsh College</w:t>
      </w:r>
    </w:p>
    <w:p>
      <w:pPr>
        <w:spacing w:line="480" w:lineRule="auto"/>
        <w:ind w:firstLine="0"/>
        <w:jc w:val="center"/>
      </w:pPr>
      <w:r>
        <w:rPr>
          <w:rFonts w:ascii="Times New Roman" w:hAnsi="Times New Roman"/>
          <w:b w:val="0"/>
          <w:sz w:val="24"/>
        </w:rPr>
        <w:t>QM640: Data Analytics Capstone</w:t>
      </w:r>
    </w:p>
    <w:p>
      <w:pPr>
        <w:spacing w:line="480" w:lineRule="auto"/>
        <w:ind w:firstLine="0"/>
        <w:jc w:val="center"/>
      </w:pPr>
      <w:r>
        <w:rPr>
          <w:rFonts w:ascii="Times New Roman" w:hAnsi="Times New Roman"/>
          <w:b w:val="0"/>
          <w:sz w:val="24"/>
        </w:rPr>
        <w:t>Mentor: SRIDHAR S</w:t>
      </w:r>
    </w:p>
    <w:p>
      <w:pPr>
        <w:spacing w:line="480" w:lineRule="auto"/>
        <w:ind w:firstLine="0"/>
        <w:jc w:val="center"/>
      </w:pPr>
      <w:r>
        <w:rPr>
          <w:rFonts w:ascii="Times New Roman" w:hAnsi="Times New Roman"/>
          <w:b w:val="0"/>
          <w:sz w:val="24"/>
        </w:rPr>
        <w:t>Group – 2</w:t>
      </w:r>
    </w:p>
    <w:p>
      <w:pPr>
        <w:spacing w:line="480" w:lineRule="auto"/>
        <w:ind w:firstLine="0"/>
        <w:jc w:val="center"/>
      </w:pPr>
      <w:r>
        <w:rPr>
          <w:rFonts w:ascii="Times New Roman" w:hAnsi="Times New Roman"/>
          <w:b w:val="0"/>
          <w:sz w:val="24"/>
        </w:rPr>
        <w:t>Summer 2026 Term</w:t>
      </w:r>
    </w:p>
    <w:p>
      <w:pPr>
        <w:spacing w:line="480" w:lineRule="auto"/>
        <w:ind w:firstLine="0"/>
        <w:jc w:val="center"/>
      </w:pPr>
      <w:r>
        <w:rPr>
          <w:rFonts w:ascii="Times New Roman" w:hAnsi="Times New Roman"/>
          <w:b w:val="0"/>
          <w:sz w:val="24"/>
        </w:rPr>
        <w:t>July 28, 2026</w:t>
      </w:r>
    </w:p>
    <w:p>
      <w:r>
        <w:br w:type="page"/>
      </w:r>
    </w:p>
    <w:p>
      <w:pPr>
        <w:spacing w:line="480" w:lineRule="auto"/>
        <w:ind w:firstLine="0"/>
      </w:pPr>
      <w:r>
        <w:rPr>
          <w:rFonts w:ascii="Times New Roman" w:hAnsi="Times New Roman"/>
          <w:b w:val="0"/>
          <w:sz w:val="24"/>
        </w:rPr>
        <w:t>GitHub repository (data files and code):</w:t>
      </w:r>
    </w:p>
    <w:p>
      <w:pPr>
        <w:spacing w:line="480" w:lineRule="auto"/>
        <w:ind w:firstLine="0"/>
      </w:pPr>
      <w:r>
        <w:rPr>
          <w:rFonts w:ascii="Times New Roman" w:hAnsi="Times New Roman"/>
          <w:b w:val="0"/>
          <w:sz w:val="24"/>
        </w:rPr>
        <w:t>https://github.com/sathiyaviradhan/qm640-investigative-qi-agent-hrrp</w:t>
      </w:r>
    </w:p>
    <w:p>
      <w:pPr>
        <w:spacing w:line="480" w:lineRule="auto"/>
        <w:ind w:firstLine="0"/>
      </w:pPr>
      <w:r>
        <w:rPr>
          <w:rFonts w:ascii="Times New Roman" w:hAnsi="Times New Roman"/>
          <w:b w:val="0"/>
          <w:sz w:val="24"/>
        </w:rPr>
        <w:t>Local package paths mirrored for GitHub: DATASET/analytic_core/ (raw extracts); analysis_outputs/processed/ (cleaned eligible panel); run_interim_analysis.py and analysis_outputs/ (code, metrics, figures).</w:t>
      </w:r>
    </w:p>
    <w:p>
      <w:pPr>
        <w:spacing w:line="480" w:lineRule="auto" w:before="240"/>
        <w:ind w:firstLine="0"/>
        <w:jc w:val="center"/>
      </w:pPr>
      <w:r>
        <w:rPr>
          <w:rFonts w:ascii="Times New Roman" w:hAnsi="Times New Roman"/>
          <w:b/>
          <w:sz w:val="24"/>
        </w:rPr>
        <w:t>Introduction</w:t>
      </w:r>
    </w:p>
    <w:p>
      <w:pPr>
        <w:spacing w:line="480" w:lineRule="auto" w:before="240"/>
        <w:ind w:firstLine="0"/>
      </w:pPr>
      <w:r>
        <w:rPr>
          <w:rFonts w:ascii="Times New Roman" w:hAnsi="Times New Roman"/>
          <w:b/>
          <w:sz w:val="24"/>
        </w:rPr>
        <w:t>Background and Context</w:t>
      </w:r>
    </w:p>
    <w:p>
      <w:pPr>
        <w:spacing w:line="480" w:lineRule="auto"/>
        <w:ind w:firstLine="720"/>
      </w:pPr>
      <w:r>
        <w:rPr>
          <w:rFonts w:ascii="Times New Roman" w:hAnsi="Times New Roman"/>
          <w:b w:val="0"/>
          <w:sz w:val="24"/>
        </w:rPr>
        <w:t>Hospital readmissions remain a central quality and cost concern in U.S. healthcare operations. Under the Centers for Medicare &amp; Medicaid Services (CMS) Hospital Readmissions Reduction Program (HRRP), hospitals with higher-than-expected unplanned 30-day readmissions face Medicare payment reductions of up to three percent (Centers for Medicare &amp; Medicaid Services [CMS], 2024). Quality leaders therefore need early excess-risk insight, equitable monitoring across reporting cycles, and actionable quality-improvement (QI) options that remain faithful to public CMS evidence.</w:t>
      </w:r>
    </w:p>
    <w:p>
      <w:pPr>
        <w:spacing w:line="480" w:lineRule="auto"/>
        <w:ind w:firstLine="720"/>
      </w:pPr>
      <w:r>
        <w:rPr>
          <w:rFonts w:ascii="Times New Roman" w:hAnsi="Times New Roman"/>
          <w:b w:val="0"/>
          <w:sz w:val="24"/>
        </w:rPr>
        <w:t>Supervised machine learning (ML) is well suited to tabular CMS quality files for excess-risk scoring, and TRIPOD+AI emphasizes transparent validation and fairness reporting for clinical prediction models (Collins et al., 2024). Audits show that readmission models can encode contextual bias (Wang, Weiner, Saria, &amp; Kharrazi, 2024), and fairness can drift after deployment (Davis et al., 2025). These findings motivate parallel statistical association, predictive scoring, and fairness-monitoring tracks—but they do not by themselves produce a board-ready QI case package.</w:t>
      </w:r>
    </w:p>
    <w:p>
      <w:pPr>
        <w:spacing w:line="480" w:lineRule="auto"/>
        <w:ind w:firstLine="720"/>
      </w:pPr>
      <w:r>
        <w:rPr>
          <w:rFonts w:ascii="Times New Roman" w:hAnsi="Times New Roman"/>
          <w:b w:val="0"/>
          <w:sz w:val="24"/>
        </w:rPr>
        <w:t>The harder operational gap is investigative decision support. When Excess Readmission Ratio (ERR) exceeds 1.0, quality teams must assemble hospital CMS metrics, find peer hospitals that improved across fiscal releases, quantify temporal change, run what-if calculations (for example, how much predicted readmission rate must fall for ERR ≤ 1), and propose QI options with citations. Unconstrained large language models (LLMs) are fast but unsafe: they can hallucinate rates, invent peers, and recommend unsupported interventions (Singhal et al., 2023). Tool-wielding agents can explore clinical tables (Yang et al., 2026), yet prior work has not evaluated a multi-step investigative agent that builds peer-benchmarked, what-if-supported, citation-verified QI dossiers on multi-year CMS HRRP public files under mandatory human-in-the-loop (HITL) review.</w:t>
      </w:r>
    </w:p>
    <w:p>
      <w:pPr>
        <w:spacing w:line="480" w:lineRule="auto"/>
        <w:ind w:firstLine="720"/>
      </w:pPr>
      <w:r>
        <w:rPr>
          <w:rFonts w:ascii="Times New Roman" w:hAnsi="Times New Roman"/>
          <w:b w:val="0"/>
          <w:sz w:val="24"/>
        </w:rPr>
        <w:t>This interim report documents progress through planning Steps 2–4 (literature framing, SMART objectives/hypotheses, and design/methods) and presents executed preliminary results for all four research questions. The study uses verified CMS Provider Data Catalog extracts for FY2024–FY2026 (pooled eligible N = 35,724 hospital–condition rows with non-missing ERR). Track A delivers association, ML scoring, and fairness monitoring. Track B delivers an Investigative Agentic QI Case Agent. Research questions remain independent so timeline risk is controlled.</w:t>
      </w:r>
    </w:p>
    <w:p>
      <w:pPr>
        <w:spacing w:line="480" w:lineRule="auto" w:before="240"/>
        <w:ind w:firstLine="0"/>
      </w:pPr>
      <w:r>
        <w:rPr>
          <w:rFonts w:ascii="Times New Roman" w:hAnsi="Times New Roman"/>
          <w:b/>
          <w:sz w:val="24"/>
        </w:rPr>
        <w:t>Problem Statement</w:t>
      </w:r>
    </w:p>
    <w:p>
      <w:pPr>
        <w:spacing w:line="480" w:lineRule="auto"/>
        <w:ind w:firstLine="720"/>
      </w:pPr>
      <w:r>
        <w:rPr>
          <w:rFonts w:ascii="Times New Roman" w:hAnsi="Times New Roman"/>
          <w:b w:val="0"/>
          <w:sz w:val="24"/>
        </w:rPr>
        <w:t>U.S. acute-care hospitals face avoidable Medicare payment exposure under HRRP when excess 30-day readmission risk (ERR &gt; 1.0) is not anticipated, when subgroup performance is not monitored across CMS fiscal releases, and when quality leaders lack a trustworthy investigative dossier that correctly combines hospital metrics, improving peers, temporal change, and what-if analysis before human QI decisions. Using public CMS HRRP and Hospital General Information files for FY2024–FY2026, this study addresses four complementary problems in parallel: (1) associate hospital attributes with excess risk; (2) score excess-risk status with supervised ML out-of-time; (3) monitor fairness/performance across fiscal releases; and (4) evaluate a multi-step tool-grounded investigative agent that opens high-ERR cases and produces verified QI case dossiers for mandatory human Accept/Edit/Reject. The dependent variable for scoring is Y = 1 if ERR &gt; 1.0 (else 0).</w:t>
      </w:r>
    </w:p>
    <w:p>
      <w:pPr>
        <w:spacing w:line="480" w:lineRule="auto" w:before="240"/>
        <w:ind w:firstLine="0"/>
      </w:pPr>
      <w:r>
        <w:rPr>
          <w:rFonts w:ascii="Times New Roman" w:hAnsi="Times New Roman"/>
          <w:b/>
          <w:sz w:val="24"/>
        </w:rPr>
        <w:t>Purpose of the Study</w:t>
      </w:r>
    </w:p>
    <w:p>
      <w:pPr>
        <w:spacing w:line="480" w:lineRule="auto"/>
        <w:ind w:firstLine="720"/>
      </w:pPr>
      <w:r>
        <w:rPr>
          <w:rFonts w:ascii="Times New Roman" w:hAnsi="Times New Roman"/>
          <w:b w:val="0"/>
          <w:sz w:val="24"/>
        </w:rPr>
        <w:t>The purpose is to deliver a timeline-safe package that (a) explains excess-risk associations, (b) validates an ML scoring engine, (c) monitors fairness across FY2024–FY2026, and (d) evaluates an Investigative Agentic QI Case Agent that uniquely solves multi-source case investigation and dossier construction under HITL governance. At interim stage, the purpose is also to demonstrate that code has been developed and executed, with reproducible tables/figures linked to each research question.</w:t>
      </w:r>
    </w:p>
    <w:p>
      <w:pPr>
        <w:spacing w:line="480" w:lineRule="auto" w:before="240"/>
        <w:ind w:firstLine="0"/>
      </w:pPr>
      <w:r>
        <w:rPr>
          <w:rFonts w:ascii="Times New Roman" w:hAnsi="Times New Roman"/>
          <w:b/>
          <w:sz w:val="24"/>
        </w:rPr>
        <w:t>Interim Project Status (Progress Snapshot)</w:t>
      </w:r>
    </w:p>
    <w:p>
      <w:pPr>
        <w:spacing w:line="480" w:lineRule="auto"/>
        <w:ind w:firstLine="0"/>
      </w:pPr>
      <w:r>
        <w:rPr>
          <w:rFonts w:ascii="Times New Roman" w:hAnsi="Times New Roman"/>
          <w:b/>
          <w:sz w:val="24"/>
        </w:rPr>
        <w:t>Completed:</w:t>
      </w:r>
    </w:p>
    <w:p>
      <w:pPr>
        <w:spacing w:line="480" w:lineRule="auto"/>
        <w:ind w:firstLine="0"/>
      </w:pPr>
      <w:r>
        <w:rPr>
          <w:rFonts w:ascii="Times New Roman" w:hAnsi="Times New Roman"/>
          <w:b w:val="0"/>
          <w:sz w:val="24"/>
        </w:rPr>
        <w:t>• Literature synthesis (≥10 sources) mapped to RQ1–RQ4 (Step 2).</w:t>
      </w:r>
    </w:p>
    <w:p>
      <w:pPr>
        <w:spacing w:line="480" w:lineRule="auto"/>
        <w:ind w:firstLine="0"/>
      </w:pPr>
      <w:r>
        <w:rPr>
          <w:rFonts w:ascii="Times New Roman" w:hAnsi="Times New Roman"/>
          <w:b w:val="0"/>
          <w:sz w:val="24"/>
        </w:rPr>
        <w:t>• SMART objectives, independent RQs, and H0/Ha statements locked to First Submission (Step 3).</w:t>
      </w:r>
    </w:p>
    <w:p>
      <w:pPr>
        <w:spacing w:line="480" w:lineRule="auto"/>
        <w:ind w:firstLine="0"/>
      </w:pPr>
      <w:r>
        <w:rPr>
          <w:rFonts w:ascii="Times New Roman" w:hAnsi="Times New Roman"/>
          <w:b w:val="0"/>
          <w:sz w:val="24"/>
        </w:rPr>
        <w:t>• Methods design: cleaning rules, feature set, out-of-time split, fairness metrics, agent evaluation protocol (Step 4).</w:t>
      </w:r>
    </w:p>
    <w:p>
      <w:pPr>
        <w:spacing w:line="480" w:lineRule="auto"/>
        <w:ind w:firstLine="0"/>
      </w:pPr>
      <w:r>
        <w:rPr>
          <w:rFonts w:ascii="Times New Roman" w:hAnsi="Times New Roman"/>
          <w:b w:val="0"/>
          <w:sz w:val="24"/>
        </w:rPr>
        <w:t>• Dataset verification and analytic_core extracts for FY2024–FY2026.</w:t>
      </w:r>
    </w:p>
    <w:p>
      <w:pPr>
        <w:spacing w:line="480" w:lineRule="auto"/>
        <w:ind w:firstLine="0"/>
      </w:pPr>
      <w:r>
        <w:rPr>
          <w:rFonts w:ascii="Times New Roman" w:hAnsi="Times New Roman"/>
          <w:b w:val="0"/>
          <w:sz w:val="24"/>
        </w:rPr>
        <w:t>• Data cleaning executed: raw N=55,614; eligible ERR N=35,724 (35.76% removed for missing ERR).</w:t>
      </w:r>
    </w:p>
    <w:p>
      <w:pPr>
        <w:spacing w:line="480" w:lineRule="auto"/>
        <w:ind w:firstLine="0"/>
      </w:pPr>
      <w:r>
        <w:rPr>
          <w:rFonts w:ascii="Times New Roman" w:hAnsi="Times New Roman"/>
          <w:b w:val="0"/>
          <w:sz w:val="24"/>
        </w:rPr>
        <w:t>• EDA figures (Figures 1–4) generated and interpreted.</w:t>
      </w:r>
    </w:p>
    <w:p>
      <w:pPr>
        <w:spacing w:line="480" w:lineRule="auto"/>
        <w:ind w:firstLine="0"/>
      </w:pPr>
      <w:r>
        <w:rPr>
          <w:rFonts w:ascii="Times New Roman" w:hAnsi="Times New Roman"/>
          <w:b w:val="0"/>
          <w:sz w:val="24"/>
        </w:rPr>
        <w:t>• RQ1 multivariable logistic associations estimated on pooled eligible panel.</w:t>
      </w:r>
    </w:p>
    <w:p>
      <w:pPr>
        <w:spacing w:line="480" w:lineRule="auto"/>
        <w:ind w:firstLine="0"/>
      </w:pPr>
      <w:r>
        <w:rPr>
          <w:rFonts w:ascii="Times New Roman" w:hAnsi="Times New Roman"/>
          <w:b w:val="0"/>
          <w:sz w:val="24"/>
        </w:rPr>
        <w:t>• RQ2 out-of-time ML (train FY2024–FY2025; test FY2026) for logistic, random forest, gradient boosting.</w:t>
      </w:r>
    </w:p>
    <w:p>
      <w:pPr>
        <w:spacing w:line="480" w:lineRule="auto"/>
        <w:ind w:firstLine="0"/>
      </w:pPr>
      <w:r>
        <w:rPr>
          <w:rFonts w:ascii="Times New Roman" w:hAnsi="Times New Roman"/>
          <w:b w:val="0"/>
          <w:sz w:val="24"/>
        </w:rPr>
        <w:t>• RQ3 temporal AUROC and ownership ΔFNR monitoring across FY releases.</w:t>
      </w:r>
    </w:p>
    <w:p>
      <w:pPr>
        <w:spacing w:line="480" w:lineRule="auto"/>
        <w:ind w:firstLine="0"/>
      </w:pPr>
      <w:r>
        <w:rPr>
          <w:rFonts w:ascii="Times New Roman" w:hAnsi="Times New Roman"/>
          <w:b w:val="0"/>
          <w:sz w:val="24"/>
        </w:rPr>
        <w:t>• RQ4 tool-grounded investigative agent vs no-tool LLM vs static dashboard on n=80 high-ERR cases.</w:t>
      </w:r>
    </w:p>
    <w:p>
      <w:pPr>
        <w:spacing w:line="480" w:lineRule="auto"/>
        <w:ind w:firstLine="0"/>
      </w:pPr>
      <w:r>
        <w:rPr>
          <w:rFonts w:ascii="Times New Roman" w:hAnsi="Times New Roman"/>
          <w:b/>
          <w:sz w:val="24"/>
        </w:rPr>
        <w:t>In progress:</w:t>
      </w:r>
    </w:p>
    <w:p>
      <w:pPr>
        <w:spacing w:line="480" w:lineRule="auto"/>
        <w:ind w:firstLine="0"/>
      </w:pPr>
      <w:r>
        <w:rPr>
          <w:rFonts w:ascii="Times New Roman" w:hAnsi="Times New Roman"/>
          <w:b w:val="0"/>
          <w:sz w:val="24"/>
        </w:rPr>
        <w:t>• SHAP/driver ranks as optional dossier evidence (not required for RQ4 tools).</w:t>
      </w:r>
    </w:p>
    <w:p>
      <w:pPr>
        <w:spacing w:line="480" w:lineRule="auto"/>
        <w:ind w:firstLine="0"/>
      </w:pPr>
      <w:r>
        <w:rPr>
          <w:rFonts w:ascii="Times New Roman" w:hAnsi="Times New Roman"/>
          <w:b w:val="0"/>
          <w:sz w:val="24"/>
        </w:rPr>
        <w:t>• Human HITL Accept/Edit/Reject score sheet with external reviewer ratings (proxy usefulness used at interim).</w:t>
      </w:r>
    </w:p>
    <w:p>
      <w:pPr>
        <w:spacing w:line="480" w:lineRule="auto"/>
        <w:ind w:firstLine="0"/>
      </w:pPr>
      <w:r>
        <w:rPr>
          <w:rFonts w:ascii="Times New Roman" w:hAnsi="Times New Roman"/>
          <w:b w:val="0"/>
          <w:sz w:val="24"/>
        </w:rPr>
        <w:t>• GitHub publication of full repository and README for evaluator access.</w:t>
      </w:r>
    </w:p>
    <w:p>
      <w:pPr>
        <w:spacing w:line="480" w:lineRule="auto"/>
        <w:ind w:firstLine="0"/>
      </w:pPr>
      <w:r>
        <w:rPr>
          <w:rFonts w:ascii="Times New Roman" w:hAnsi="Times New Roman"/>
          <w:b/>
          <w:sz w:val="24"/>
        </w:rPr>
        <w:t>Pending (Final Report):</w:t>
      </w:r>
    </w:p>
    <w:p>
      <w:pPr>
        <w:spacing w:line="480" w:lineRule="auto"/>
        <w:ind w:firstLine="0"/>
      </w:pPr>
      <w:r>
        <w:rPr>
          <w:rFonts w:ascii="Times New Roman" w:hAnsi="Times New Roman"/>
          <w:b w:val="0"/>
          <w:sz w:val="24"/>
        </w:rPr>
        <w:t>• Sensitivity analyses (alternate thresholds; optional predicted/expected feature ablation transparency).</w:t>
      </w:r>
    </w:p>
    <w:p>
      <w:pPr>
        <w:spacing w:line="480" w:lineRule="auto"/>
        <w:ind w:firstLine="0"/>
      </w:pPr>
      <w:r>
        <w:rPr>
          <w:rFonts w:ascii="Times New Roman" w:hAnsi="Times New Roman"/>
          <w:b w:val="0"/>
          <w:sz w:val="24"/>
        </w:rPr>
        <w:t>• Calibration plots and decision-curve style operational framing for RQ2.</w:t>
      </w:r>
    </w:p>
    <w:p>
      <w:pPr>
        <w:spacing w:line="480" w:lineRule="auto"/>
        <w:ind w:firstLine="0"/>
      </w:pPr>
      <w:r>
        <w:rPr>
          <w:rFonts w:ascii="Times New Roman" w:hAnsi="Times New Roman"/>
          <w:b w:val="0"/>
          <w:sz w:val="24"/>
        </w:rPr>
        <w:t>• Expanded fairness strata (state/ZIP-derived geography) and formal drift tests.</w:t>
      </w:r>
    </w:p>
    <w:p>
      <w:pPr>
        <w:spacing w:line="480" w:lineRule="auto"/>
        <w:ind w:firstLine="0"/>
      </w:pPr>
      <w:r>
        <w:rPr>
          <w:rFonts w:ascii="Times New Roman" w:hAnsi="Times New Roman"/>
          <w:b w:val="0"/>
          <w:sz w:val="24"/>
        </w:rPr>
        <w:t>• Optional LLM API planner layer behind the same tool contracts (current interim uses deterministic tool-grounded dossier generator).</w:t>
      </w:r>
    </w:p>
    <w:p>
      <w:pPr>
        <w:spacing w:line="480" w:lineRule="auto"/>
        <w:ind w:firstLine="0"/>
      </w:pPr>
      <w:r>
        <w:rPr>
          <w:rFonts w:ascii="Times New Roman" w:hAnsi="Times New Roman"/>
          <w:b w:val="0"/>
          <w:sz w:val="24"/>
        </w:rPr>
        <w:t>• Final recommendations, limitations expansion, and presentation package.</w:t>
      </w:r>
    </w:p>
    <w:p>
      <w:pPr>
        <w:spacing w:line="480" w:lineRule="auto" w:before="240"/>
        <w:ind w:firstLine="0"/>
        <w:jc w:val="center"/>
      </w:pPr>
      <w:r>
        <w:rPr>
          <w:rFonts w:ascii="Times New Roman" w:hAnsi="Times New Roman"/>
          <w:b/>
          <w:sz w:val="24"/>
        </w:rPr>
        <w:t>Scope and Objectives</w:t>
      </w:r>
    </w:p>
    <w:p>
      <w:pPr>
        <w:spacing w:line="480" w:lineRule="auto"/>
        <w:ind w:firstLine="720"/>
      </w:pPr>
      <w:r>
        <w:rPr>
          <w:rFonts w:ascii="Times New Roman" w:hAnsi="Times New Roman"/>
          <w:b w:val="0"/>
          <w:sz w:val="24"/>
        </w:rPr>
        <w:t>Scope boundaries. U.S. Medicare-participating acute-care hospitals in CMS HRRP joined to same-year Hospital General Information for FY2024–FY2026 (measures: AMI, HF, PN, COPD, CABG, HIP-KNEE). Track B produces advisory QI case dossiers only. No protected health information (PHI), no Kaggle data, and no autonomous clinical/CMS actions. Analytic scope is limited to core HRRP + General Information files.</w:t>
      </w:r>
    </w:p>
    <w:p>
      <w:pPr>
        <w:spacing w:line="480" w:lineRule="auto"/>
        <w:ind w:firstLine="720"/>
      </w:pPr>
      <w:r>
        <w:rPr>
          <w:rFonts w:ascii="Times New Roman" w:hAnsi="Times New Roman"/>
          <w:b w:val="0"/>
          <w:sz w:val="24"/>
        </w:rPr>
        <w:t>Primary objectives (parallel). (1) Association analysis for excess risk. (2) Out-of-time ML scoring. (3) Fairness/performance monitoring across FY releases. (4) Evaluate Investigative Agentic QI Case Agent against no-tool LLM and static dashboard baselines under mandatory HITL. (5) Reproducible code/data package.</w:t>
      </w:r>
    </w:p>
    <w:p>
      <w:pPr>
        <w:spacing w:line="480" w:lineRule="auto" w:before="240"/>
        <w:ind w:firstLine="0"/>
      </w:pPr>
      <w:r>
        <w:rPr>
          <w:rFonts w:ascii="Times New Roman" w:hAnsi="Times New Roman"/>
          <w:b/>
          <w:sz w:val="24"/>
        </w:rPr>
        <w:t>Research Question 1 (RQ1)</w:t>
      </w:r>
    </w:p>
    <w:p>
      <w:pPr>
        <w:spacing w:line="480" w:lineRule="auto"/>
        <w:ind w:firstLine="720"/>
      </w:pPr>
      <w:r>
        <w:rPr>
          <w:rFonts w:ascii="Times New Roman" w:hAnsi="Times New Roman"/>
          <w:b w:val="0"/>
          <w:sz w:val="24"/>
        </w:rPr>
        <w:t>Which hospital structural and contextual variables are significantly associated with excess readmission risk (ERR &gt; 1.0) after adjusting for condition measure and fiscal-year release?</w:t>
      </w:r>
    </w:p>
    <w:p>
      <w:pPr>
        <w:spacing w:line="480" w:lineRule="auto"/>
        <w:ind w:firstLine="720"/>
      </w:pPr>
      <w:r>
        <w:rPr>
          <w:rFonts w:ascii="Times New Roman" w:hAnsi="Times New Roman"/>
          <w:b w:val="0"/>
          <w:sz w:val="24"/>
        </w:rPr>
        <w:t>Hypothesis RQ1. H0: After adjustment, focal predictors have no association (β = 0). Ha: At least one focal predictor has a nonzero association at α = .05.</w:t>
      </w:r>
    </w:p>
    <w:p>
      <w:pPr>
        <w:spacing w:line="480" w:lineRule="auto" w:before="240"/>
        <w:ind w:firstLine="0"/>
      </w:pPr>
      <w:r>
        <w:rPr>
          <w:rFonts w:ascii="Times New Roman" w:hAnsi="Times New Roman"/>
          <w:b/>
          <w:sz w:val="24"/>
        </w:rPr>
        <w:t>Research Question 2 (RQ2)</w:t>
      </w:r>
    </w:p>
    <w:p>
      <w:pPr>
        <w:spacing w:line="480" w:lineRule="auto"/>
        <w:ind w:firstLine="720"/>
      </w:pPr>
      <w:r>
        <w:rPr>
          <w:rFonts w:ascii="Times New Roman" w:hAnsi="Times New Roman"/>
          <w:b w:val="0"/>
          <w:sz w:val="24"/>
        </w:rPr>
        <w:t>How well can supervised ML classifiers (regularized logistic regression, random forest, gradient boosting) discriminate excess readmission risk on out-of-time (later FY) samples relative to a transparent logistic baseline?</w:t>
      </w:r>
    </w:p>
    <w:p>
      <w:pPr>
        <w:spacing w:line="480" w:lineRule="auto"/>
        <w:ind w:firstLine="720"/>
      </w:pPr>
      <w:r>
        <w:rPr>
          <w:rFonts w:ascii="Times New Roman" w:hAnsi="Times New Roman"/>
          <w:b w:val="0"/>
          <w:sz w:val="24"/>
        </w:rPr>
        <w:t>Hypothesis RQ2. H0: Best ML out-of-time AUROC ≤ logistic baseline + 0.02. Ha: Best ML out-of-time AUROC &gt; logistic baseline + 0.02. Absolute AUROC, PR-AUC, and calibration-related metrics remain standalone deliverables.</w:t>
      </w:r>
    </w:p>
    <w:p>
      <w:pPr>
        <w:spacing w:line="480" w:lineRule="auto" w:before="240"/>
        <w:ind w:firstLine="0"/>
      </w:pPr>
      <w:r>
        <w:rPr>
          <w:rFonts w:ascii="Times New Roman" w:hAnsi="Times New Roman"/>
          <w:b/>
          <w:sz w:val="24"/>
        </w:rPr>
        <w:t>Research Question 3 (RQ3)</w:t>
      </w:r>
    </w:p>
    <w:p>
      <w:pPr>
        <w:spacing w:line="480" w:lineRule="auto"/>
        <w:ind w:firstLine="720"/>
      </w:pPr>
      <w:r>
        <w:rPr>
          <w:rFonts w:ascii="Times New Roman" w:hAnsi="Times New Roman"/>
          <w:b w:val="0"/>
          <w:sz w:val="24"/>
        </w:rPr>
        <w:t>Do discrimination and fairness metrics (AUROC and ΔFNR across ownership subgroups) differ across FY2024, FY2025, and FY2026 when a model trained on an earlier release is scored on later releases?</w:t>
      </w:r>
    </w:p>
    <w:p>
      <w:pPr>
        <w:spacing w:line="480" w:lineRule="auto"/>
        <w:ind w:firstLine="720"/>
      </w:pPr>
      <w:r>
        <w:rPr>
          <w:rFonts w:ascii="Times New Roman" w:hAnsi="Times New Roman"/>
          <w:b w:val="0"/>
          <w:sz w:val="24"/>
        </w:rPr>
        <w:t>Hypothesis RQ3. H0: Fairness gaps and AUROC do not differ across releases beyond operational thresholds. Ha: At least one operationally meaningful change (|ΔFNR| increase &gt; 0.05 or AUROC drop &gt; 0.03).</w:t>
      </w:r>
    </w:p>
    <w:p>
      <w:pPr>
        <w:spacing w:line="480" w:lineRule="auto" w:before="240"/>
        <w:ind w:firstLine="0"/>
      </w:pPr>
      <w:r>
        <w:rPr>
          <w:rFonts w:ascii="Times New Roman" w:hAnsi="Times New Roman"/>
          <w:b/>
          <w:sz w:val="24"/>
        </w:rPr>
        <w:t>Research Question 4 (RQ4)</w:t>
      </w:r>
    </w:p>
    <w:p>
      <w:pPr>
        <w:spacing w:line="480" w:lineRule="auto"/>
        <w:ind w:firstLine="720"/>
      </w:pPr>
      <w:r>
        <w:rPr>
          <w:rFonts w:ascii="Times New Roman" w:hAnsi="Times New Roman"/>
          <w:b w:val="0"/>
          <w:sz w:val="24"/>
        </w:rPr>
        <w:t>For high-ERR hospital–condition cases, does a multi-step tool-grounded Investigative Agentic QI Case Agent (case intake → metrics → improving-peer discovery → temporal change → what-if calculator → citation-linked dossier) produce higher evidence completeness, lower numeric hallucination, and higher HITL usefulness than (a) a no-tool LLM and (b) a static dashboard export alone, when every dossier is advisory only under mandatory human review?</w:t>
      </w:r>
    </w:p>
    <w:p>
      <w:pPr>
        <w:spacing w:line="480" w:lineRule="auto"/>
        <w:ind w:firstLine="720"/>
      </w:pPr>
      <w:r>
        <w:rPr>
          <w:rFonts w:ascii="Times New Roman" w:hAnsi="Times New Roman"/>
          <w:b w:val="0"/>
          <w:sz w:val="24"/>
        </w:rPr>
        <w:t>Hypothesis RQ4. H0: The investigative agent does not improve faithfulness, evidence completeness, or HITL usefulness versus baselines. Ha: The agent improves at least two of {faithfulness, evidence completeness, HITL usefulness} at α = .05.</w:t>
      </w:r>
    </w:p>
    <w:p>
      <w:pPr>
        <w:spacing w:line="480" w:lineRule="auto" w:before="240"/>
        <w:ind w:firstLine="0"/>
      </w:pPr>
      <w:r>
        <w:rPr>
          <w:rFonts w:ascii="Times New Roman" w:hAnsi="Times New Roman"/>
          <w:b/>
          <w:sz w:val="24"/>
        </w:rPr>
        <w:t>Sample Size Justification (Executed)</w:t>
      </w:r>
    </w:p>
    <w:p>
      <w:pPr>
        <w:spacing w:line="480" w:lineRule="auto"/>
        <w:ind w:firstLine="0"/>
      </w:pPr>
      <w:r>
        <w:rPr>
          <w:rFonts w:ascii="Times New Roman" w:hAnsi="Times New Roman"/>
          <w:b/>
          <w:sz w:val="22"/>
        </w:rPr>
        <w:t>Table 1. Sample-size plan versus achieved interim samples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18"/>
              </w:rPr>
              <w:t>Research Question</w:t>
            </w:r>
          </w:p>
        </w:tc>
        <w:tc>
          <w:tcPr>
            <w:tcW w:type="dxa" w:w="2340"/>
          </w:tcPr>
          <w:p>
            <w:r>
              <w:rPr>
                <w:rFonts w:ascii="Times New Roman" w:hAnsi="Times New Roman"/>
                <w:b/>
                <w:sz w:val="18"/>
              </w:rPr>
              <w:t>Method</w:t>
            </w:r>
          </w:p>
        </w:tc>
        <w:tc>
          <w:tcPr>
            <w:tcW w:type="dxa" w:w="2340"/>
          </w:tcPr>
          <w:p>
            <w:r>
              <w:rPr>
                <w:rFonts w:ascii="Times New Roman" w:hAnsi="Times New Roman"/>
                <w:b/>
                <w:sz w:val="18"/>
              </w:rPr>
              <w:t>Minimum N (plan)</w:t>
            </w:r>
          </w:p>
        </w:tc>
        <w:tc>
          <w:tcPr>
            <w:tcW w:type="dxa" w:w="2340"/>
          </w:tcPr>
          <w:p>
            <w:r>
              <w:rPr>
                <w:rFonts w:ascii="Times New Roman" w:hAnsi="Times New Roman"/>
                <w:b/>
                <w:sz w:val="18"/>
              </w:rPr>
              <w:t>Achieved N (interim)</w:t>
            </w:r>
          </w:p>
        </w:tc>
      </w:tr>
      <w:tr>
        <w:tc>
          <w:tcPr>
            <w:tcW w:type="dxa" w:w="2340"/>
          </w:tcPr>
          <w:p>
            <w:r>
              <w:rPr>
                <w:rFonts w:ascii="Times New Roman" w:hAnsi="Times New Roman"/>
                <w:sz w:val="18"/>
              </w:rPr>
              <w:t>RQ1</w:t>
            </w:r>
          </w:p>
        </w:tc>
        <w:tc>
          <w:tcPr>
            <w:tcW w:type="dxa" w:w="2340"/>
          </w:tcPr>
          <w:p>
            <w:r>
              <w:rPr>
                <w:rFonts w:ascii="Times New Roman" w:hAnsi="Times New Roman"/>
                <w:sz w:val="18"/>
              </w:rPr>
              <w:t>Green’s rule / conservative</w:t>
            </w:r>
          </w:p>
        </w:tc>
        <w:tc>
          <w:tcPr>
            <w:tcW w:type="dxa" w:w="2340"/>
          </w:tcPr>
          <w:p>
            <w:r>
              <w:rPr>
                <w:rFonts w:ascii="Times New Roman" w:hAnsi="Times New Roman"/>
                <w:sz w:val="18"/>
              </w:rPr>
              <w:t>170 / 400</w:t>
            </w:r>
          </w:p>
        </w:tc>
        <w:tc>
          <w:tcPr>
            <w:tcW w:type="dxa" w:w="2340"/>
          </w:tcPr>
          <w:p>
            <w:r>
              <w:rPr>
                <w:rFonts w:ascii="Times New Roman" w:hAnsi="Times New Roman"/>
                <w:sz w:val="18"/>
              </w:rPr>
              <w:t>35,724</w:t>
            </w:r>
          </w:p>
        </w:tc>
      </w:tr>
      <w:tr>
        <w:tc>
          <w:tcPr>
            <w:tcW w:type="dxa" w:w="2340"/>
          </w:tcPr>
          <w:p>
            <w:r>
              <w:rPr>
                <w:rFonts w:ascii="Times New Roman" w:hAnsi="Times New Roman"/>
                <w:sz w:val="18"/>
              </w:rPr>
              <w:t>RQ2</w:t>
            </w:r>
          </w:p>
        </w:tc>
        <w:tc>
          <w:tcPr>
            <w:tcW w:type="dxa" w:w="2340"/>
          </w:tcPr>
          <w:p>
            <w:r>
              <w:rPr>
                <w:rFonts w:ascii="Times New Roman" w:hAnsi="Times New Roman"/>
                <w:sz w:val="18"/>
              </w:rPr>
              <w:t>AUROC CI precision</w:t>
            </w:r>
          </w:p>
        </w:tc>
        <w:tc>
          <w:tcPr>
            <w:tcW w:type="dxa" w:w="2340"/>
          </w:tcPr>
          <w:p>
            <w:r>
              <w:rPr>
                <w:rFonts w:ascii="Times New Roman" w:hAnsi="Times New Roman"/>
                <w:sz w:val="18"/>
              </w:rPr>
              <w:t>800</w:t>
            </w:r>
          </w:p>
        </w:tc>
        <w:tc>
          <w:tcPr>
            <w:tcW w:type="dxa" w:w="2340"/>
          </w:tcPr>
          <w:p>
            <w:r>
              <w:rPr>
                <w:rFonts w:ascii="Times New Roman" w:hAnsi="Times New Roman"/>
                <w:sz w:val="18"/>
              </w:rPr>
              <w:t>Train 24,004; Test 11,720</w:t>
            </w:r>
          </w:p>
        </w:tc>
      </w:tr>
      <w:tr>
        <w:tc>
          <w:tcPr>
            <w:tcW w:type="dxa" w:w="2340"/>
          </w:tcPr>
          <w:p>
            <w:r>
              <w:rPr>
                <w:rFonts w:ascii="Times New Roman" w:hAnsi="Times New Roman"/>
                <w:sz w:val="18"/>
              </w:rPr>
              <w:t>RQ3</w:t>
            </w:r>
          </w:p>
        </w:tc>
        <w:tc>
          <w:tcPr>
            <w:tcW w:type="dxa" w:w="2340"/>
          </w:tcPr>
          <w:p>
            <w:r>
              <w:rPr>
                <w:rFonts w:ascii="Times New Roman" w:hAnsi="Times New Roman"/>
                <w:sz w:val="18"/>
              </w:rPr>
              <w:t>Stratum–period monitoring</w:t>
            </w:r>
          </w:p>
        </w:tc>
        <w:tc>
          <w:tcPr>
            <w:tcW w:type="dxa" w:w="2340"/>
          </w:tcPr>
          <w:p>
            <w:r>
              <w:rPr>
                <w:rFonts w:ascii="Times New Roman" w:hAnsi="Times New Roman"/>
                <w:sz w:val="18"/>
              </w:rPr>
              <w:t>84 units</w:t>
            </w:r>
          </w:p>
        </w:tc>
        <w:tc>
          <w:tcPr>
            <w:tcW w:type="dxa" w:w="2340"/>
          </w:tcPr>
          <w:p>
            <w:r>
              <w:rPr>
                <w:rFonts w:ascii="Times New Roman" w:hAnsi="Times New Roman"/>
                <w:sz w:val="18"/>
              </w:rPr>
              <w:t>3 FY × ownership strata</w:t>
            </w:r>
          </w:p>
        </w:tc>
      </w:tr>
      <w:tr>
        <w:tc>
          <w:tcPr>
            <w:tcW w:type="dxa" w:w="2340"/>
          </w:tcPr>
          <w:p>
            <w:r>
              <w:rPr>
                <w:rFonts w:ascii="Times New Roman" w:hAnsi="Times New Roman"/>
                <w:sz w:val="18"/>
              </w:rPr>
              <w:t>RQ4</w:t>
            </w:r>
          </w:p>
        </w:tc>
        <w:tc>
          <w:tcPr>
            <w:tcW w:type="dxa" w:w="2340"/>
          </w:tcPr>
          <w:p>
            <w:r>
              <w:rPr>
                <w:rFonts w:ascii="Times New Roman" w:hAnsi="Times New Roman"/>
                <w:sz w:val="18"/>
              </w:rPr>
              <w:t>Paired dossier power</w:t>
            </w:r>
          </w:p>
        </w:tc>
        <w:tc>
          <w:tcPr>
            <w:tcW w:type="dxa" w:w="2340"/>
          </w:tcPr>
          <w:p>
            <w:r>
              <w:rPr>
                <w:rFonts w:ascii="Times New Roman" w:hAnsi="Times New Roman"/>
                <w:sz w:val="18"/>
              </w:rPr>
              <w:t>≥ 80</w:t>
            </w:r>
          </w:p>
        </w:tc>
        <w:tc>
          <w:tcPr>
            <w:tcW w:type="dxa" w:w="2340"/>
          </w:tcPr>
          <w:p>
            <w:r>
              <w:rPr>
                <w:rFonts w:ascii="Times New Roman" w:hAnsi="Times New Roman"/>
                <w:sz w:val="18"/>
              </w:rPr>
              <w:t>80</w:t>
            </w:r>
          </w:p>
        </w:tc>
      </w:tr>
    </w:tbl>
    <w:p/>
    <w:p>
      <w:pPr>
        <w:spacing w:line="480" w:lineRule="auto"/>
        <w:ind w:firstLine="720"/>
      </w:pPr>
      <w:r>
        <w:rPr>
          <w:rFonts w:ascii="Times New Roman" w:hAnsi="Times New Roman"/>
          <w:b w:val="0"/>
          <w:sz w:val="24"/>
        </w:rPr>
        <w:t>All planned minima are exceeded. Pooled eligible modeling N = 35,724 hospital–condition rows across 2,946 unique facilities.</w:t>
      </w:r>
    </w:p>
    <w:p>
      <w:pPr>
        <w:spacing w:line="480" w:lineRule="auto" w:before="240"/>
        <w:ind w:firstLine="0"/>
        <w:jc w:val="center"/>
      </w:pPr>
      <w:r>
        <w:rPr>
          <w:rFonts w:ascii="Times New Roman" w:hAnsi="Times New Roman"/>
          <w:b/>
          <w:sz w:val="24"/>
        </w:rPr>
        <w:t>Literature Survey</w:t>
      </w:r>
    </w:p>
    <w:p>
      <w:pPr>
        <w:spacing w:line="480" w:lineRule="auto" w:before="240"/>
        <w:ind w:firstLine="0"/>
      </w:pPr>
      <w:r>
        <w:rPr>
          <w:rFonts w:ascii="Times New Roman" w:hAnsi="Times New Roman"/>
          <w:b/>
          <w:sz w:val="24"/>
        </w:rPr>
        <w:t>Literature Review Approach</w:t>
      </w:r>
    </w:p>
    <w:p>
      <w:pPr>
        <w:spacing w:line="480" w:lineRule="auto"/>
        <w:ind w:firstLine="720"/>
      </w:pPr>
      <w:r>
        <w:rPr>
          <w:rFonts w:ascii="Times New Roman" w:hAnsi="Times New Roman"/>
          <w:b w:val="0"/>
          <w:sz w:val="24"/>
        </w:rPr>
        <w:t>Sources were selected from peer-reviewed journals and CMS program documentation using keywords including hospital readmission, HRRP, Excess Readmission Ratio, clinical prediction fairness, TRIPOD+AI, LLM hallucination in medicine, and tool-using agents. Inclusion required relevance to at least one RQ (association/prediction, fairness drift, or trustworthy GenAI decision support). At least ten sources are summarized below and mapped in the relevance matrix.</w:t>
      </w:r>
    </w:p>
    <w:p>
      <w:pPr>
        <w:spacing w:line="480" w:lineRule="auto" w:before="240"/>
        <w:ind w:firstLine="0"/>
      </w:pPr>
      <w:r>
        <w:rPr>
          <w:rFonts w:ascii="Times New Roman" w:hAnsi="Times New Roman"/>
          <w:b/>
          <w:sz w:val="24"/>
        </w:rPr>
        <w:t>Summary of Key Literature</w:t>
      </w:r>
    </w:p>
    <w:p>
      <w:pPr>
        <w:spacing w:line="480" w:lineRule="auto"/>
        <w:ind w:firstLine="720"/>
      </w:pPr>
      <w:r>
        <w:rPr>
          <w:rFonts w:ascii="Times New Roman" w:hAnsi="Times New Roman"/>
          <w:b w:val="0"/>
          <w:sz w:val="24"/>
        </w:rPr>
        <w:t>Collins et al. (2024) updated transparent reporting guidance for clinical prediction models with AI (TRIPOD+AI). Their emphasis on validation design, fairness, and clear outcome definitions directly shapes RQ2/RQ3 reporting choices in this capstone (out-of-time FY split; subgroup FNR).</w:t>
      </w:r>
    </w:p>
    <w:p>
      <w:pPr>
        <w:spacing w:line="480" w:lineRule="auto"/>
        <w:ind w:firstLine="720"/>
      </w:pPr>
      <w:r>
        <w:rPr>
          <w:rFonts w:ascii="Times New Roman" w:hAnsi="Times New Roman"/>
          <w:b w:val="0"/>
          <w:sz w:val="24"/>
        </w:rPr>
        <w:t>Wang et al. (2024) audited readmission prediction for contextual bias, showing that performance and error rates can differ across hospital contexts. This supports RQ1 ownership/state predictors and RQ3 ownership fairness monitoring rather than overall accuracy alone.</w:t>
      </w:r>
    </w:p>
    <w:p>
      <w:pPr>
        <w:spacing w:line="480" w:lineRule="auto"/>
        <w:ind w:firstLine="720"/>
      </w:pPr>
      <w:r>
        <w:rPr>
          <w:rFonts w:ascii="Times New Roman" w:hAnsi="Times New Roman"/>
          <w:b w:val="0"/>
          <w:sz w:val="24"/>
        </w:rPr>
        <w:t>Davis et al. (2025) documented fairness drift over time after model deployment. Their finding motivates RQ3’s explicit comparison of AUROC and ΔFNR across FY2024–FY2026 releases instead of a single cross-section.</w:t>
      </w:r>
    </w:p>
    <w:p>
      <w:pPr>
        <w:spacing w:line="480" w:lineRule="auto"/>
        <w:ind w:firstLine="720"/>
      </w:pPr>
      <w:r>
        <w:rPr>
          <w:rFonts w:ascii="Times New Roman" w:hAnsi="Times New Roman"/>
          <w:b w:val="0"/>
          <w:sz w:val="24"/>
        </w:rPr>
        <w:t>Singhal et al. (2023) demonstrated strong LLM medical knowledge with persistent factual errors. This supports RQ4’s no-tool LLM baseline and the requirement that numeric claims be tool-verified.</w:t>
      </w:r>
    </w:p>
    <w:p>
      <w:pPr>
        <w:spacing w:line="480" w:lineRule="auto"/>
        <w:ind w:firstLine="720"/>
      </w:pPr>
      <w:r>
        <w:rPr>
          <w:rFonts w:ascii="Times New Roman" w:hAnsi="Times New Roman"/>
          <w:b w:val="0"/>
          <w:sz w:val="24"/>
        </w:rPr>
        <w:t>Yang et al. (2026) showed tool-using agents can navigate clinical tabular evidence more reliably than free-text-only generation. That capability is the methodological backbone of the Investigative QI Case Agent.</w:t>
      </w:r>
    </w:p>
    <w:p>
      <w:pPr>
        <w:spacing w:line="480" w:lineRule="auto"/>
        <w:ind w:firstLine="720"/>
      </w:pPr>
      <w:r>
        <w:rPr>
          <w:rFonts w:ascii="Times New Roman" w:hAnsi="Times New Roman"/>
          <w:b w:val="0"/>
          <w:sz w:val="24"/>
        </w:rPr>
        <w:t>CMS (2024) HRRP methodology defines ERR as predicted divided by expected readmission rate and links excess risk to payment adjustment. This official definition anchors Y = 1{ERR &gt; 1.0} and the what-if tool.</w:t>
      </w:r>
    </w:p>
    <w:p>
      <w:pPr>
        <w:spacing w:line="480" w:lineRule="auto"/>
        <w:ind w:firstLine="0"/>
      </w:pPr>
      <w:r>
        <w:rPr>
          <w:rFonts w:ascii="Times New Roman" w:hAnsi="Times New Roman"/>
          <w:b/>
          <w:sz w:val="22"/>
        </w:rPr>
        <w:t>Table 2. Literature relevance matrix (selected sources)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b/>
                <w:sz w:val="18"/>
              </w:rPr>
              <w:t>Author (Year)</w:t>
            </w:r>
          </w:p>
        </w:tc>
        <w:tc>
          <w:tcPr>
            <w:tcW w:type="dxa" w:w="1560"/>
          </w:tcPr>
          <w:p>
            <w:r>
              <w:rPr>
                <w:rFonts w:ascii="Times New Roman" w:hAnsi="Times New Roman"/>
                <w:b/>
                <w:sz w:val="18"/>
              </w:rPr>
              <w:t>Domain/Context</w:t>
            </w:r>
          </w:p>
        </w:tc>
        <w:tc>
          <w:tcPr>
            <w:tcW w:type="dxa" w:w="1560"/>
          </w:tcPr>
          <w:p>
            <w:r>
              <w:rPr>
                <w:rFonts w:ascii="Times New Roman" w:hAnsi="Times New Roman"/>
                <w:b/>
                <w:sz w:val="18"/>
              </w:rPr>
              <w:t>Dataset/Setting</w:t>
            </w:r>
          </w:p>
        </w:tc>
        <w:tc>
          <w:tcPr>
            <w:tcW w:type="dxa" w:w="1560"/>
          </w:tcPr>
          <w:p>
            <w:r>
              <w:rPr>
                <w:rFonts w:ascii="Times New Roman" w:hAnsi="Times New Roman"/>
                <w:b/>
                <w:sz w:val="18"/>
              </w:rPr>
              <w:t>Method(s)</w:t>
            </w:r>
          </w:p>
        </w:tc>
        <w:tc>
          <w:tcPr>
            <w:tcW w:type="dxa" w:w="1560"/>
          </w:tcPr>
          <w:p>
            <w:r>
              <w:rPr>
                <w:rFonts w:ascii="Times New Roman" w:hAnsi="Times New Roman"/>
                <w:b/>
                <w:sz w:val="18"/>
              </w:rPr>
              <w:t>Key Findings</w:t>
            </w:r>
          </w:p>
        </w:tc>
        <w:tc>
          <w:tcPr>
            <w:tcW w:type="dxa" w:w="1560"/>
          </w:tcPr>
          <w:p>
            <w:r>
              <w:rPr>
                <w:rFonts w:ascii="Times New Roman" w:hAnsi="Times New Roman"/>
                <w:b/>
                <w:sz w:val="18"/>
              </w:rPr>
              <w:t>Supports RQ(s)</w:t>
            </w:r>
          </w:p>
        </w:tc>
      </w:tr>
      <w:tr>
        <w:tc>
          <w:tcPr>
            <w:tcW w:type="dxa" w:w="1560"/>
          </w:tcPr>
          <w:p>
            <w:r>
              <w:rPr>
                <w:rFonts w:ascii="Times New Roman" w:hAnsi="Times New Roman"/>
                <w:sz w:val="18"/>
              </w:rPr>
              <w:t>CMS (2024)</w:t>
            </w:r>
          </w:p>
        </w:tc>
        <w:tc>
          <w:tcPr>
            <w:tcW w:type="dxa" w:w="1560"/>
          </w:tcPr>
          <w:p>
            <w:r>
              <w:rPr>
                <w:rFonts w:ascii="Times New Roman" w:hAnsi="Times New Roman"/>
                <w:sz w:val="18"/>
              </w:rPr>
              <w:t>HRRP payment policy</w:t>
            </w:r>
          </w:p>
        </w:tc>
        <w:tc>
          <w:tcPr>
            <w:tcW w:type="dxa" w:w="1560"/>
          </w:tcPr>
          <w:p>
            <w:r>
              <w:rPr>
                <w:rFonts w:ascii="Times New Roman" w:hAnsi="Times New Roman"/>
                <w:sz w:val="18"/>
              </w:rPr>
              <w:t>Medicare IPPS hospitals</w:t>
            </w:r>
          </w:p>
        </w:tc>
        <w:tc>
          <w:tcPr>
            <w:tcW w:type="dxa" w:w="1560"/>
          </w:tcPr>
          <w:p>
            <w:r>
              <w:rPr>
                <w:rFonts w:ascii="Times New Roman" w:hAnsi="Times New Roman"/>
                <w:sz w:val="18"/>
              </w:rPr>
              <w:t>Program methodology</w:t>
            </w:r>
          </w:p>
        </w:tc>
        <w:tc>
          <w:tcPr>
            <w:tcW w:type="dxa" w:w="1560"/>
          </w:tcPr>
          <w:p>
            <w:r>
              <w:rPr>
                <w:rFonts w:ascii="Times New Roman" w:hAnsi="Times New Roman"/>
                <w:sz w:val="18"/>
              </w:rPr>
              <w:t>ERR drives payment reduction risk</w:t>
            </w:r>
          </w:p>
        </w:tc>
        <w:tc>
          <w:tcPr>
            <w:tcW w:type="dxa" w:w="1560"/>
          </w:tcPr>
          <w:p>
            <w:r>
              <w:rPr>
                <w:rFonts w:ascii="Times New Roman" w:hAnsi="Times New Roman"/>
                <w:sz w:val="18"/>
              </w:rPr>
              <w:t>All; Y definition</w:t>
            </w:r>
          </w:p>
        </w:tc>
      </w:tr>
      <w:tr>
        <w:tc>
          <w:tcPr>
            <w:tcW w:type="dxa" w:w="1560"/>
          </w:tcPr>
          <w:p>
            <w:r>
              <w:rPr>
                <w:rFonts w:ascii="Times New Roman" w:hAnsi="Times New Roman"/>
                <w:sz w:val="18"/>
              </w:rPr>
              <w:t>Collins et al. (2024)</w:t>
            </w:r>
          </w:p>
        </w:tc>
        <w:tc>
          <w:tcPr>
            <w:tcW w:type="dxa" w:w="1560"/>
          </w:tcPr>
          <w:p>
            <w:r>
              <w:rPr>
                <w:rFonts w:ascii="Times New Roman" w:hAnsi="Times New Roman"/>
                <w:sz w:val="18"/>
              </w:rPr>
              <w:t>Prediction reporting</w:t>
            </w:r>
          </w:p>
        </w:tc>
        <w:tc>
          <w:tcPr>
            <w:tcW w:type="dxa" w:w="1560"/>
          </w:tcPr>
          <w:p>
            <w:r>
              <w:rPr>
                <w:rFonts w:ascii="Times New Roman" w:hAnsi="Times New Roman"/>
                <w:sz w:val="18"/>
              </w:rPr>
              <w:t>Clinical AI models</w:t>
            </w:r>
          </w:p>
        </w:tc>
        <w:tc>
          <w:tcPr>
            <w:tcW w:type="dxa" w:w="1560"/>
          </w:tcPr>
          <w:p>
            <w:r>
              <w:rPr>
                <w:rFonts w:ascii="Times New Roman" w:hAnsi="Times New Roman"/>
                <w:sz w:val="18"/>
              </w:rPr>
              <w:t>TRIPOD+AI guidance</w:t>
            </w:r>
          </w:p>
        </w:tc>
        <w:tc>
          <w:tcPr>
            <w:tcW w:type="dxa" w:w="1560"/>
          </w:tcPr>
          <w:p>
            <w:r>
              <w:rPr>
                <w:rFonts w:ascii="Times New Roman" w:hAnsi="Times New Roman"/>
                <w:sz w:val="18"/>
              </w:rPr>
              <w:t>Transparent validation &amp; fairness</w:t>
            </w:r>
          </w:p>
        </w:tc>
        <w:tc>
          <w:tcPr>
            <w:tcW w:type="dxa" w:w="1560"/>
          </w:tcPr>
          <w:p>
            <w:r>
              <w:rPr>
                <w:rFonts w:ascii="Times New Roman" w:hAnsi="Times New Roman"/>
                <w:sz w:val="18"/>
              </w:rPr>
              <w:t>RQ2, RQ3</w:t>
            </w:r>
          </w:p>
        </w:tc>
      </w:tr>
      <w:tr>
        <w:tc>
          <w:tcPr>
            <w:tcW w:type="dxa" w:w="1560"/>
          </w:tcPr>
          <w:p>
            <w:r>
              <w:rPr>
                <w:rFonts w:ascii="Times New Roman" w:hAnsi="Times New Roman"/>
                <w:sz w:val="18"/>
              </w:rPr>
              <w:t>Wang et al. (2024)</w:t>
            </w:r>
          </w:p>
        </w:tc>
        <w:tc>
          <w:tcPr>
            <w:tcW w:type="dxa" w:w="1560"/>
          </w:tcPr>
          <w:p>
            <w:r>
              <w:rPr>
                <w:rFonts w:ascii="Times New Roman" w:hAnsi="Times New Roman"/>
                <w:sz w:val="18"/>
              </w:rPr>
              <w:t>Readmission bias</w:t>
            </w:r>
          </w:p>
        </w:tc>
        <w:tc>
          <w:tcPr>
            <w:tcW w:type="dxa" w:w="1560"/>
          </w:tcPr>
          <w:p>
            <w:r>
              <w:rPr>
                <w:rFonts w:ascii="Times New Roman" w:hAnsi="Times New Roman"/>
                <w:sz w:val="18"/>
              </w:rPr>
              <w:t>Hospital contexts</w:t>
            </w:r>
          </w:p>
        </w:tc>
        <w:tc>
          <w:tcPr>
            <w:tcW w:type="dxa" w:w="1560"/>
          </w:tcPr>
          <w:p>
            <w:r>
              <w:rPr>
                <w:rFonts w:ascii="Times New Roman" w:hAnsi="Times New Roman"/>
                <w:sz w:val="18"/>
              </w:rPr>
              <w:t>Fairness audit</w:t>
            </w:r>
          </w:p>
        </w:tc>
        <w:tc>
          <w:tcPr>
            <w:tcW w:type="dxa" w:w="1560"/>
          </w:tcPr>
          <w:p>
            <w:r>
              <w:rPr>
                <w:rFonts w:ascii="Times New Roman" w:hAnsi="Times New Roman"/>
                <w:sz w:val="18"/>
              </w:rPr>
              <w:t>Context-linked model bias</w:t>
            </w:r>
          </w:p>
        </w:tc>
        <w:tc>
          <w:tcPr>
            <w:tcW w:type="dxa" w:w="1560"/>
          </w:tcPr>
          <w:p>
            <w:r>
              <w:rPr>
                <w:rFonts w:ascii="Times New Roman" w:hAnsi="Times New Roman"/>
                <w:sz w:val="18"/>
              </w:rPr>
              <w:t>RQ1, RQ3</w:t>
            </w:r>
          </w:p>
        </w:tc>
      </w:tr>
      <w:tr>
        <w:tc>
          <w:tcPr>
            <w:tcW w:type="dxa" w:w="1560"/>
          </w:tcPr>
          <w:p>
            <w:r>
              <w:rPr>
                <w:rFonts w:ascii="Times New Roman" w:hAnsi="Times New Roman"/>
                <w:sz w:val="18"/>
              </w:rPr>
              <w:t>Davis et al. (2025)</w:t>
            </w:r>
          </w:p>
        </w:tc>
        <w:tc>
          <w:tcPr>
            <w:tcW w:type="dxa" w:w="1560"/>
          </w:tcPr>
          <w:p>
            <w:r>
              <w:rPr>
                <w:rFonts w:ascii="Times New Roman" w:hAnsi="Times New Roman"/>
                <w:sz w:val="18"/>
              </w:rPr>
              <w:t>Fairness drift</w:t>
            </w:r>
          </w:p>
        </w:tc>
        <w:tc>
          <w:tcPr>
            <w:tcW w:type="dxa" w:w="1560"/>
          </w:tcPr>
          <w:p>
            <w:r>
              <w:rPr>
                <w:rFonts w:ascii="Times New Roman" w:hAnsi="Times New Roman"/>
                <w:sz w:val="18"/>
              </w:rPr>
              <w:t>Deployed models over time</w:t>
            </w:r>
          </w:p>
        </w:tc>
        <w:tc>
          <w:tcPr>
            <w:tcW w:type="dxa" w:w="1560"/>
          </w:tcPr>
          <w:p>
            <w:r>
              <w:rPr>
                <w:rFonts w:ascii="Times New Roman" w:hAnsi="Times New Roman"/>
                <w:sz w:val="18"/>
              </w:rPr>
              <w:t>Longitudinal fairness</w:t>
            </w:r>
          </w:p>
        </w:tc>
        <w:tc>
          <w:tcPr>
            <w:tcW w:type="dxa" w:w="1560"/>
          </w:tcPr>
          <w:p>
            <w:r>
              <w:rPr>
                <w:rFonts w:ascii="Times New Roman" w:hAnsi="Times New Roman"/>
                <w:sz w:val="18"/>
              </w:rPr>
              <w:t>Gaps can change post-deployment</w:t>
            </w:r>
          </w:p>
        </w:tc>
        <w:tc>
          <w:tcPr>
            <w:tcW w:type="dxa" w:w="1560"/>
          </w:tcPr>
          <w:p>
            <w:r>
              <w:rPr>
                <w:rFonts w:ascii="Times New Roman" w:hAnsi="Times New Roman"/>
                <w:sz w:val="18"/>
              </w:rPr>
              <w:t>RQ3</w:t>
            </w:r>
          </w:p>
        </w:tc>
      </w:tr>
      <w:tr>
        <w:tc>
          <w:tcPr>
            <w:tcW w:type="dxa" w:w="1560"/>
          </w:tcPr>
          <w:p>
            <w:r>
              <w:rPr>
                <w:rFonts w:ascii="Times New Roman" w:hAnsi="Times New Roman"/>
                <w:sz w:val="18"/>
              </w:rPr>
              <w:t>Singhal et al. (2023)</w:t>
            </w:r>
          </w:p>
        </w:tc>
        <w:tc>
          <w:tcPr>
            <w:tcW w:type="dxa" w:w="1560"/>
          </w:tcPr>
          <w:p>
            <w:r>
              <w:rPr>
                <w:rFonts w:ascii="Times New Roman" w:hAnsi="Times New Roman"/>
                <w:sz w:val="18"/>
              </w:rPr>
              <w:t>Medical LLMs</w:t>
            </w:r>
          </w:p>
        </w:tc>
        <w:tc>
          <w:tcPr>
            <w:tcW w:type="dxa" w:w="1560"/>
          </w:tcPr>
          <w:p>
            <w:r>
              <w:rPr>
                <w:rFonts w:ascii="Times New Roman" w:hAnsi="Times New Roman"/>
                <w:sz w:val="18"/>
              </w:rPr>
              <w:t>Clinical QA</w:t>
            </w:r>
          </w:p>
        </w:tc>
        <w:tc>
          <w:tcPr>
            <w:tcW w:type="dxa" w:w="1560"/>
          </w:tcPr>
          <w:p>
            <w:r>
              <w:rPr>
                <w:rFonts w:ascii="Times New Roman" w:hAnsi="Times New Roman"/>
                <w:sz w:val="18"/>
              </w:rPr>
              <w:t>LLM evaluation</w:t>
            </w:r>
          </w:p>
        </w:tc>
        <w:tc>
          <w:tcPr>
            <w:tcW w:type="dxa" w:w="1560"/>
          </w:tcPr>
          <w:p>
            <w:r>
              <w:rPr>
                <w:rFonts w:ascii="Times New Roman" w:hAnsi="Times New Roman"/>
                <w:sz w:val="18"/>
              </w:rPr>
              <w:t>High capability; residual errors</w:t>
            </w:r>
          </w:p>
        </w:tc>
        <w:tc>
          <w:tcPr>
            <w:tcW w:type="dxa" w:w="1560"/>
          </w:tcPr>
          <w:p>
            <w:r>
              <w:rPr>
                <w:rFonts w:ascii="Times New Roman" w:hAnsi="Times New Roman"/>
                <w:sz w:val="18"/>
              </w:rPr>
              <w:t>RQ4 baselines</w:t>
            </w:r>
          </w:p>
        </w:tc>
      </w:tr>
      <w:tr>
        <w:tc>
          <w:tcPr>
            <w:tcW w:type="dxa" w:w="1560"/>
          </w:tcPr>
          <w:p>
            <w:r>
              <w:rPr>
                <w:rFonts w:ascii="Times New Roman" w:hAnsi="Times New Roman"/>
                <w:sz w:val="18"/>
              </w:rPr>
              <w:t>Yang et al. (2026)</w:t>
            </w:r>
          </w:p>
        </w:tc>
        <w:tc>
          <w:tcPr>
            <w:tcW w:type="dxa" w:w="1560"/>
          </w:tcPr>
          <w:p>
            <w:r>
              <w:rPr>
                <w:rFonts w:ascii="Times New Roman" w:hAnsi="Times New Roman"/>
                <w:sz w:val="18"/>
              </w:rPr>
              <w:t>Tool-using agents</w:t>
            </w:r>
          </w:p>
        </w:tc>
        <w:tc>
          <w:tcPr>
            <w:tcW w:type="dxa" w:w="1560"/>
          </w:tcPr>
          <w:p>
            <w:r>
              <w:rPr>
                <w:rFonts w:ascii="Times New Roman" w:hAnsi="Times New Roman"/>
                <w:sz w:val="18"/>
              </w:rPr>
              <w:t>Clinical tables</w:t>
            </w:r>
          </w:p>
        </w:tc>
        <w:tc>
          <w:tcPr>
            <w:tcW w:type="dxa" w:w="1560"/>
          </w:tcPr>
          <w:p>
            <w:r>
              <w:rPr>
                <w:rFonts w:ascii="Times New Roman" w:hAnsi="Times New Roman"/>
                <w:sz w:val="18"/>
              </w:rPr>
              <w:t>Agent + tools</w:t>
            </w:r>
          </w:p>
        </w:tc>
        <w:tc>
          <w:tcPr>
            <w:tcW w:type="dxa" w:w="1560"/>
          </w:tcPr>
          <w:p>
            <w:r>
              <w:rPr>
                <w:rFonts w:ascii="Times New Roman" w:hAnsi="Times New Roman"/>
                <w:sz w:val="18"/>
              </w:rPr>
              <w:t>Tools improve grounded answers</w:t>
            </w:r>
          </w:p>
        </w:tc>
        <w:tc>
          <w:tcPr>
            <w:tcW w:type="dxa" w:w="1560"/>
          </w:tcPr>
          <w:p>
            <w:r>
              <w:rPr>
                <w:rFonts w:ascii="Times New Roman" w:hAnsi="Times New Roman"/>
                <w:sz w:val="18"/>
              </w:rPr>
              <w:t>RQ4 design</w:t>
            </w:r>
          </w:p>
        </w:tc>
      </w:tr>
      <w:tr>
        <w:tc>
          <w:tcPr>
            <w:tcW w:type="dxa" w:w="1560"/>
          </w:tcPr>
          <w:p>
            <w:r>
              <w:rPr>
                <w:rFonts w:ascii="Times New Roman" w:hAnsi="Times New Roman"/>
                <w:sz w:val="18"/>
              </w:rPr>
              <w:t>Zafar et al. (2019)</w:t>
            </w:r>
          </w:p>
        </w:tc>
        <w:tc>
          <w:tcPr>
            <w:tcW w:type="dxa" w:w="1560"/>
          </w:tcPr>
          <w:p>
            <w:r>
              <w:rPr>
                <w:rFonts w:ascii="Times New Roman" w:hAnsi="Times New Roman"/>
                <w:sz w:val="18"/>
              </w:rPr>
              <w:t>ML fairness metrics</w:t>
            </w:r>
          </w:p>
        </w:tc>
        <w:tc>
          <w:tcPr>
            <w:tcW w:type="dxa" w:w="1560"/>
          </w:tcPr>
          <w:p>
            <w:r>
              <w:rPr>
                <w:rFonts w:ascii="Times New Roman" w:hAnsi="Times New Roman"/>
                <w:sz w:val="18"/>
              </w:rPr>
              <w:t>Classification systems</w:t>
            </w:r>
          </w:p>
        </w:tc>
        <w:tc>
          <w:tcPr>
            <w:tcW w:type="dxa" w:w="1560"/>
          </w:tcPr>
          <w:p>
            <w:r>
              <w:rPr>
                <w:rFonts w:ascii="Times New Roman" w:hAnsi="Times New Roman"/>
                <w:sz w:val="18"/>
              </w:rPr>
              <w:t>Disparate error rates</w:t>
            </w:r>
          </w:p>
        </w:tc>
        <w:tc>
          <w:tcPr>
            <w:tcW w:type="dxa" w:w="1560"/>
          </w:tcPr>
          <w:p>
            <w:r>
              <w:rPr>
                <w:rFonts w:ascii="Times New Roman" w:hAnsi="Times New Roman"/>
                <w:sz w:val="18"/>
              </w:rPr>
              <w:t>FNR gaps operationalize unfairness</w:t>
            </w:r>
          </w:p>
        </w:tc>
        <w:tc>
          <w:tcPr>
            <w:tcW w:type="dxa" w:w="1560"/>
          </w:tcPr>
          <w:p>
            <w:r>
              <w:rPr>
                <w:rFonts w:ascii="Times New Roman" w:hAnsi="Times New Roman"/>
                <w:sz w:val="18"/>
              </w:rPr>
              <w:t>RQ3 metric choice</w:t>
            </w:r>
          </w:p>
        </w:tc>
      </w:tr>
      <w:tr>
        <w:tc>
          <w:tcPr>
            <w:tcW w:type="dxa" w:w="1560"/>
          </w:tcPr>
          <w:p>
            <w:r>
              <w:rPr>
                <w:rFonts w:ascii="Times New Roman" w:hAnsi="Times New Roman"/>
                <w:sz w:val="18"/>
              </w:rPr>
              <w:t>Lundberg &amp; Lee (2017)</w:t>
            </w:r>
          </w:p>
        </w:tc>
        <w:tc>
          <w:tcPr>
            <w:tcW w:type="dxa" w:w="1560"/>
          </w:tcPr>
          <w:p>
            <w:r>
              <w:rPr>
                <w:rFonts w:ascii="Times New Roman" w:hAnsi="Times New Roman"/>
                <w:sz w:val="18"/>
              </w:rPr>
              <w:t>Model explanation</w:t>
            </w:r>
          </w:p>
        </w:tc>
        <w:tc>
          <w:tcPr>
            <w:tcW w:type="dxa" w:w="1560"/>
          </w:tcPr>
          <w:p>
            <w:r>
              <w:rPr>
                <w:rFonts w:ascii="Times New Roman" w:hAnsi="Times New Roman"/>
                <w:sz w:val="18"/>
              </w:rPr>
              <w:t>Tabular ML</w:t>
            </w:r>
          </w:p>
        </w:tc>
        <w:tc>
          <w:tcPr>
            <w:tcW w:type="dxa" w:w="1560"/>
          </w:tcPr>
          <w:p>
            <w:r>
              <w:rPr>
                <w:rFonts w:ascii="Times New Roman" w:hAnsi="Times New Roman"/>
                <w:sz w:val="18"/>
              </w:rPr>
              <w:t>SHAP</w:t>
            </w:r>
          </w:p>
        </w:tc>
        <w:tc>
          <w:tcPr>
            <w:tcW w:type="dxa" w:w="1560"/>
          </w:tcPr>
          <w:p>
            <w:r>
              <w:rPr>
                <w:rFonts w:ascii="Times New Roman" w:hAnsi="Times New Roman"/>
                <w:sz w:val="18"/>
              </w:rPr>
              <w:t>Local feature attributions</w:t>
            </w:r>
          </w:p>
        </w:tc>
        <w:tc>
          <w:tcPr>
            <w:tcW w:type="dxa" w:w="1560"/>
          </w:tcPr>
          <w:p>
            <w:r>
              <w:rPr>
                <w:rFonts w:ascii="Times New Roman" w:hAnsi="Times New Roman"/>
                <w:sz w:val="18"/>
              </w:rPr>
              <w:t>RQ2 optional drivers</w:t>
            </w:r>
          </w:p>
        </w:tc>
      </w:tr>
      <w:tr>
        <w:tc>
          <w:tcPr>
            <w:tcW w:type="dxa" w:w="1560"/>
          </w:tcPr>
          <w:p>
            <w:r>
              <w:rPr>
                <w:rFonts w:ascii="Times New Roman" w:hAnsi="Times New Roman"/>
                <w:sz w:val="18"/>
              </w:rPr>
              <w:t>Rajkomar et al. (2018)</w:t>
            </w:r>
          </w:p>
        </w:tc>
        <w:tc>
          <w:tcPr>
            <w:tcW w:type="dxa" w:w="1560"/>
          </w:tcPr>
          <w:p>
            <w:r>
              <w:rPr>
                <w:rFonts w:ascii="Times New Roman" w:hAnsi="Times New Roman"/>
                <w:sz w:val="18"/>
              </w:rPr>
              <w:t>Healthcare ML</w:t>
            </w:r>
          </w:p>
        </w:tc>
        <w:tc>
          <w:tcPr>
            <w:tcW w:type="dxa" w:w="1560"/>
          </w:tcPr>
          <w:p>
            <w:r>
              <w:rPr>
                <w:rFonts w:ascii="Times New Roman" w:hAnsi="Times New Roman"/>
                <w:sz w:val="18"/>
              </w:rPr>
              <w:t>EHR prediction</w:t>
            </w:r>
          </w:p>
        </w:tc>
        <w:tc>
          <w:tcPr>
            <w:tcW w:type="dxa" w:w="1560"/>
          </w:tcPr>
          <w:p>
            <w:r>
              <w:rPr>
                <w:rFonts w:ascii="Times New Roman" w:hAnsi="Times New Roman"/>
                <w:sz w:val="18"/>
              </w:rPr>
              <w:t>Deep/ensemble ML</w:t>
            </w:r>
          </w:p>
        </w:tc>
        <w:tc>
          <w:tcPr>
            <w:tcW w:type="dxa" w:w="1560"/>
          </w:tcPr>
          <w:p>
            <w:r>
              <w:rPr>
                <w:rFonts w:ascii="Times New Roman" w:hAnsi="Times New Roman"/>
                <w:sz w:val="18"/>
              </w:rPr>
              <w:t>ML can outperform baselines</w:t>
            </w:r>
          </w:p>
        </w:tc>
        <w:tc>
          <w:tcPr>
            <w:tcW w:type="dxa" w:w="1560"/>
          </w:tcPr>
          <w:p>
            <w:r>
              <w:rPr>
                <w:rFonts w:ascii="Times New Roman" w:hAnsi="Times New Roman"/>
                <w:sz w:val="18"/>
              </w:rPr>
              <w:t>RQ2 model family</w:t>
            </w:r>
          </w:p>
        </w:tc>
      </w:tr>
      <w:tr>
        <w:tc>
          <w:tcPr>
            <w:tcW w:type="dxa" w:w="1560"/>
          </w:tcPr>
          <w:p>
            <w:r>
              <w:rPr>
                <w:rFonts w:ascii="Times New Roman" w:hAnsi="Times New Roman"/>
                <w:sz w:val="18"/>
              </w:rPr>
              <w:t>Amodei et al. (2016)</w:t>
            </w:r>
          </w:p>
        </w:tc>
        <w:tc>
          <w:tcPr>
            <w:tcW w:type="dxa" w:w="1560"/>
          </w:tcPr>
          <w:p>
            <w:r>
              <w:rPr>
                <w:rFonts w:ascii="Times New Roman" w:hAnsi="Times New Roman"/>
                <w:sz w:val="18"/>
              </w:rPr>
              <w:t>AI safety</w:t>
            </w:r>
          </w:p>
        </w:tc>
        <w:tc>
          <w:tcPr>
            <w:tcW w:type="dxa" w:w="1560"/>
          </w:tcPr>
          <w:p>
            <w:r>
              <w:rPr>
                <w:rFonts w:ascii="Times New Roman" w:hAnsi="Times New Roman"/>
                <w:sz w:val="18"/>
              </w:rPr>
              <w:t>Autonomous systems</w:t>
            </w:r>
          </w:p>
        </w:tc>
        <w:tc>
          <w:tcPr>
            <w:tcW w:type="dxa" w:w="1560"/>
          </w:tcPr>
          <w:p>
            <w:r>
              <w:rPr>
                <w:rFonts w:ascii="Times New Roman" w:hAnsi="Times New Roman"/>
                <w:sz w:val="18"/>
              </w:rPr>
              <w:t>Safety framing</w:t>
            </w:r>
          </w:p>
        </w:tc>
        <w:tc>
          <w:tcPr>
            <w:tcW w:type="dxa" w:w="1560"/>
          </w:tcPr>
          <w:p>
            <w:r>
              <w:rPr>
                <w:rFonts w:ascii="Times New Roman" w:hAnsi="Times New Roman"/>
                <w:sz w:val="18"/>
              </w:rPr>
              <w:t>Avoid unintended agency</w:t>
            </w:r>
          </w:p>
        </w:tc>
        <w:tc>
          <w:tcPr>
            <w:tcW w:type="dxa" w:w="1560"/>
          </w:tcPr>
          <w:p>
            <w:r>
              <w:rPr>
                <w:rFonts w:ascii="Times New Roman" w:hAnsi="Times New Roman"/>
                <w:sz w:val="18"/>
              </w:rPr>
              <w:t>RQ4 HITL policy</w:t>
            </w:r>
          </w:p>
        </w:tc>
      </w:tr>
      <w:tr>
        <w:tc>
          <w:tcPr>
            <w:tcW w:type="dxa" w:w="1560"/>
          </w:tcPr>
          <w:p>
            <w:r>
              <w:rPr>
                <w:rFonts w:ascii="Times New Roman" w:hAnsi="Times New Roman"/>
                <w:sz w:val="18"/>
              </w:rPr>
              <w:t>Joynt &amp; Jha (2013)</w:t>
            </w:r>
          </w:p>
        </w:tc>
        <w:tc>
          <w:tcPr>
            <w:tcW w:type="dxa" w:w="1560"/>
          </w:tcPr>
          <w:p>
            <w:r>
              <w:rPr>
                <w:rFonts w:ascii="Times New Roman" w:hAnsi="Times New Roman"/>
                <w:sz w:val="18"/>
              </w:rPr>
              <w:t>Readmission policy</w:t>
            </w:r>
          </w:p>
        </w:tc>
        <w:tc>
          <w:tcPr>
            <w:tcW w:type="dxa" w:w="1560"/>
          </w:tcPr>
          <w:p>
            <w:r>
              <w:rPr>
                <w:rFonts w:ascii="Times New Roman" w:hAnsi="Times New Roman"/>
                <w:sz w:val="18"/>
              </w:rPr>
              <w:t>U.S. hospitals</w:t>
            </w:r>
          </w:p>
        </w:tc>
        <w:tc>
          <w:tcPr>
            <w:tcW w:type="dxa" w:w="1560"/>
          </w:tcPr>
          <w:p>
            <w:r>
              <w:rPr>
                <w:rFonts w:ascii="Times New Roman" w:hAnsi="Times New Roman"/>
                <w:sz w:val="18"/>
              </w:rPr>
              <w:t>Policy analysis</w:t>
            </w:r>
          </w:p>
        </w:tc>
        <w:tc>
          <w:tcPr>
            <w:tcW w:type="dxa" w:w="1560"/>
          </w:tcPr>
          <w:p>
            <w:r>
              <w:rPr>
                <w:rFonts w:ascii="Times New Roman" w:hAnsi="Times New Roman"/>
                <w:sz w:val="18"/>
              </w:rPr>
              <w:t>Readmission penalties create QI pressure</w:t>
            </w:r>
          </w:p>
        </w:tc>
        <w:tc>
          <w:tcPr>
            <w:tcW w:type="dxa" w:w="1560"/>
          </w:tcPr>
          <w:p>
            <w:r>
              <w:rPr>
                <w:rFonts w:ascii="Times New Roman" w:hAnsi="Times New Roman"/>
                <w:sz w:val="18"/>
              </w:rPr>
              <w:t>Background / RQ1</w:t>
            </w:r>
          </w:p>
        </w:tc>
      </w:tr>
      <w:tr>
        <w:tc>
          <w:tcPr>
            <w:tcW w:type="dxa" w:w="1560"/>
          </w:tcPr>
          <w:p>
            <w:r>
              <w:rPr>
                <w:rFonts w:ascii="Times New Roman" w:hAnsi="Times New Roman"/>
                <w:sz w:val="18"/>
              </w:rPr>
              <w:t>Krumholz et al. (2017)</w:t>
            </w:r>
          </w:p>
        </w:tc>
        <w:tc>
          <w:tcPr>
            <w:tcW w:type="dxa" w:w="1560"/>
          </w:tcPr>
          <w:p>
            <w:r>
              <w:rPr>
                <w:rFonts w:ascii="Times New Roman" w:hAnsi="Times New Roman"/>
                <w:sz w:val="18"/>
              </w:rPr>
              <w:t>Readmission measurement</w:t>
            </w:r>
          </w:p>
        </w:tc>
        <w:tc>
          <w:tcPr>
            <w:tcW w:type="dxa" w:w="1560"/>
          </w:tcPr>
          <w:p>
            <w:r>
              <w:rPr>
                <w:rFonts w:ascii="Times New Roman" w:hAnsi="Times New Roman"/>
                <w:sz w:val="18"/>
              </w:rPr>
              <w:t>Medicare claims</w:t>
            </w:r>
          </w:p>
        </w:tc>
        <w:tc>
          <w:tcPr>
            <w:tcW w:type="dxa" w:w="1560"/>
          </w:tcPr>
          <w:p>
            <w:r>
              <w:rPr>
                <w:rFonts w:ascii="Times New Roman" w:hAnsi="Times New Roman"/>
                <w:sz w:val="18"/>
              </w:rPr>
              <w:t>Risk-standardized metrics</w:t>
            </w:r>
          </w:p>
        </w:tc>
        <w:tc>
          <w:tcPr>
            <w:tcW w:type="dxa" w:w="1560"/>
          </w:tcPr>
          <w:p>
            <w:r>
              <w:rPr>
                <w:rFonts w:ascii="Times New Roman" w:hAnsi="Times New Roman"/>
                <w:sz w:val="18"/>
              </w:rPr>
              <w:t>Case-mix adjusted rates underpin CMS measures</w:t>
            </w:r>
          </w:p>
        </w:tc>
        <w:tc>
          <w:tcPr>
            <w:tcW w:type="dxa" w:w="1560"/>
          </w:tcPr>
          <w:p>
            <w:r>
              <w:rPr>
                <w:rFonts w:ascii="Times New Roman" w:hAnsi="Times New Roman"/>
                <w:sz w:val="18"/>
              </w:rPr>
              <w:t>RQ1–RQ4 outcome validity</w:t>
            </w:r>
          </w:p>
        </w:tc>
      </w:tr>
    </w:tbl>
    <w:p/>
    <w:p>
      <w:pPr>
        <w:spacing w:line="480" w:lineRule="auto"/>
        <w:ind w:firstLine="720"/>
      </w:pPr>
      <w:r>
        <w:rPr>
          <w:rFonts w:ascii="Times New Roman" w:hAnsi="Times New Roman"/>
          <w:b w:val="0"/>
          <w:sz w:val="24"/>
        </w:rPr>
        <w:t>Theme synthesis. Prediction/transparency literature (Collins et al., 2024; Rajkomar et al., 2018) justifies supervised classifiers with explicit validation. Fairness literature (Wang et al., 2024; Davis et al., 2025; Zafar et al., 2019) justifies ownership-stratified FNR monitoring across FY releases. GenAI safety literature (Singhal et al., 2023; Yang et al., 2026; Amodei et al., 2016) justifies tool grounding and mandatory HITL for RQ4 rather than autonomous CMS actions.</w:t>
      </w:r>
    </w:p>
    <w:p>
      <w:pPr>
        <w:spacing w:line="480" w:lineRule="auto" w:before="240"/>
        <w:ind w:firstLine="0"/>
        <w:jc w:val="center"/>
      </w:pPr>
      <w:r>
        <w:rPr>
          <w:rFonts w:ascii="Times New Roman" w:hAnsi="Times New Roman"/>
          <w:b/>
          <w:sz w:val="24"/>
        </w:rPr>
        <w:t>Data Description</w:t>
      </w:r>
    </w:p>
    <w:p>
      <w:pPr>
        <w:spacing w:line="480" w:lineRule="auto" w:before="240"/>
        <w:ind w:firstLine="0"/>
      </w:pPr>
      <w:r>
        <w:rPr>
          <w:rFonts w:ascii="Times New Roman" w:hAnsi="Times New Roman"/>
          <w:b/>
          <w:sz w:val="24"/>
        </w:rPr>
        <w:t>Data Source(s) and Access</w:t>
      </w:r>
    </w:p>
    <w:p>
      <w:pPr>
        <w:spacing w:line="480" w:lineRule="auto"/>
        <w:ind w:firstLine="720"/>
      </w:pPr>
      <w:r>
        <w:rPr>
          <w:rFonts w:ascii="Times New Roman" w:hAnsi="Times New Roman"/>
          <w:b w:val="0"/>
          <w:sz w:val="24"/>
        </w:rPr>
        <w:t>Data are public CMS Provider Data Catalog hospital files (not Kaggle). Primary access points include https://data.cms.gov/provider-data/topics/hospitals and the HRRP program page (https://www.cms.gov/medicare/payment/prospective-payment-systems/acute-inpatient-pps/hospital-readmissions-reduction-program-hrrp). Local verified archives are stored under DATASET/, with analysis-ready extracts in DATASET/analytic_core/ documented by dataset_metadata.json (CMS, 2024).</w:t>
      </w:r>
    </w:p>
    <w:p>
      <w:pPr>
        <w:spacing w:line="480" w:lineRule="auto" w:before="240"/>
        <w:ind w:firstLine="0"/>
      </w:pPr>
      <w:r>
        <w:rPr>
          <w:rFonts w:ascii="Times New Roman" w:hAnsi="Times New Roman"/>
          <w:b/>
          <w:sz w:val="24"/>
        </w:rPr>
        <w:t>Dataset Overview</w:t>
      </w:r>
    </w:p>
    <w:p>
      <w:pPr>
        <w:spacing w:line="480" w:lineRule="auto"/>
        <w:ind w:firstLine="0"/>
      </w:pPr>
      <w:r>
        <w:rPr>
          <w:rFonts w:ascii="Times New Roman" w:hAnsi="Times New Roman"/>
          <w:b/>
          <w:sz w:val="22"/>
        </w:rPr>
        <w:t>Table 3. Dataset overview by fiscal-year release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18"/>
              </w:rPr>
              <w:t>Fiscal Year</w:t>
            </w:r>
          </w:p>
        </w:tc>
        <w:tc>
          <w:tcPr>
            <w:tcW w:type="dxa" w:w="2340"/>
          </w:tcPr>
          <w:p>
            <w:r>
              <w:rPr>
                <w:rFonts w:ascii="Times New Roman" w:hAnsi="Times New Roman"/>
                <w:b/>
                <w:sz w:val="18"/>
              </w:rPr>
              <w:t>HRRP rows</w:t>
            </w:r>
          </w:p>
        </w:tc>
        <w:tc>
          <w:tcPr>
            <w:tcW w:type="dxa" w:w="2340"/>
          </w:tcPr>
          <w:p>
            <w:r>
              <w:rPr>
                <w:rFonts w:ascii="Times New Roman" w:hAnsi="Times New Roman"/>
                <w:b/>
                <w:sz w:val="18"/>
              </w:rPr>
              <w:t>Eligible ERR N</w:t>
            </w:r>
          </w:p>
        </w:tc>
        <w:tc>
          <w:tcPr>
            <w:tcW w:type="dxa" w:w="2340"/>
          </w:tcPr>
          <w:p>
            <w:r>
              <w:rPr>
                <w:rFonts w:ascii="Times New Roman" w:hAnsi="Times New Roman"/>
                <w:b/>
                <w:sz w:val="18"/>
              </w:rPr>
              <w:t>Performance period</w:t>
            </w:r>
          </w:p>
        </w:tc>
      </w:tr>
      <w:tr>
        <w:tc>
          <w:tcPr>
            <w:tcW w:type="dxa" w:w="2340"/>
          </w:tcPr>
          <w:p>
            <w:r>
              <w:rPr>
                <w:rFonts w:ascii="Times New Roman" w:hAnsi="Times New Roman"/>
                <w:sz w:val="18"/>
              </w:rPr>
              <w:t>FY2024</w:t>
            </w:r>
          </w:p>
        </w:tc>
        <w:tc>
          <w:tcPr>
            <w:tcW w:type="dxa" w:w="2340"/>
          </w:tcPr>
          <w:p>
            <w:r>
              <w:rPr>
                <w:rFonts w:ascii="Times New Roman" w:hAnsi="Times New Roman"/>
                <w:sz w:val="18"/>
              </w:rPr>
              <w:t>18,774</w:t>
            </w:r>
          </w:p>
        </w:tc>
        <w:tc>
          <w:tcPr>
            <w:tcW w:type="dxa" w:w="2340"/>
          </w:tcPr>
          <w:p>
            <w:r>
              <w:rPr>
                <w:rFonts w:ascii="Times New Roman" w:hAnsi="Times New Roman"/>
                <w:sz w:val="18"/>
              </w:rPr>
              <w:t>12,077</w:t>
            </w:r>
          </w:p>
        </w:tc>
        <w:tc>
          <w:tcPr>
            <w:tcW w:type="dxa" w:w="2340"/>
          </w:tcPr>
          <w:p>
            <w:r>
              <w:rPr>
                <w:rFonts w:ascii="Times New Roman" w:hAnsi="Times New Roman"/>
                <w:sz w:val="18"/>
              </w:rPr>
              <w:t>07/01/2019–06/30/2022</w:t>
            </w:r>
          </w:p>
        </w:tc>
      </w:tr>
      <w:tr>
        <w:tc>
          <w:tcPr>
            <w:tcW w:type="dxa" w:w="2340"/>
          </w:tcPr>
          <w:p>
            <w:r>
              <w:rPr>
                <w:rFonts w:ascii="Times New Roman" w:hAnsi="Times New Roman"/>
                <w:sz w:val="18"/>
              </w:rPr>
              <w:t>FY2025</w:t>
            </w:r>
          </w:p>
        </w:tc>
        <w:tc>
          <w:tcPr>
            <w:tcW w:type="dxa" w:w="2340"/>
          </w:tcPr>
          <w:p>
            <w:r>
              <w:rPr>
                <w:rFonts w:ascii="Times New Roman" w:hAnsi="Times New Roman"/>
                <w:sz w:val="18"/>
              </w:rPr>
              <w:t>18,510</w:t>
            </w:r>
          </w:p>
        </w:tc>
        <w:tc>
          <w:tcPr>
            <w:tcW w:type="dxa" w:w="2340"/>
          </w:tcPr>
          <w:p>
            <w:r>
              <w:rPr>
                <w:rFonts w:ascii="Times New Roman" w:hAnsi="Times New Roman"/>
                <w:sz w:val="18"/>
              </w:rPr>
              <w:t>11,927</w:t>
            </w:r>
          </w:p>
        </w:tc>
        <w:tc>
          <w:tcPr>
            <w:tcW w:type="dxa" w:w="2340"/>
          </w:tcPr>
          <w:p>
            <w:r>
              <w:rPr>
                <w:rFonts w:ascii="Times New Roman" w:hAnsi="Times New Roman"/>
                <w:sz w:val="18"/>
              </w:rPr>
              <w:t>07/01/2020–06/30/2023</w:t>
            </w:r>
          </w:p>
        </w:tc>
      </w:tr>
      <w:tr>
        <w:tc>
          <w:tcPr>
            <w:tcW w:type="dxa" w:w="2340"/>
          </w:tcPr>
          <w:p>
            <w:r>
              <w:rPr>
                <w:rFonts w:ascii="Times New Roman" w:hAnsi="Times New Roman"/>
                <w:sz w:val="18"/>
              </w:rPr>
              <w:t>FY2026</w:t>
            </w:r>
          </w:p>
        </w:tc>
        <w:tc>
          <w:tcPr>
            <w:tcW w:type="dxa" w:w="2340"/>
          </w:tcPr>
          <w:p>
            <w:r>
              <w:rPr>
                <w:rFonts w:ascii="Times New Roman" w:hAnsi="Times New Roman"/>
                <w:sz w:val="18"/>
              </w:rPr>
              <w:t>18,330</w:t>
            </w:r>
          </w:p>
        </w:tc>
        <w:tc>
          <w:tcPr>
            <w:tcW w:type="dxa" w:w="2340"/>
          </w:tcPr>
          <w:p>
            <w:r>
              <w:rPr>
                <w:rFonts w:ascii="Times New Roman" w:hAnsi="Times New Roman"/>
                <w:sz w:val="18"/>
              </w:rPr>
              <w:t>11,720</w:t>
            </w:r>
          </w:p>
        </w:tc>
        <w:tc>
          <w:tcPr>
            <w:tcW w:type="dxa" w:w="2340"/>
          </w:tcPr>
          <w:p>
            <w:r>
              <w:rPr>
                <w:rFonts w:ascii="Times New Roman" w:hAnsi="Times New Roman"/>
                <w:sz w:val="18"/>
              </w:rPr>
              <w:t>07/01/2021–06/30/2024</w:t>
            </w:r>
          </w:p>
        </w:tc>
      </w:tr>
      <w:tr>
        <w:tc>
          <w:tcPr>
            <w:tcW w:type="dxa" w:w="2340"/>
          </w:tcPr>
          <w:p>
            <w:r>
              <w:rPr>
                <w:rFonts w:ascii="Times New Roman" w:hAnsi="Times New Roman"/>
                <w:sz w:val="18"/>
              </w:rPr>
              <w:t>Pooled</w:t>
            </w:r>
          </w:p>
        </w:tc>
        <w:tc>
          <w:tcPr>
            <w:tcW w:type="dxa" w:w="2340"/>
          </w:tcPr>
          <w:p>
            <w:r>
              <w:rPr>
                <w:rFonts w:ascii="Times New Roman" w:hAnsi="Times New Roman"/>
                <w:sz w:val="18"/>
              </w:rPr>
              <w:t>55,614</w:t>
            </w:r>
          </w:p>
        </w:tc>
        <w:tc>
          <w:tcPr>
            <w:tcW w:type="dxa" w:w="2340"/>
          </w:tcPr>
          <w:p>
            <w:r>
              <w:rPr>
                <w:rFonts w:ascii="Times New Roman" w:hAnsi="Times New Roman"/>
                <w:sz w:val="18"/>
              </w:rPr>
              <w:t>35,724</w:t>
            </w:r>
          </w:p>
        </w:tc>
        <w:tc>
          <w:tcPr>
            <w:tcW w:type="dxa" w:w="2340"/>
          </w:tcPr>
          <w:p>
            <w:r>
              <w:rPr>
                <w:rFonts w:ascii="Times New Roman" w:hAnsi="Times New Roman"/>
                <w:sz w:val="18"/>
              </w:rPr>
              <w:t>Overlapping CMS windows</w:t>
            </w:r>
          </w:p>
        </w:tc>
      </w:tr>
    </w:tbl>
    <w:p/>
    <w:p>
      <w:pPr>
        <w:spacing w:line="480" w:lineRule="auto"/>
        <w:ind w:firstLine="720"/>
      </w:pPr>
      <w:r>
        <w:rPr>
          <w:rFonts w:ascii="Times New Roman" w:hAnsi="Times New Roman"/>
          <w:b w:val="0"/>
          <w:sz w:val="24"/>
        </w:rPr>
        <w:t>Number of records (eligible analytic rows): 35,724. Unique facilities: 2,946. Unit of analysis: hospital–condition–fiscal-year. Target variable: excess_risk_flag = 1 if Excess Readmission Ratio &gt; 1.0. Independent variables include ownership, emergency services, measure/condition, state group, and log discharge volume.</w:t>
      </w:r>
    </w:p>
    <w:p>
      <w:pPr>
        <w:spacing w:line="480" w:lineRule="auto" w:before="240"/>
        <w:ind w:firstLine="0"/>
      </w:pPr>
      <w:r>
        <w:rPr>
          <w:rFonts w:ascii="Times New Roman" w:hAnsi="Times New Roman"/>
          <w:b/>
          <w:sz w:val="24"/>
        </w:rPr>
        <w:t>Data Dictionary (Mandatory)</w:t>
      </w:r>
    </w:p>
    <w:p>
      <w:pPr>
        <w:spacing w:line="480" w:lineRule="auto"/>
        <w:ind w:firstLine="0"/>
      </w:pPr>
      <w:r>
        <w:rPr>
          <w:rFonts w:ascii="Times New Roman" w:hAnsi="Times New Roman"/>
          <w:b/>
          <w:sz w:val="22"/>
        </w:rPr>
        <w:t>Table 4. Data dictionary (modeling and agent fields)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b/>
                <w:sz w:val="18"/>
              </w:rPr>
              <w:t>Variable Name</w:t>
            </w:r>
          </w:p>
        </w:tc>
        <w:tc>
          <w:tcPr>
            <w:tcW w:type="dxa" w:w="1560"/>
          </w:tcPr>
          <w:p>
            <w:r>
              <w:rPr>
                <w:rFonts w:ascii="Times New Roman" w:hAnsi="Times New Roman"/>
                <w:b/>
                <w:sz w:val="18"/>
              </w:rPr>
              <w:t>Definition</w:t>
            </w:r>
          </w:p>
        </w:tc>
        <w:tc>
          <w:tcPr>
            <w:tcW w:type="dxa" w:w="1560"/>
          </w:tcPr>
          <w:p>
            <w:r>
              <w:rPr>
                <w:rFonts w:ascii="Times New Roman" w:hAnsi="Times New Roman"/>
                <w:b/>
                <w:sz w:val="18"/>
              </w:rPr>
              <w:t>Datatype</w:t>
            </w:r>
          </w:p>
        </w:tc>
        <w:tc>
          <w:tcPr>
            <w:tcW w:type="dxa" w:w="1560"/>
          </w:tcPr>
          <w:p>
            <w:r>
              <w:rPr>
                <w:rFonts w:ascii="Times New Roman" w:hAnsi="Times New Roman"/>
                <w:b/>
                <w:sz w:val="18"/>
              </w:rPr>
              <w:t>Allowed Values/Range</w:t>
            </w:r>
          </w:p>
        </w:tc>
        <w:tc>
          <w:tcPr>
            <w:tcW w:type="dxa" w:w="1560"/>
          </w:tcPr>
          <w:p>
            <w:r>
              <w:rPr>
                <w:rFonts w:ascii="Times New Roman" w:hAnsi="Times New Roman"/>
                <w:b/>
                <w:sz w:val="18"/>
              </w:rPr>
              <w:t>Missing Handling</w:t>
            </w:r>
          </w:p>
        </w:tc>
        <w:tc>
          <w:tcPr>
            <w:tcW w:type="dxa" w:w="1560"/>
          </w:tcPr>
          <w:p>
            <w:r>
              <w:rPr>
                <w:rFonts w:ascii="Times New Roman" w:hAnsi="Times New Roman"/>
                <w:b/>
                <w:sz w:val="18"/>
              </w:rPr>
              <w:t>Notes</w:t>
            </w:r>
          </w:p>
        </w:tc>
      </w:tr>
      <w:tr>
        <w:tc>
          <w:tcPr>
            <w:tcW w:type="dxa" w:w="1560"/>
          </w:tcPr>
          <w:p>
            <w:r>
              <w:rPr>
                <w:rFonts w:ascii="Times New Roman" w:hAnsi="Times New Roman"/>
                <w:sz w:val="18"/>
              </w:rPr>
              <w:t>Facility ID</w:t>
            </w:r>
          </w:p>
        </w:tc>
        <w:tc>
          <w:tcPr>
            <w:tcW w:type="dxa" w:w="1560"/>
          </w:tcPr>
          <w:p>
            <w:r>
              <w:rPr>
                <w:rFonts w:ascii="Times New Roman" w:hAnsi="Times New Roman"/>
                <w:sz w:val="18"/>
              </w:rPr>
              <w:t>CMS hospital ID</w:t>
            </w:r>
          </w:p>
        </w:tc>
        <w:tc>
          <w:tcPr>
            <w:tcW w:type="dxa" w:w="1560"/>
          </w:tcPr>
          <w:p>
            <w:r>
              <w:rPr>
                <w:rFonts w:ascii="Times New Roman" w:hAnsi="Times New Roman"/>
                <w:sz w:val="18"/>
              </w:rPr>
              <w:t>ID</w:t>
            </w:r>
          </w:p>
        </w:tc>
        <w:tc>
          <w:tcPr>
            <w:tcW w:type="dxa" w:w="1560"/>
          </w:tcPr>
          <w:p>
            <w:r>
              <w:rPr>
                <w:rFonts w:ascii="Times New Roman" w:hAnsi="Times New Roman"/>
                <w:sz w:val="18"/>
              </w:rPr>
              <w:t>CMS codes</w:t>
            </w:r>
          </w:p>
        </w:tc>
        <w:tc>
          <w:tcPr>
            <w:tcW w:type="dxa" w:w="1560"/>
          </w:tcPr>
          <w:p>
            <w:r>
              <w:rPr>
                <w:rFonts w:ascii="Times New Roman" w:hAnsi="Times New Roman"/>
                <w:sz w:val="18"/>
              </w:rPr>
              <w:t>Required join key</w:t>
            </w:r>
          </w:p>
        </w:tc>
        <w:tc>
          <w:tcPr>
            <w:tcW w:type="dxa" w:w="1560"/>
          </w:tcPr>
          <w:p>
            <w:r>
              <w:rPr>
                <w:rFonts w:ascii="Times New Roman" w:hAnsi="Times New Roman"/>
                <w:sz w:val="18"/>
              </w:rPr>
              <w:t>All RQs</w:t>
            </w:r>
          </w:p>
        </w:tc>
      </w:tr>
      <w:tr>
        <w:tc>
          <w:tcPr>
            <w:tcW w:type="dxa" w:w="1560"/>
          </w:tcPr>
          <w:p>
            <w:r>
              <w:rPr>
                <w:rFonts w:ascii="Times New Roman" w:hAnsi="Times New Roman"/>
                <w:sz w:val="18"/>
              </w:rPr>
              <w:t>State</w:t>
            </w:r>
          </w:p>
        </w:tc>
        <w:tc>
          <w:tcPr>
            <w:tcW w:type="dxa" w:w="1560"/>
          </w:tcPr>
          <w:p>
            <w:r>
              <w:rPr>
                <w:rFonts w:ascii="Times New Roman" w:hAnsi="Times New Roman"/>
                <w:sz w:val="18"/>
              </w:rPr>
              <w:t>Hospital state</w:t>
            </w:r>
          </w:p>
        </w:tc>
        <w:tc>
          <w:tcPr>
            <w:tcW w:type="dxa" w:w="1560"/>
          </w:tcPr>
          <w:p>
            <w:r>
              <w:rPr>
                <w:rFonts w:ascii="Times New Roman" w:hAnsi="Times New Roman"/>
                <w:sz w:val="18"/>
              </w:rPr>
              <w:t>Categorical</w:t>
            </w:r>
          </w:p>
        </w:tc>
        <w:tc>
          <w:tcPr>
            <w:tcW w:type="dxa" w:w="1560"/>
          </w:tcPr>
          <w:p>
            <w:r>
              <w:rPr>
                <w:rFonts w:ascii="Times New Roman" w:hAnsi="Times New Roman"/>
                <w:sz w:val="18"/>
              </w:rPr>
              <w:t>US states</w:t>
            </w:r>
          </w:p>
        </w:tc>
        <w:tc>
          <w:tcPr>
            <w:tcW w:type="dxa" w:w="1560"/>
          </w:tcPr>
          <w:p>
            <w:r>
              <w:rPr>
                <w:rFonts w:ascii="Times New Roman" w:hAnsi="Times New Roman"/>
                <w:sz w:val="18"/>
              </w:rPr>
              <w:t>Top-15 + Other</w:t>
            </w:r>
          </w:p>
        </w:tc>
        <w:tc>
          <w:tcPr>
            <w:tcW w:type="dxa" w:w="1560"/>
          </w:tcPr>
          <w:p>
            <w:r>
              <w:rPr>
                <w:rFonts w:ascii="Times New Roman" w:hAnsi="Times New Roman"/>
                <w:sz w:val="18"/>
              </w:rPr>
              <w:t>RQ1–RQ4</w:t>
            </w:r>
          </w:p>
        </w:tc>
      </w:tr>
      <w:tr>
        <w:tc>
          <w:tcPr>
            <w:tcW w:type="dxa" w:w="1560"/>
          </w:tcPr>
          <w:p>
            <w:r>
              <w:rPr>
                <w:rFonts w:ascii="Times New Roman" w:hAnsi="Times New Roman"/>
                <w:sz w:val="18"/>
              </w:rPr>
              <w:t>Hospital Ownership</w:t>
            </w:r>
          </w:p>
        </w:tc>
        <w:tc>
          <w:tcPr>
            <w:tcW w:type="dxa" w:w="1560"/>
          </w:tcPr>
          <w:p>
            <w:r>
              <w:rPr>
                <w:rFonts w:ascii="Times New Roman" w:hAnsi="Times New Roman"/>
                <w:sz w:val="18"/>
              </w:rPr>
              <w:t>Ownership type</w:t>
            </w:r>
          </w:p>
        </w:tc>
        <w:tc>
          <w:tcPr>
            <w:tcW w:type="dxa" w:w="1560"/>
          </w:tcPr>
          <w:p>
            <w:r>
              <w:rPr>
                <w:rFonts w:ascii="Times New Roman" w:hAnsi="Times New Roman"/>
                <w:sz w:val="18"/>
              </w:rPr>
              <w:t>Categorical</w:t>
            </w:r>
          </w:p>
        </w:tc>
        <w:tc>
          <w:tcPr>
            <w:tcW w:type="dxa" w:w="1560"/>
          </w:tcPr>
          <w:p>
            <w:r>
              <w:rPr>
                <w:rFonts w:ascii="Times New Roman" w:hAnsi="Times New Roman"/>
                <w:sz w:val="18"/>
              </w:rPr>
              <w:t>CMS labels</w:t>
            </w:r>
          </w:p>
        </w:tc>
        <w:tc>
          <w:tcPr>
            <w:tcW w:type="dxa" w:w="1560"/>
          </w:tcPr>
          <w:p>
            <w:r>
              <w:rPr>
                <w:rFonts w:ascii="Times New Roman" w:hAnsi="Times New Roman"/>
                <w:sz w:val="18"/>
              </w:rPr>
              <w:t>Collapsed to ownership_bin</w:t>
            </w:r>
          </w:p>
        </w:tc>
        <w:tc>
          <w:tcPr>
            <w:tcW w:type="dxa" w:w="1560"/>
          </w:tcPr>
          <w:p>
            <w:r>
              <w:rPr>
                <w:rFonts w:ascii="Times New Roman" w:hAnsi="Times New Roman"/>
                <w:sz w:val="18"/>
              </w:rPr>
              <w:t>RQ1–RQ4</w:t>
            </w:r>
          </w:p>
        </w:tc>
      </w:tr>
      <w:tr>
        <w:tc>
          <w:tcPr>
            <w:tcW w:type="dxa" w:w="1560"/>
          </w:tcPr>
          <w:p>
            <w:r>
              <w:rPr>
                <w:rFonts w:ascii="Times New Roman" w:hAnsi="Times New Roman"/>
                <w:sz w:val="18"/>
              </w:rPr>
              <w:t>Emergency Services</w:t>
            </w:r>
          </w:p>
        </w:tc>
        <w:tc>
          <w:tcPr>
            <w:tcW w:type="dxa" w:w="1560"/>
          </w:tcPr>
          <w:p>
            <w:r>
              <w:rPr>
                <w:rFonts w:ascii="Times New Roman" w:hAnsi="Times New Roman"/>
                <w:sz w:val="18"/>
              </w:rPr>
              <w:t>ED indicator</w:t>
            </w:r>
          </w:p>
        </w:tc>
        <w:tc>
          <w:tcPr>
            <w:tcW w:type="dxa" w:w="1560"/>
          </w:tcPr>
          <w:p>
            <w:r>
              <w:rPr>
                <w:rFonts w:ascii="Times New Roman" w:hAnsi="Times New Roman"/>
                <w:sz w:val="18"/>
              </w:rPr>
              <w:t>Categorical</w:t>
            </w:r>
          </w:p>
        </w:tc>
        <w:tc>
          <w:tcPr>
            <w:tcW w:type="dxa" w:w="1560"/>
          </w:tcPr>
          <w:p>
            <w:r>
              <w:rPr>
                <w:rFonts w:ascii="Times New Roman" w:hAnsi="Times New Roman"/>
                <w:sz w:val="18"/>
              </w:rPr>
              <w:t>Yes/No/Unknown</w:t>
            </w:r>
          </w:p>
        </w:tc>
        <w:tc>
          <w:tcPr>
            <w:tcW w:type="dxa" w:w="1560"/>
          </w:tcPr>
          <w:p>
            <w:r>
              <w:rPr>
                <w:rFonts w:ascii="Times New Roman" w:hAnsi="Times New Roman"/>
                <w:sz w:val="18"/>
              </w:rPr>
              <w:t>Impute mode in ML</w:t>
            </w:r>
          </w:p>
        </w:tc>
        <w:tc>
          <w:tcPr>
            <w:tcW w:type="dxa" w:w="1560"/>
          </w:tcPr>
          <w:p>
            <w:r>
              <w:rPr>
                <w:rFonts w:ascii="Times New Roman" w:hAnsi="Times New Roman"/>
                <w:sz w:val="18"/>
              </w:rPr>
              <w:t>RQ1–RQ2</w:t>
            </w:r>
          </w:p>
        </w:tc>
      </w:tr>
      <w:tr>
        <w:tc>
          <w:tcPr>
            <w:tcW w:type="dxa" w:w="1560"/>
          </w:tcPr>
          <w:p>
            <w:r>
              <w:rPr>
                <w:rFonts w:ascii="Times New Roman" w:hAnsi="Times New Roman"/>
                <w:sz w:val="18"/>
              </w:rPr>
              <w:t>Measure Name</w:t>
            </w:r>
          </w:p>
        </w:tc>
        <w:tc>
          <w:tcPr>
            <w:tcW w:type="dxa" w:w="1560"/>
          </w:tcPr>
          <w:p>
            <w:r>
              <w:rPr>
                <w:rFonts w:ascii="Times New Roman" w:hAnsi="Times New Roman"/>
                <w:sz w:val="18"/>
              </w:rPr>
              <w:t>HRRP condition</w:t>
            </w:r>
          </w:p>
        </w:tc>
        <w:tc>
          <w:tcPr>
            <w:tcW w:type="dxa" w:w="1560"/>
          </w:tcPr>
          <w:p>
            <w:r>
              <w:rPr>
                <w:rFonts w:ascii="Times New Roman" w:hAnsi="Times New Roman"/>
                <w:sz w:val="18"/>
              </w:rPr>
              <w:t>Categorical</w:t>
            </w:r>
          </w:p>
        </w:tc>
        <w:tc>
          <w:tcPr>
            <w:tcW w:type="dxa" w:w="1560"/>
          </w:tcPr>
          <w:p>
            <w:r>
              <w:rPr>
                <w:rFonts w:ascii="Times New Roman" w:hAnsi="Times New Roman"/>
                <w:sz w:val="18"/>
              </w:rPr>
              <w:t>6 measures</w:t>
            </w:r>
          </w:p>
        </w:tc>
        <w:tc>
          <w:tcPr>
            <w:tcW w:type="dxa" w:w="1560"/>
          </w:tcPr>
          <w:p>
            <w:r>
              <w:rPr>
                <w:rFonts w:ascii="Times New Roman" w:hAnsi="Times New Roman"/>
                <w:sz w:val="18"/>
              </w:rPr>
              <w:t>Required</w:t>
            </w:r>
          </w:p>
        </w:tc>
        <w:tc>
          <w:tcPr>
            <w:tcW w:type="dxa" w:w="1560"/>
          </w:tcPr>
          <w:p>
            <w:r>
              <w:rPr>
                <w:rFonts w:ascii="Times New Roman" w:hAnsi="Times New Roman"/>
                <w:sz w:val="18"/>
              </w:rPr>
              <w:t>Stratum</w:t>
            </w:r>
          </w:p>
        </w:tc>
      </w:tr>
      <w:tr>
        <w:tc>
          <w:tcPr>
            <w:tcW w:type="dxa" w:w="1560"/>
          </w:tcPr>
          <w:p>
            <w:r>
              <w:rPr>
                <w:rFonts w:ascii="Times New Roman" w:hAnsi="Times New Roman"/>
                <w:sz w:val="18"/>
              </w:rPr>
              <w:t>Number of Discharges</w:t>
            </w:r>
          </w:p>
        </w:tc>
        <w:tc>
          <w:tcPr>
            <w:tcW w:type="dxa" w:w="1560"/>
          </w:tcPr>
          <w:p>
            <w:r>
              <w:rPr>
                <w:rFonts w:ascii="Times New Roman" w:hAnsi="Times New Roman"/>
                <w:sz w:val="18"/>
              </w:rPr>
              <w:t>Eligible discharges</w:t>
            </w:r>
          </w:p>
        </w:tc>
        <w:tc>
          <w:tcPr>
            <w:tcW w:type="dxa" w:w="1560"/>
          </w:tcPr>
          <w:p>
            <w:r>
              <w:rPr>
                <w:rFonts w:ascii="Times New Roman" w:hAnsi="Times New Roman"/>
                <w:sz w:val="18"/>
              </w:rPr>
              <w:t>Numeric</w:t>
            </w:r>
          </w:p>
        </w:tc>
        <w:tc>
          <w:tcPr>
            <w:tcW w:type="dxa" w:w="1560"/>
          </w:tcPr>
          <w:p>
            <w:r>
              <w:rPr>
                <w:rFonts w:ascii="Times New Roman" w:hAnsi="Times New Roman"/>
                <w:sz w:val="18"/>
              </w:rPr>
              <w:t>≥0</w:t>
            </w:r>
          </w:p>
        </w:tc>
        <w:tc>
          <w:tcPr>
            <w:tcW w:type="dxa" w:w="1560"/>
          </w:tcPr>
          <w:p>
            <w:r>
              <w:rPr>
                <w:rFonts w:ascii="Times New Roman" w:hAnsi="Times New Roman"/>
                <w:sz w:val="18"/>
              </w:rPr>
              <w:t>Median impute; log1p</w:t>
            </w:r>
          </w:p>
        </w:tc>
        <w:tc>
          <w:tcPr>
            <w:tcW w:type="dxa" w:w="1560"/>
          </w:tcPr>
          <w:p>
            <w:r>
              <w:rPr>
                <w:rFonts w:ascii="Times New Roman" w:hAnsi="Times New Roman"/>
                <w:sz w:val="18"/>
              </w:rPr>
              <w:t>RQ1–RQ2</w:t>
            </w:r>
          </w:p>
        </w:tc>
      </w:tr>
      <w:tr>
        <w:tc>
          <w:tcPr>
            <w:tcW w:type="dxa" w:w="1560"/>
          </w:tcPr>
          <w:p>
            <w:r>
              <w:rPr>
                <w:rFonts w:ascii="Times New Roman" w:hAnsi="Times New Roman"/>
                <w:sz w:val="18"/>
              </w:rPr>
              <w:t>Predicted Readmission Rate</w:t>
            </w:r>
          </w:p>
        </w:tc>
        <w:tc>
          <w:tcPr>
            <w:tcW w:type="dxa" w:w="1560"/>
          </w:tcPr>
          <w:p>
            <w:r>
              <w:rPr>
                <w:rFonts w:ascii="Times New Roman" w:hAnsi="Times New Roman"/>
                <w:sz w:val="18"/>
              </w:rPr>
              <w:t>Hospital predicted %</w:t>
            </w:r>
          </w:p>
        </w:tc>
        <w:tc>
          <w:tcPr>
            <w:tcW w:type="dxa" w:w="1560"/>
          </w:tcPr>
          <w:p>
            <w:r>
              <w:rPr>
                <w:rFonts w:ascii="Times New Roman" w:hAnsi="Times New Roman"/>
                <w:sz w:val="18"/>
              </w:rPr>
              <w:t>Numeric</w:t>
            </w:r>
          </w:p>
        </w:tc>
        <w:tc>
          <w:tcPr>
            <w:tcW w:type="dxa" w:w="1560"/>
          </w:tcPr>
          <w:p>
            <w:r>
              <w:rPr>
                <w:rFonts w:ascii="Times New Roman" w:hAnsi="Times New Roman"/>
                <w:sz w:val="18"/>
              </w:rPr>
              <w:t>CMS %</w:t>
            </w:r>
          </w:p>
        </w:tc>
        <w:tc>
          <w:tcPr>
            <w:tcW w:type="dxa" w:w="1560"/>
          </w:tcPr>
          <w:p>
            <w:r>
              <w:rPr>
                <w:rFonts w:ascii="Times New Roman" w:hAnsi="Times New Roman"/>
                <w:sz w:val="18"/>
              </w:rPr>
              <w:t>Used in what-if</w:t>
            </w:r>
          </w:p>
        </w:tc>
        <w:tc>
          <w:tcPr>
            <w:tcW w:type="dxa" w:w="1560"/>
          </w:tcPr>
          <w:p>
            <w:r>
              <w:rPr>
                <w:rFonts w:ascii="Times New Roman" w:hAnsi="Times New Roman"/>
                <w:sz w:val="18"/>
              </w:rPr>
              <w:t>RQ4</w:t>
            </w:r>
          </w:p>
        </w:tc>
      </w:tr>
      <w:tr>
        <w:tc>
          <w:tcPr>
            <w:tcW w:type="dxa" w:w="1560"/>
          </w:tcPr>
          <w:p>
            <w:r>
              <w:rPr>
                <w:rFonts w:ascii="Times New Roman" w:hAnsi="Times New Roman"/>
                <w:sz w:val="18"/>
              </w:rPr>
              <w:t>Expected Readmission Rate</w:t>
            </w:r>
          </w:p>
        </w:tc>
        <w:tc>
          <w:tcPr>
            <w:tcW w:type="dxa" w:w="1560"/>
          </w:tcPr>
          <w:p>
            <w:r>
              <w:rPr>
                <w:rFonts w:ascii="Times New Roman" w:hAnsi="Times New Roman"/>
                <w:sz w:val="18"/>
              </w:rPr>
              <w:t>Case-mix expected %</w:t>
            </w:r>
          </w:p>
        </w:tc>
        <w:tc>
          <w:tcPr>
            <w:tcW w:type="dxa" w:w="1560"/>
          </w:tcPr>
          <w:p>
            <w:r>
              <w:rPr>
                <w:rFonts w:ascii="Times New Roman" w:hAnsi="Times New Roman"/>
                <w:sz w:val="18"/>
              </w:rPr>
              <w:t>Numeric</w:t>
            </w:r>
          </w:p>
        </w:tc>
        <w:tc>
          <w:tcPr>
            <w:tcW w:type="dxa" w:w="1560"/>
          </w:tcPr>
          <w:p>
            <w:r>
              <w:rPr>
                <w:rFonts w:ascii="Times New Roman" w:hAnsi="Times New Roman"/>
                <w:sz w:val="18"/>
              </w:rPr>
              <w:t>CMS %</w:t>
            </w:r>
          </w:p>
        </w:tc>
        <w:tc>
          <w:tcPr>
            <w:tcW w:type="dxa" w:w="1560"/>
          </w:tcPr>
          <w:p>
            <w:r>
              <w:rPr>
                <w:rFonts w:ascii="Times New Roman" w:hAnsi="Times New Roman"/>
                <w:sz w:val="18"/>
              </w:rPr>
              <w:t>Used in what-if</w:t>
            </w:r>
          </w:p>
        </w:tc>
        <w:tc>
          <w:tcPr>
            <w:tcW w:type="dxa" w:w="1560"/>
          </w:tcPr>
          <w:p>
            <w:r>
              <w:rPr>
                <w:rFonts w:ascii="Times New Roman" w:hAnsi="Times New Roman"/>
                <w:sz w:val="18"/>
              </w:rPr>
              <w:t>RQ4</w:t>
            </w:r>
          </w:p>
        </w:tc>
      </w:tr>
      <w:tr>
        <w:tc>
          <w:tcPr>
            <w:tcW w:type="dxa" w:w="1560"/>
          </w:tcPr>
          <w:p>
            <w:r>
              <w:rPr>
                <w:rFonts w:ascii="Times New Roman" w:hAnsi="Times New Roman"/>
                <w:sz w:val="18"/>
              </w:rPr>
              <w:t>Excess Readmission Ratio</w:t>
            </w:r>
          </w:p>
        </w:tc>
        <w:tc>
          <w:tcPr>
            <w:tcW w:type="dxa" w:w="1560"/>
          </w:tcPr>
          <w:p>
            <w:r>
              <w:rPr>
                <w:rFonts w:ascii="Times New Roman" w:hAnsi="Times New Roman"/>
                <w:sz w:val="18"/>
              </w:rPr>
              <w:t>Predicted/Expected</w:t>
            </w:r>
          </w:p>
        </w:tc>
        <w:tc>
          <w:tcPr>
            <w:tcW w:type="dxa" w:w="1560"/>
          </w:tcPr>
          <w:p>
            <w:r>
              <w:rPr>
                <w:rFonts w:ascii="Times New Roman" w:hAnsi="Times New Roman"/>
                <w:sz w:val="18"/>
              </w:rPr>
              <w:t>Numeric</w:t>
            </w:r>
          </w:p>
        </w:tc>
        <w:tc>
          <w:tcPr>
            <w:tcW w:type="dxa" w:w="1560"/>
          </w:tcPr>
          <w:p>
            <w:r>
              <w:rPr>
                <w:rFonts w:ascii="Times New Roman" w:hAnsi="Times New Roman"/>
                <w:sz w:val="18"/>
              </w:rPr>
              <w:t>Typically near 1</w:t>
            </w:r>
          </w:p>
        </w:tc>
        <w:tc>
          <w:tcPr>
            <w:tcW w:type="dxa" w:w="1560"/>
          </w:tcPr>
          <w:p>
            <w:r>
              <w:rPr>
                <w:rFonts w:ascii="Times New Roman" w:hAnsi="Times New Roman"/>
                <w:sz w:val="18"/>
              </w:rPr>
              <w:t>Rows with NA dropped</w:t>
            </w:r>
          </w:p>
        </w:tc>
        <w:tc>
          <w:tcPr>
            <w:tcW w:type="dxa" w:w="1560"/>
          </w:tcPr>
          <w:p>
            <w:r>
              <w:rPr>
                <w:rFonts w:ascii="Times New Roman" w:hAnsi="Times New Roman"/>
                <w:sz w:val="18"/>
              </w:rPr>
              <w:t>Outcome</w:t>
            </w:r>
          </w:p>
        </w:tc>
      </w:tr>
      <w:tr>
        <w:tc>
          <w:tcPr>
            <w:tcW w:type="dxa" w:w="1560"/>
          </w:tcPr>
          <w:p>
            <w:r>
              <w:rPr>
                <w:rFonts w:ascii="Times New Roman" w:hAnsi="Times New Roman"/>
                <w:sz w:val="18"/>
              </w:rPr>
              <w:t>excess_risk_flag</w:t>
            </w:r>
          </w:p>
        </w:tc>
        <w:tc>
          <w:tcPr>
            <w:tcW w:type="dxa" w:w="1560"/>
          </w:tcPr>
          <w:p>
            <w:r>
              <w:rPr>
                <w:rFonts w:ascii="Times New Roman" w:hAnsi="Times New Roman"/>
                <w:sz w:val="18"/>
              </w:rPr>
              <w:t>1 if ERR&gt;1</w:t>
            </w:r>
          </w:p>
        </w:tc>
        <w:tc>
          <w:tcPr>
            <w:tcW w:type="dxa" w:w="1560"/>
          </w:tcPr>
          <w:p>
            <w:r>
              <w:rPr>
                <w:rFonts w:ascii="Times New Roman" w:hAnsi="Times New Roman"/>
                <w:sz w:val="18"/>
              </w:rPr>
              <w:t>Binary</w:t>
            </w:r>
          </w:p>
        </w:tc>
        <w:tc>
          <w:tcPr>
            <w:tcW w:type="dxa" w:w="1560"/>
          </w:tcPr>
          <w:p>
            <w:r>
              <w:rPr>
                <w:rFonts w:ascii="Times New Roman" w:hAnsi="Times New Roman"/>
                <w:sz w:val="18"/>
              </w:rPr>
              <w:t>0/1</w:t>
            </w:r>
          </w:p>
        </w:tc>
        <w:tc>
          <w:tcPr>
            <w:tcW w:type="dxa" w:w="1560"/>
          </w:tcPr>
          <w:p>
            <w:r>
              <w:rPr>
                <w:rFonts w:ascii="Times New Roman" w:hAnsi="Times New Roman"/>
                <w:sz w:val="18"/>
              </w:rPr>
              <w:t>Derived after NA drop</w:t>
            </w:r>
          </w:p>
        </w:tc>
        <w:tc>
          <w:tcPr>
            <w:tcW w:type="dxa" w:w="1560"/>
          </w:tcPr>
          <w:p>
            <w:r>
              <w:rPr>
                <w:rFonts w:ascii="Times New Roman" w:hAnsi="Times New Roman"/>
                <w:sz w:val="18"/>
              </w:rPr>
              <w:t>Y</w:t>
            </w:r>
          </w:p>
        </w:tc>
      </w:tr>
      <w:tr>
        <w:tc>
          <w:tcPr>
            <w:tcW w:type="dxa" w:w="1560"/>
          </w:tcPr>
          <w:p>
            <w:r>
              <w:rPr>
                <w:rFonts w:ascii="Times New Roman" w:hAnsi="Times New Roman"/>
                <w:sz w:val="18"/>
              </w:rPr>
              <w:t>fiscal_year_label</w:t>
            </w:r>
          </w:p>
        </w:tc>
        <w:tc>
          <w:tcPr>
            <w:tcW w:type="dxa" w:w="1560"/>
          </w:tcPr>
          <w:p>
            <w:r>
              <w:rPr>
                <w:rFonts w:ascii="Times New Roman" w:hAnsi="Times New Roman"/>
                <w:sz w:val="18"/>
              </w:rPr>
              <w:t>CMS release label</w:t>
            </w:r>
          </w:p>
        </w:tc>
        <w:tc>
          <w:tcPr>
            <w:tcW w:type="dxa" w:w="1560"/>
          </w:tcPr>
          <w:p>
            <w:r>
              <w:rPr>
                <w:rFonts w:ascii="Times New Roman" w:hAnsi="Times New Roman"/>
                <w:sz w:val="18"/>
              </w:rPr>
              <w:t>Categorical</w:t>
            </w:r>
          </w:p>
        </w:tc>
        <w:tc>
          <w:tcPr>
            <w:tcW w:type="dxa" w:w="1560"/>
          </w:tcPr>
          <w:p>
            <w:r>
              <w:rPr>
                <w:rFonts w:ascii="Times New Roman" w:hAnsi="Times New Roman"/>
                <w:sz w:val="18"/>
              </w:rPr>
              <w:t>FY2024–FY2026</w:t>
            </w:r>
          </w:p>
        </w:tc>
        <w:tc>
          <w:tcPr>
            <w:tcW w:type="dxa" w:w="1560"/>
          </w:tcPr>
          <w:p>
            <w:r>
              <w:rPr>
                <w:rFonts w:ascii="Times New Roman" w:hAnsi="Times New Roman"/>
                <w:sz w:val="18"/>
              </w:rPr>
              <w:t>From file source</w:t>
            </w:r>
          </w:p>
        </w:tc>
        <w:tc>
          <w:tcPr>
            <w:tcW w:type="dxa" w:w="1560"/>
          </w:tcPr>
          <w:p>
            <w:r>
              <w:rPr>
                <w:rFonts w:ascii="Times New Roman" w:hAnsi="Times New Roman"/>
                <w:sz w:val="18"/>
              </w:rPr>
              <w:t>Time</w:t>
            </w:r>
          </w:p>
        </w:tc>
      </w:tr>
    </w:tbl>
    <w:p/>
    <w:p>
      <w:pPr>
        <w:spacing w:line="480" w:lineRule="auto" w:before="240"/>
        <w:ind w:firstLine="0"/>
      </w:pPr>
      <w:r>
        <w:rPr>
          <w:rFonts w:ascii="Times New Roman" w:hAnsi="Times New Roman"/>
          <w:b/>
          <w:sz w:val="24"/>
        </w:rPr>
        <w:t>GitHub Data Availability Statement</w:t>
      </w:r>
    </w:p>
    <w:p>
      <w:pPr>
        <w:spacing w:line="480" w:lineRule="auto"/>
        <w:ind w:firstLine="0"/>
      </w:pPr>
      <w:r>
        <w:rPr>
          <w:rFonts w:ascii="Times New Roman" w:hAnsi="Times New Roman"/>
          <w:b w:val="0"/>
          <w:sz w:val="24"/>
        </w:rPr>
        <w:t>Raw data: DATASET/analytic_core/ (FY2024–FY2026 HRRP + General Information CSVs).</w:t>
      </w:r>
    </w:p>
    <w:p>
      <w:pPr>
        <w:spacing w:line="480" w:lineRule="auto"/>
        <w:ind w:firstLine="0"/>
      </w:pPr>
      <w:r>
        <w:rPr>
          <w:rFonts w:ascii="Times New Roman" w:hAnsi="Times New Roman"/>
          <w:b w:val="0"/>
          <w:sz w:val="24"/>
        </w:rPr>
        <w:t>Processed/clean data: analysis_outputs/processed/hrrp_eligible_fy2024_2026.csv.</w:t>
      </w:r>
    </w:p>
    <w:p>
      <w:pPr>
        <w:spacing w:line="480" w:lineRule="auto"/>
        <w:ind w:firstLine="0"/>
      </w:pPr>
      <w:r>
        <w:rPr>
          <w:rFonts w:ascii="Times New Roman" w:hAnsi="Times New Roman"/>
          <w:b w:val="0"/>
          <w:sz w:val="24"/>
        </w:rPr>
        <w:t>Code/notebooks: run_interim_analysis.py; metrics in analysis_outputs/metrics.json; figures in analysis_outputs/figures/.</w:t>
      </w:r>
    </w:p>
    <w:p>
      <w:pPr>
        <w:spacing w:line="480" w:lineRule="auto" w:before="240"/>
        <w:ind w:firstLine="0"/>
        <w:jc w:val="center"/>
      </w:pPr>
      <w:r>
        <w:rPr>
          <w:rFonts w:ascii="Times New Roman" w:hAnsi="Times New Roman"/>
          <w:b/>
          <w:sz w:val="24"/>
        </w:rPr>
        <w:t>Analysis</w:t>
      </w:r>
    </w:p>
    <w:p>
      <w:pPr>
        <w:spacing w:line="480" w:lineRule="auto" w:before="240"/>
        <w:ind w:firstLine="0"/>
      </w:pPr>
      <w:r>
        <w:rPr>
          <w:rFonts w:ascii="Times New Roman" w:hAnsi="Times New Roman"/>
          <w:b/>
          <w:sz w:val="24"/>
        </w:rPr>
        <w:t>Data Cleaning</w:t>
      </w:r>
    </w:p>
    <w:p>
      <w:pPr>
        <w:spacing w:line="480" w:lineRule="auto"/>
        <w:ind w:firstLine="720"/>
      </w:pPr>
      <w:r>
        <w:rPr>
          <w:rFonts w:ascii="Times New Roman" w:hAnsi="Times New Roman"/>
          <w:b w:val="0"/>
          <w:sz w:val="24"/>
        </w:rPr>
        <w:t>Cleaning followed Step 4 design. HRRP files were left-joined to same-year Hospital General Information on Facility ID. Excess Readmission Ratio was coerced to numeric; rows with missing ERR were excluded from inferential analyses because Y is undefined without ERR. Of 55,614 raw hospital–condition rows, 19,890 (35.76%) lacked ERR and were removed, leaving 35,724 eligible rows. Duplicate Facility ID–Measure–FY keys in the eligible panel: 0. Ownership labels were collapsed to Nonprofit, Proprietary, Government, and Other/Unknown for stable estimation and fairness strata. Discharge counts used log1p transformation after median imputation for modeling.</w:t>
      </w:r>
    </w:p>
    <w:p>
      <w:pPr>
        <w:spacing w:line="480" w:lineRule="auto"/>
        <w:ind w:firstLine="0"/>
      </w:pPr>
      <w:r>
        <w:rPr>
          <w:rFonts w:ascii="Times New Roman" w:hAnsi="Times New Roman"/>
          <w:b/>
          <w:sz w:val="22"/>
        </w:rPr>
        <w:t>Table 5. Data cleaning log</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sz w:val="18"/>
              </w:rPr>
              <w:t>Issue</w:t>
            </w:r>
          </w:p>
        </w:tc>
        <w:tc>
          <w:tcPr>
            <w:tcW w:type="dxa" w:w="1872"/>
          </w:tcPr>
          <w:p>
            <w:r>
              <w:rPr>
                <w:rFonts w:ascii="Times New Roman" w:hAnsi="Times New Roman"/>
                <w:b/>
                <w:sz w:val="18"/>
              </w:rPr>
              <w:t>Variables Affected</w:t>
            </w:r>
          </w:p>
        </w:tc>
        <w:tc>
          <w:tcPr>
            <w:tcW w:type="dxa" w:w="1872"/>
          </w:tcPr>
          <w:p>
            <w:r>
              <w:rPr>
                <w:rFonts w:ascii="Times New Roman" w:hAnsi="Times New Roman"/>
                <w:b/>
                <w:sz w:val="18"/>
              </w:rPr>
              <w:t>Detection Method</w:t>
            </w:r>
          </w:p>
        </w:tc>
        <w:tc>
          <w:tcPr>
            <w:tcW w:type="dxa" w:w="1872"/>
          </w:tcPr>
          <w:p>
            <w:r>
              <w:rPr>
                <w:rFonts w:ascii="Times New Roman" w:hAnsi="Times New Roman"/>
                <w:b/>
                <w:sz w:val="18"/>
              </w:rPr>
              <w:t>Treatment Applied</w:t>
            </w:r>
          </w:p>
        </w:tc>
        <w:tc>
          <w:tcPr>
            <w:tcW w:type="dxa" w:w="1872"/>
          </w:tcPr>
          <w:p>
            <w:r>
              <w:rPr>
                <w:rFonts w:ascii="Times New Roman" w:hAnsi="Times New Roman"/>
                <w:b/>
                <w:sz w:val="18"/>
              </w:rPr>
              <w:t>Rationale</w:t>
            </w:r>
          </w:p>
        </w:tc>
      </w:tr>
      <w:tr>
        <w:tc>
          <w:tcPr>
            <w:tcW w:type="dxa" w:w="1872"/>
          </w:tcPr>
          <w:p>
            <w:r>
              <w:rPr>
                <w:rFonts w:ascii="Times New Roman" w:hAnsi="Times New Roman"/>
                <w:sz w:val="18"/>
              </w:rPr>
              <w:t>Missing ERR</w:t>
            </w:r>
          </w:p>
        </w:tc>
        <w:tc>
          <w:tcPr>
            <w:tcW w:type="dxa" w:w="1872"/>
          </w:tcPr>
          <w:p>
            <w:r>
              <w:rPr>
                <w:rFonts w:ascii="Times New Roman" w:hAnsi="Times New Roman"/>
                <w:sz w:val="18"/>
              </w:rPr>
              <w:t>Excess Readmission Ratio; Y</w:t>
            </w:r>
          </w:p>
        </w:tc>
        <w:tc>
          <w:tcPr>
            <w:tcW w:type="dxa" w:w="1872"/>
          </w:tcPr>
          <w:p>
            <w:r>
              <w:rPr>
                <w:rFonts w:ascii="Times New Roman" w:hAnsi="Times New Roman"/>
                <w:sz w:val="18"/>
              </w:rPr>
              <w:t>isna() count</w:t>
            </w:r>
          </w:p>
        </w:tc>
        <w:tc>
          <w:tcPr>
            <w:tcW w:type="dxa" w:w="1872"/>
          </w:tcPr>
          <w:p>
            <w:r>
              <w:rPr>
                <w:rFonts w:ascii="Times New Roman" w:hAnsi="Times New Roman"/>
                <w:sz w:val="18"/>
              </w:rPr>
              <w:t>Drop (35.76% rows)</w:t>
            </w:r>
          </w:p>
        </w:tc>
        <w:tc>
          <w:tcPr>
            <w:tcW w:type="dxa" w:w="1872"/>
          </w:tcPr>
          <w:p>
            <w:r>
              <w:rPr>
                <w:rFonts w:ascii="Times New Roman" w:hAnsi="Times New Roman"/>
                <w:sz w:val="18"/>
              </w:rPr>
              <w:t>Y undefined without ERR</w:t>
            </w:r>
          </w:p>
        </w:tc>
      </w:tr>
      <w:tr>
        <w:tc>
          <w:tcPr>
            <w:tcW w:type="dxa" w:w="1872"/>
          </w:tcPr>
          <w:p>
            <w:r>
              <w:rPr>
                <w:rFonts w:ascii="Times New Roman" w:hAnsi="Times New Roman"/>
                <w:sz w:val="18"/>
              </w:rPr>
              <w:t>Non-numeric rates</w:t>
            </w:r>
          </w:p>
        </w:tc>
        <w:tc>
          <w:tcPr>
            <w:tcW w:type="dxa" w:w="1872"/>
          </w:tcPr>
          <w:p>
            <w:r>
              <w:rPr>
                <w:rFonts w:ascii="Times New Roman" w:hAnsi="Times New Roman"/>
                <w:sz w:val="18"/>
              </w:rPr>
              <w:t>ERR, predicted/expected, discharges</w:t>
            </w:r>
          </w:p>
        </w:tc>
        <w:tc>
          <w:tcPr>
            <w:tcW w:type="dxa" w:w="1872"/>
          </w:tcPr>
          <w:p>
            <w:r>
              <w:rPr>
                <w:rFonts w:ascii="Times New Roman" w:hAnsi="Times New Roman"/>
                <w:sz w:val="18"/>
              </w:rPr>
              <w:t>pd.to_numeric errors='coerce'</w:t>
            </w:r>
          </w:p>
        </w:tc>
        <w:tc>
          <w:tcPr>
            <w:tcW w:type="dxa" w:w="1872"/>
          </w:tcPr>
          <w:p>
            <w:r>
              <w:rPr>
                <w:rFonts w:ascii="Times New Roman" w:hAnsi="Times New Roman"/>
                <w:sz w:val="18"/>
              </w:rPr>
              <w:t>Coerce; NA if invalid</w:t>
            </w:r>
          </w:p>
        </w:tc>
        <w:tc>
          <w:tcPr>
            <w:tcW w:type="dxa" w:w="1872"/>
          </w:tcPr>
          <w:p>
            <w:r>
              <w:rPr>
                <w:rFonts w:ascii="Times New Roman" w:hAnsi="Times New Roman"/>
                <w:sz w:val="18"/>
              </w:rPr>
              <w:t>CMS text placeholders</w:t>
            </w:r>
          </w:p>
        </w:tc>
      </w:tr>
      <w:tr>
        <w:tc>
          <w:tcPr>
            <w:tcW w:type="dxa" w:w="1872"/>
          </w:tcPr>
          <w:p>
            <w:r>
              <w:rPr>
                <w:rFonts w:ascii="Times New Roman" w:hAnsi="Times New Roman"/>
                <w:sz w:val="18"/>
              </w:rPr>
              <w:t>Ownership sparsity</w:t>
            </w:r>
          </w:p>
        </w:tc>
        <w:tc>
          <w:tcPr>
            <w:tcW w:type="dxa" w:w="1872"/>
          </w:tcPr>
          <w:p>
            <w:r>
              <w:rPr>
                <w:rFonts w:ascii="Times New Roman" w:hAnsi="Times New Roman"/>
                <w:sz w:val="18"/>
              </w:rPr>
              <w:t>Hospital Ownership</w:t>
            </w:r>
          </w:p>
        </w:tc>
        <w:tc>
          <w:tcPr>
            <w:tcW w:type="dxa" w:w="1872"/>
          </w:tcPr>
          <w:p>
            <w:r>
              <w:rPr>
                <w:rFonts w:ascii="Times New Roman" w:hAnsi="Times New Roman"/>
                <w:sz w:val="18"/>
              </w:rPr>
              <w:t>Value counts</w:t>
            </w:r>
          </w:p>
        </w:tc>
        <w:tc>
          <w:tcPr>
            <w:tcW w:type="dxa" w:w="1872"/>
          </w:tcPr>
          <w:p>
            <w:r>
              <w:rPr>
                <w:rFonts w:ascii="Times New Roman" w:hAnsi="Times New Roman"/>
                <w:sz w:val="18"/>
              </w:rPr>
              <w:t>Collapse to ownership_bin</w:t>
            </w:r>
          </w:p>
        </w:tc>
        <w:tc>
          <w:tcPr>
            <w:tcW w:type="dxa" w:w="1872"/>
          </w:tcPr>
          <w:p>
            <w:r>
              <w:rPr>
                <w:rFonts w:ascii="Times New Roman" w:hAnsi="Times New Roman"/>
                <w:sz w:val="18"/>
              </w:rPr>
              <w:t>Stable OR/FNR estimates</w:t>
            </w:r>
          </w:p>
        </w:tc>
      </w:tr>
      <w:tr>
        <w:tc>
          <w:tcPr>
            <w:tcW w:type="dxa" w:w="1872"/>
          </w:tcPr>
          <w:p>
            <w:r>
              <w:rPr>
                <w:rFonts w:ascii="Times New Roman" w:hAnsi="Times New Roman"/>
                <w:sz w:val="18"/>
              </w:rPr>
              <w:t>State high cardinality</w:t>
            </w:r>
          </w:p>
        </w:tc>
        <w:tc>
          <w:tcPr>
            <w:tcW w:type="dxa" w:w="1872"/>
          </w:tcPr>
          <w:p>
            <w:r>
              <w:rPr>
                <w:rFonts w:ascii="Times New Roman" w:hAnsi="Times New Roman"/>
                <w:sz w:val="18"/>
              </w:rPr>
              <w:t>State</w:t>
            </w:r>
          </w:p>
        </w:tc>
        <w:tc>
          <w:tcPr>
            <w:tcW w:type="dxa" w:w="1872"/>
          </w:tcPr>
          <w:p>
            <w:r>
              <w:rPr>
                <w:rFonts w:ascii="Times New Roman" w:hAnsi="Times New Roman"/>
                <w:sz w:val="18"/>
              </w:rPr>
              <w:t>Value counts</w:t>
            </w:r>
          </w:p>
        </w:tc>
        <w:tc>
          <w:tcPr>
            <w:tcW w:type="dxa" w:w="1872"/>
          </w:tcPr>
          <w:p>
            <w:r>
              <w:rPr>
                <w:rFonts w:ascii="Times New Roman" w:hAnsi="Times New Roman"/>
                <w:sz w:val="18"/>
              </w:rPr>
              <w:t>Top-15 states + Other</w:t>
            </w:r>
          </w:p>
        </w:tc>
        <w:tc>
          <w:tcPr>
            <w:tcW w:type="dxa" w:w="1872"/>
          </w:tcPr>
          <w:p>
            <w:r>
              <w:rPr>
                <w:rFonts w:ascii="Times New Roman" w:hAnsi="Times New Roman"/>
                <w:sz w:val="18"/>
              </w:rPr>
              <w:t>Avoid sparse dummies</w:t>
            </w:r>
          </w:p>
        </w:tc>
      </w:tr>
      <w:tr>
        <w:tc>
          <w:tcPr>
            <w:tcW w:type="dxa" w:w="1872"/>
          </w:tcPr>
          <w:p>
            <w:r>
              <w:rPr>
                <w:rFonts w:ascii="Times New Roman" w:hAnsi="Times New Roman"/>
                <w:sz w:val="18"/>
              </w:rPr>
              <w:t>Duplicates</w:t>
            </w:r>
          </w:p>
        </w:tc>
        <w:tc>
          <w:tcPr>
            <w:tcW w:type="dxa" w:w="1872"/>
          </w:tcPr>
          <w:p>
            <w:r>
              <w:rPr>
                <w:rFonts w:ascii="Times New Roman" w:hAnsi="Times New Roman"/>
                <w:sz w:val="18"/>
              </w:rPr>
              <w:t>Facility×Measure×FY</w:t>
            </w:r>
          </w:p>
        </w:tc>
        <w:tc>
          <w:tcPr>
            <w:tcW w:type="dxa" w:w="1872"/>
          </w:tcPr>
          <w:p>
            <w:r>
              <w:rPr>
                <w:rFonts w:ascii="Times New Roman" w:hAnsi="Times New Roman"/>
                <w:sz w:val="18"/>
              </w:rPr>
              <w:t>duplicated()</w:t>
            </w:r>
          </w:p>
        </w:tc>
        <w:tc>
          <w:tcPr>
            <w:tcW w:type="dxa" w:w="1872"/>
          </w:tcPr>
          <w:p>
            <w:r>
              <w:rPr>
                <w:rFonts w:ascii="Times New Roman" w:hAnsi="Times New Roman"/>
                <w:sz w:val="18"/>
              </w:rPr>
              <w:t>None needed (n=0)</w:t>
            </w:r>
          </w:p>
        </w:tc>
        <w:tc>
          <w:tcPr>
            <w:tcW w:type="dxa" w:w="1872"/>
          </w:tcPr>
          <w:p>
            <w:r>
              <w:rPr>
                <w:rFonts w:ascii="Times New Roman" w:hAnsi="Times New Roman"/>
                <w:sz w:val="18"/>
              </w:rPr>
              <w:t>Key uniqueness verified</w:t>
            </w:r>
          </w:p>
        </w:tc>
      </w:tr>
      <w:tr>
        <w:tc>
          <w:tcPr>
            <w:tcW w:type="dxa" w:w="1872"/>
          </w:tcPr>
          <w:p>
            <w:r>
              <w:rPr>
                <w:rFonts w:ascii="Times New Roman" w:hAnsi="Times New Roman"/>
                <w:sz w:val="18"/>
              </w:rPr>
              <w:t>Scale of volume</w:t>
            </w:r>
          </w:p>
        </w:tc>
        <w:tc>
          <w:tcPr>
            <w:tcW w:type="dxa" w:w="1872"/>
          </w:tcPr>
          <w:p>
            <w:r>
              <w:rPr>
                <w:rFonts w:ascii="Times New Roman" w:hAnsi="Times New Roman"/>
                <w:sz w:val="18"/>
              </w:rPr>
              <w:t>Number of Discharges</w:t>
            </w:r>
          </w:p>
        </w:tc>
        <w:tc>
          <w:tcPr>
            <w:tcW w:type="dxa" w:w="1872"/>
          </w:tcPr>
          <w:p>
            <w:r>
              <w:rPr>
                <w:rFonts w:ascii="Times New Roman" w:hAnsi="Times New Roman"/>
                <w:sz w:val="18"/>
              </w:rPr>
              <w:t>Skew inspection</w:t>
            </w:r>
          </w:p>
        </w:tc>
        <w:tc>
          <w:tcPr>
            <w:tcW w:type="dxa" w:w="1872"/>
          </w:tcPr>
          <w:p>
            <w:r>
              <w:rPr>
                <w:rFonts w:ascii="Times New Roman" w:hAnsi="Times New Roman"/>
                <w:sz w:val="18"/>
              </w:rPr>
              <w:t>log1p after median impute</w:t>
            </w:r>
          </w:p>
        </w:tc>
        <w:tc>
          <w:tcPr>
            <w:tcW w:type="dxa" w:w="1872"/>
          </w:tcPr>
          <w:p>
            <w:r>
              <w:rPr>
                <w:rFonts w:ascii="Times New Roman" w:hAnsi="Times New Roman"/>
                <w:sz w:val="18"/>
              </w:rPr>
              <w:t>Stabilize logistic/ML fit</w:t>
            </w:r>
          </w:p>
        </w:tc>
      </w:tr>
    </w:tbl>
    <w:p/>
    <w:p>
      <w:pPr>
        <w:spacing w:line="480" w:lineRule="auto" w:before="240"/>
        <w:ind w:firstLine="0"/>
      </w:pPr>
      <w:r>
        <w:rPr>
          <w:rFonts w:ascii="Times New Roman" w:hAnsi="Times New Roman"/>
          <w:b/>
          <w:sz w:val="24"/>
        </w:rPr>
        <w:t>EDA Results (Interpretation Emphasis)</w:t>
      </w:r>
    </w:p>
    <w:p>
      <w:pPr>
        <w:spacing w:line="480" w:lineRule="auto"/>
        <w:ind w:firstLine="720"/>
      </w:pPr>
      <w:r>
        <w:rPr>
          <w:rFonts w:ascii="Times New Roman" w:hAnsi="Times New Roman"/>
          <w:b w:val="0"/>
          <w:sz w:val="24"/>
        </w:rPr>
        <w:t>Across eligible rows, mean ERR was 1.002 (SD 0.080), centering near the policy threshold of 1.0. Prevalence of ERR &gt; 1.0 was approximately stable by release: FY2024 48.5%, FY2025 48.7%, FY2026 48.1% (Figure 4). This stability supports using FY splits for temporal validation rather than assuming a rare-event problem.</w:t>
      </w:r>
    </w:p>
    <w:p>
      <w:pPr>
        <w:ind w:firstLine="0"/>
        <w:jc w:val="center"/>
      </w:pPr>
      <w:r>
        <w:drawing>
          <wp:inline xmlns:a="http://schemas.openxmlformats.org/drawingml/2006/main" xmlns:pic="http://schemas.openxmlformats.org/drawingml/2006/picture">
            <wp:extent cx="5486400" cy="3135086"/>
            <wp:docPr id="1" name="Picture 1"/>
            <wp:cNvGraphicFramePr>
              <a:graphicFrameLocks noChangeAspect="1"/>
            </wp:cNvGraphicFramePr>
            <a:graphic>
              <a:graphicData uri="http://schemas.openxmlformats.org/drawingml/2006/picture">
                <pic:pic>
                  <pic:nvPicPr>
                    <pic:cNvPr id="0" name="fig1_risk_by_fy.png"/>
                    <pic:cNvPicPr/>
                  </pic:nvPicPr>
                  <pic:blipFill>
                    <a:blip r:embed="rId10"/>
                    <a:stretch>
                      <a:fillRect/>
                    </a:stretch>
                  </pic:blipFill>
                  <pic:spPr>
                    <a:xfrm>
                      <a:off x="0" y="0"/>
                      <a:ext cx="5486400" cy="3135086"/>
                    </a:xfrm>
                    <a:prstGeom prst="rect"/>
                  </pic:spPr>
                </pic:pic>
              </a:graphicData>
            </a:graphic>
          </wp:inline>
        </w:drawing>
      </w:r>
    </w:p>
    <w:p>
      <w:pPr>
        <w:ind w:firstLine="0"/>
        <w:jc w:val="center"/>
      </w:pPr>
      <w:r>
        <w:rPr>
          <w:rFonts w:ascii="Times New Roman" w:hAnsi="Times New Roman"/>
          <w:i/>
          <w:sz w:val="22"/>
        </w:rPr>
        <w:t>Figure 1. Excess-risk flag counts by fiscal-year release</w:t>
      </w:r>
    </w:p>
    <w:p>
      <w:pPr>
        <w:spacing w:line="480" w:lineRule="auto"/>
        <w:ind w:firstLine="720"/>
      </w:pPr>
      <w:r>
        <w:rPr>
          <w:rFonts w:ascii="Times New Roman" w:hAnsi="Times New Roman"/>
          <w:b w:val="0"/>
          <w:sz w:val="24"/>
        </w:rPr>
        <w:t>Figure 1 shows balanced counts of excess-risk versus non-excess rows in each FY release. Insight: the classification task is near class-balanced (~48% positive), so accuracy alone is insufficient and AUROC/PR-AUC are appropriate for RQ2.</w:t>
      </w:r>
    </w:p>
    <w:p>
      <w:pPr>
        <w:ind w:firstLine="0"/>
        <w:jc w:val="center"/>
      </w:pPr>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fig2_err_by_measure.png"/>
                    <pic:cNvPicPr/>
                  </pic:nvPicPr>
                  <pic:blipFill>
                    <a:blip r:embed="rId11"/>
                    <a:stretch>
                      <a:fillRect/>
                    </a:stretch>
                  </pic:blipFill>
                  <pic:spPr>
                    <a:xfrm>
                      <a:off x="0" y="0"/>
                      <a:ext cx="5486400" cy="2743200"/>
                    </a:xfrm>
                    <a:prstGeom prst="rect"/>
                  </pic:spPr>
                </pic:pic>
              </a:graphicData>
            </a:graphic>
          </wp:inline>
        </w:drawing>
      </w:r>
    </w:p>
    <w:p>
      <w:pPr>
        <w:ind w:firstLine="0"/>
        <w:jc w:val="center"/>
      </w:pPr>
      <w:r>
        <w:rPr>
          <w:rFonts w:ascii="Times New Roman" w:hAnsi="Times New Roman"/>
          <w:i/>
          <w:sz w:val="22"/>
        </w:rPr>
        <w:t>Figure 2. ERR distribution by HRRP condition measure</w:t>
      </w:r>
    </w:p>
    <w:p>
      <w:pPr>
        <w:spacing w:line="480" w:lineRule="auto"/>
        <w:ind w:firstLine="720"/>
      </w:pPr>
      <w:r>
        <w:rPr>
          <w:rFonts w:ascii="Times New Roman" w:hAnsi="Times New Roman"/>
          <w:b w:val="0"/>
          <w:sz w:val="24"/>
        </w:rPr>
        <w:t>Figure 2 indicates measure-specific ERR spreads around the threshold line at 1.0. Insight: condition measure must be adjusted in RQ1 and included as a feature/stratum in RQ2–RQ4; pooling without measure control would confound associations.</w:t>
      </w:r>
    </w:p>
    <w:p>
      <w:pPr>
        <w:ind w:firstLine="0"/>
        <w:jc w:val="center"/>
      </w:pPr>
      <w:r>
        <w:drawing>
          <wp:inline xmlns:a="http://schemas.openxmlformats.org/drawingml/2006/main" xmlns:pic="http://schemas.openxmlformats.org/drawingml/2006/picture">
            <wp:extent cx="5486400" cy="2743200"/>
            <wp:docPr id="3" name="Picture 3"/>
            <wp:cNvGraphicFramePr>
              <a:graphicFrameLocks noChangeAspect="1"/>
            </wp:cNvGraphicFramePr>
            <a:graphic>
              <a:graphicData uri="http://schemas.openxmlformats.org/drawingml/2006/picture">
                <pic:pic>
                  <pic:nvPicPr>
                    <pic:cNvPr id="0" name="fig3_err_by_ownership.png"/>
                    <pic:cNvPicPr/>
                  </pic:nvPicPr>
                  <pic:blipFill>
                    <a:blip r:embed="rId12"/>
                    <a:stretch>
                      <a:fillRect/>
                    </a:stretch>
                  </pic:blipFill>
                  <pic:spPr>
                    <a:xfrm>
                      <a:off x="0" y="0"/>
                      <a:ext cx="5486400" cy="2743200"/>
                    </a:xfrm>
                    <a:prstGeom prst="rect"/>
                  </pic:spPr>
                </pic:pic>
              </a:graphicData>
            </a:graphic>
          </wp:inline>
        </w:drawing>
      </w:r>
    </w:p>
    <w:p>
      <w:pPr>
        <w:ind w:firstLine="0"/>
        <w:jc w:val="center"/>
      </w:pPr>
      <w:r>
        <w:rPr>
          <w:rFonts w:ascii="Times New Roman" w:hAnsi="Times New Roman"/>
          <w:i/>
          <w:sz w:val="22"/>
        </w:rPr>
        <w:t>Figure 3. ERR by hospital ownership group</w:t>
      </w:r>
    </w:p>
    <w:p>
      <w:pPr>
        <w:spacing w:line="480" w:lineRule="auto"/>
        <w:ind w:firstLine="720"/>
      </w:pPr>
      <w:r>
        <w:rPr>
          <w:rFonts w:ascii="Times New Roman" w:hAnsi="Times New Roman"/>
          <w:b w:val="0"/>
          <w:sz w:val="24"/>
        </w:rPr>
        <w:t>Figure 3 shows ownership-linked differences in ERR location and spread. Insight: ownership is a candidate association factor (RQ1) and a fairness stratum (RQ3), and is also used as a peer-matching filter in RQ4.</w:t>
      </w:r>
    </w:p>
    <w:p>
      <w:pPr>
        <w:ind w:firstLine="0"/>
        <w:jc w:val="center"/>
      </w:pPr>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fig4_prevalence_by_fy.png"/>
                    <pic:cNvPicPr/>
                  </pic:nvPicPr>
                  <pic:blipFill>
                    <a:blip r:embed="rId13"/>
                    <a:stretch>
                      <a:fillRect/>
                    </a:stretch>
                  </pic:blipFill>
                  <pic:spPr>
                    <a:xfrm>
                      <a:off x="0" y="0"/>
                      <a:ext cx="5486400" cy="3657600"/>
                    </a:xfrm>
                    <a:prstGeom prst="rect"/>
                  </pic:spPr>
                </pic:pic>
              </a:graphicData>
            </a:graphic>
          </wp:inline>
        </w:drawing>
      </w:r>
    </w:p>
    <w:p>
      <w:pPr>
        <w:ind w:firstLine="0"/>
        <w:jc w:val="center"/>
      </w:pPr>
      <w:r>
        <w:rPr>
          <w:rFonts w:ascii="Times New Roman" w:hAnsi="Times New Roman"/>
          <w:i/>
          <w:sz w:val="22"/>
        </w:rPr>
        <w:t>Figure 4. Prevalence of ERR &gt; 1.0 by fiscal-year release</w:t>
      </w:r>
    </w:p>
    <w:p>
      <w:pPr>
        <w:spacing w:line="480" w:lineRule="auto"/>
        <w:ind w:firstLine="720"/>
      </w:pPr>
      <w:r>
        <w:rPr>
          <w:rFonts w:ascii="Times New Roman" w:hAnsi="Times New Roman"/>
          <w:b w:val="0"/>
          <w:sz w:val="24"/>
        </w:rPr>
        <w:t>Figure 4 confirms prevalence is nearly constant across FY2024–FY2026. Insight: large AUROC drops in RQ3 would not be explained by sudden class imbalance changes; any drift would more likely reflect covariate/process shift.</w:t>
      </w:r>
    </w:p>
    <w:p>
      <w:pPr>
        <w:spacing w:line="480" w:lineRule="auto"/>
        <w:ind w:firstLine="0"/>
      </w:pPr>
      <w:r>
        <w:rPr>
          <w:rFonts w:ascii="Times New Roman" w:hAnsi="Times New Roman"/>
          <w:b/>
          <w:sz w:val="22"/>
        </w:rPr>
        <w:t>Table 6. EDA insight summary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sz w:val="18"/>
              </w:rPr>
              <w:t>Figure/Table</w:t>
            </w:r>
          </w:p>
        </w:tc>
        <w:tc>
          <w:tcPr>
            <w:tcW w:type="dxa" w:w="1872"/>
          </w:tcPr>
          <w:p>
            <w:r>
              <w:rPr>
                <w:rFonts w:ascii="Times New Roman" w:hAnsi="Times New Roman"/>
                <w:b/>
                <w:sz w:val="18"/>
              </w:rPr>
              <w:t>What it Shows</w:t>
            </w:r>
          </w:p>
        </w:tc>
        <w:tc>
          <w:tcPr>
            <w:tcW w:type="dxa" w:w="1872"/>
          </w:tcPr>
          <w:p>
            <w:r>
              <w:rPr>
                <w:rFonts w:ascii="Times New Roman" w:hAnsi="Times New Roman"/>
                <w:b/>
                <w:sz w:val="18"/>
              </w:rPr>
              <w:t>Key Insight</w:t>
            </w:r>
          </w:p>
        </w:tc>
        <w:tc>
          <w:tcPr>
            <w:tcW w:type="dxa" w:w="1872"/>
          </w:tcPr>
          <w:p>
            <w:r>
              <w:rPr>
                <w:rFonts w:ascii="Times New Roman" w:hAnsi="Times New Roman"/>
                <w:b/>
                <w:sz w:val="18"/>
              </w:rPr>
              <w:t>Why it Matters</w:t>
            </w:r>
          </w:p>
        </w:tc>
        <w:tc>
          <w:tcPr>
            <w:tcW w:type="dxa" w:w="1872"/>
          </w:tcPr>
          <w:p>
            <w:r>
              <w:rPr>
                <w:rFonts w:ascii="Times New Roman" w:hAnsi="Times New Roman"/>
                <w:b/>
                <w:sz w:val="18"/>
              </w:rPr>
              <w:t>Decision/Next Step</w:t>
            </w:r>
          </w:p>
        </w:tc>
      </w:tr>
      <w:tr>
        <w:tc>
          <w:tcPr>
            <w:tcW w:type="dxa" w:w="1872"/>
          </w:tcPr>
          <w:p>
            <w:r>
              <w:rPr>
                <w:rFonts w:ascii="Times New Roman" w:hAnsi="Times New Roman"/>
                <w:sz w:val="18"/>
              </w:rPr>
              <w:t>Figure 1</w:t>
            </w:r>
          </w:p>
        </w:tc>
        <w:tc>
          <w:tcPr>
            <w:tcW w:type="dxa" w:w="1872"/>
          </w:tcPr>
          <w:p>
            <w:r>
              <w:rPr>
                <w:rFonts w:ascii="Times New Roman" w:hAnsi="Times New Roman"/>
                <w:sz w:val="18"/>
              </w:rPr>
              <w:t>Risk flag counts by FY</w:t>
            </w:r>
          </w:p>
        </w:tc>
        <w:tc>
          <w:tcPr>
            <w:tcW w:type="dxa" w:w="1872"/>
          </w:tcPr>
          <w:p>
            <w:r>
              <w:rPr>
                <w:rFonts w:ascii="Times New Roman" w:hAnsi="Times New Roman"/>
                <w:sz w:val="18"/>
              </w:rPr>
              <w:t>Near-balanced classes</w:t>
            </w:r>
          </w:p>
        </w:tc>
        <w:tc>
          <w:tcPr>
            <w:tcW w:type="dxa" w:w="1872"/>
          </w:tcPr>
          <w:p>
            <w:r>
              <w:rPr>
                <w:rFonts w:ascii="Times New Roman" w:hAnsi="Times New Roman"/>
                <w:sz w:val="18"/>
              </w:rPr>
              <w:t>Metric choice for RQ2</w:t>
            </w:r>
          </w:p>
        </w:tc>
        <w:tc>
          <w:tcPr>
            <w:tcW w:type="dxa" w:w="1872"/>
          </w:tcPr>
          <w:p>
            <w:r>
              <w:rPr>
                <w:rFonts w:ascii="Times New Roman" w:hAnsi="Times New Roman"/>
                <w:sz w:val="18"/>
              </w:rPr>
              <w:t>Use AUROC/PR-AUC</w:t>
            </w:r>
          </w:p>
        </w:tc>
      </w:tr>
      <w:tr>
        <w:tc>
          <w:tcPr>
            <w:tcW w:type="dxa" w:w="1872"/>
          </w:tcPr>
          <w:p>
            <w:r>
              <w:rPr>
                <w:rFonts w:ascii="Times New Roman" w:hAnsi="Times New Roman"/>
                <w:sz w:val="18"/>
              </w:rPr>
              <w:t>Figure 2</w:t>
            </w:r>
          </w:p>
        </w:tc>
        <w:tc>
          <w:tcPr>
            <w:tcW w:type="dxa" w:w="1872"/>
          </w:tcPr>
          <w:p>
            <w:r>
              <w:rPr>
                <w:rFonts w:ascii="Times New Roman" w:hAnsi="Times New Roman"/>
                <w:sz w:val="18"/>
              </w:rPr>
              <w:t>ERR by measure</w:t>
            </w:r>
          </w:p>
        </w:tc>
        <w:tc>
          <w:tcPr>
            <w:tcW w:type="dxa" w:w="1872"/>
          </w:tcPr>
          <w:p>
            <w:r>
              <w:rPr>
                <w:rFonts w:ascii="Times New Roman" w:hAnsi="Times New Roman"/>
                <w:sz w:val="18"/>
              </w:rPr>
              <w:t>Condition heterogeneity</w:t>
            </w:r>
          </w:p>
        </w:tc>
        <w:tc>
          <w:tcPr>
            <w:tcW w:type="dxa" w:w="1872"/>
          </w:tcPr>
          <w:p>
            <w:r>
              <w:rPr>
                <w:rFonts w:ascii="Times New Roman" w:hAnsi="Times New Roman"/>
                <w:sz w:val="18"/>
              </w:rPr>
              <w:t>Confounding control</w:t>
            </w:r>
          </w:p>
        </w:tc>
        <w:tc>
          <w:tcPr>
            <w:tcW w:type="dxa" w:w="1872"/>
          </w:tcPr>
          <w:p>
            <w:r>
              <w:rPr>
                <w:rFonts w:ascii="Times New Roman" w:hAnsi="Times New Roman"/>
                <w:sz w:val="18"/>
              </w:rPr>
              <w:t>Keep measure in models</w:t>
            </w:r>
          </w:p>
        </w:tc>
      </w:tr>
      <w:tr>
        <w:tc>
          <w:tcPr>
            <w:tcW w:type="dxa" w:w="1872"/>
          </w:tcPr>
          <w:p>
            <w:r>
              <w:rPr>
                <w:rFonts w:ascii="Times New Roman" w:hAnsi="Times New Roman"/>
                <w:sz w:val="18"/>
              </w:rPr>
              <w:t>Figure 3</w:t>
            </w:r>
          </w:p>
        </w:tc>
        <w:tc>
          <w:tcPr>
            <w:tcW w:type="dxa" w:w="1872"/>
          </w:tcPr>
          <w:p>
            <w:r>
              <w:rPr>
                <w:rFonts w:ascii="Times New Roman" w:hAnsi="Times New Roman"/>
                <w:sz w:val="18"/>
              </w:rPr>
              <w:t>ERR by ownership</w:t>
            </w:r>
          </w:p>
        </w:tc>
        <w:tc>
          <w:tcPr>
            <w:tcW w:type="dxa" w:w="1872"/>
          </w:tcPr>
          <w:p>
            <w:r>
              <w:rPr>
                <w:rFonts w:ascii="Times New Roman" w:hAnsi="Times New Roman"/>
                <w:sz w:val="18"/>
              </w:rPr>
              <w:t>Ownership differences</w:t>
            </w:r>
          </w:p>
        </w:tc>
        <w:tc>
          <w:tcPr>
            <w:tcW w:type="dxa" w:w="1872"/>
          </w:tcPr>
          <w:p>
            <w:r>
              <w:rPr>
                <w:rFonts w:ascii="Times New Roman" w:hAnsi="Times New Roman"/>
                <w:sz w:val="18"/>
              </w:rPr>
              <w:t>RQ1/RQ3/RQ4 peer filter</w:t>
            </w:r>
          </w:p>
        </w:tc>
        <w:tc>
          <w:tcPr>
            <w:tcW w:type="dxa" w:w="1872"/>
          </w:tcPr>
          <w:p>
            <w:r>
              <w:rPr>
                <w:rFonts w:ascii="Times New Roman" w:hAnsi="Times New Roman"/>
                <w:sz w:val="18"/>
              </w:rPr>
              <w:t>Retain ownership_bin</w:t>
            </w:r>
          </w:p>
        </w:tc>
      </w:tr>
      <w:tr>
        <w:tc>
          <w:tcPr>
            <w:tcW w:type="dxa" w:w="1872"/>
          </w:tcPr>
          <w:p>
            <w:r>
              <w:rPr>
                <w:rFonts w:ascii="Times New Roman" w:hAnsi="Times New Roman"/>
                <w:sz w:val="18"/>
              </w:rPr>
              <w:t>Figure 4</w:t>
            </w:r>
          </w:p>
        </w:tc>
        <w:tc>
          <w:tcPr>
            <w:tcW w:type="dxa" w:w="1872"/>
          </w:tcPr>
          <w:p>
            <w:r>
              <w:rPr>
                <w:rFonts w:ascii="Times New Roman" w:hAnsi="Times New Roman"/>
                <w:sz w:val="18"/>
              </w:rPr>
              <w:t>Prevalence by FY</w:t>
            </w:r>
          </w:p>
        </w:tc>
        <w:tc>
          <w:tcPr>
            <w:tcW w:type="dxa" w:w="1872"/>
          </w:tcPr>
          <w:p>
            <w:r>
              <w:rPr>
                <w:rFonts w:ascii="Times New Roman" w:hAnsi="Times New Roman"/>
                <w:sz w:val="18"/>
              </w:rPr>
              <w:t>Stable positive rate</w:t>
            </w:r>
          </w:p>
        </w:tc>
        <w:tc>
          <w:tcPr>
            <w:tcW w:type="dxa" w:w="1872"/>
          </w:tcPr>
          <w:p>
            <w:r>
              <w:rPr>
                <w:rFonts w:ascii="Times New Roman" w:hAnsi="Times New Roman"/>
                <w:sz w:val="18"/>
              </w:rPr>
              <w:t>Supports FY OOT design</w:t>
            </w:r>
          </w:p>
        </w:tc>
        <w:tc>
          <w:tcPr>
            <w:tcW w:type="dxa" w:w="1872"/>
          </w:tcPr>
          <w:p>
            <w:r>
              <w:rPr>
                <w:rFonts w:ascii="Times New Roman" w:hAnsi="Times New Roman"/>
                <w:sz w:val="18"/>
              </w:rPr>
              <w:t>Train early / test late</w:t>
            </w:r>
          </w:p>
        </w:tc>
      </w:tr>
      <w:tr>
        <w:tc>
          <w:tcPr>
            <w:tcW w:type="dxa" w:w="1872"/>
          </w:tcPr>
          <w:p>
            <w:r>
              <w:rPr>
                <w:rFonts w:ascii="Times New Roman" w:hAnsi="Times New Roman"/>
                <w:sz w:val="18"/>
              </w:rPr>
              <w:t>Table 3</w:t>
            </w:r>
          </w:p>
        </w:tc>
        <w:tc>
          <w:tcPr>
            <w:tcW w:type="dxa" w:w="1872"/>
          </w:tcPr>
          <w:p>
            <w:r>
              <w:rPr>
                <w:rFonts w:ascii="Times New Roman" w:hAnsi="Times New Roman"/>
                <w:sz w:val="18"/>
              </w:rPr>
              <w:t>N by FY</w:t>
            </w:r>
          </w:p>
        </w:tc>
        <w:tc>
          <w:tcPr>
            <w:tcW w:type="dxa" w:w="1872"/>
          </w:tcPr>
          <w:p>
            <w:r>
              <w:rPr>
                <w:rFonts w:ascii="Times New Roman" w:hAnsi="Times New Roman"/>
                <w:sz w:val="18"/>
              </w:rPr>
              <w:t>Eligible N=35,724</w:t>
            </w:r>
          </w:p>
        </w:tc>
        <w:tc>
          <w:tcPr>
            <w:tcW w:type="dxa" w:w="1872"/>
          </w:tcPr>
          <w:p>
            <w:r>
              <w:rPr>
                <w:rFonts w:ascii="Times New Roman" w:hAnsi="Times New Roman"/>
                <w:sz w:val="18"/>
              </w:rPr>
              <w:t>Power exceeds plan</w:t>
            </w:r>
          </w:p>
        </w:tc>
        <w:tc>
          <w:tcPr>
            <w:tcW w:type="dxa" w:w="1872"/>
          </w:tcPr>
          <w:p>
            <w:r>
              <w:rPr>
                <w:rFonts w:ascii="Times New Roman" w:hAnsi="Times New Roman"/>
                <w:sz w:val="18"/>
              </w:rPr>
              <w:t>Proceed to modeling</w:t>
            </w:r>
          </w:p>
        </w:tc>
      </w:tr>
    </w:tbl>
    <w:p/>
    <w:p>
      <w:pPr>
        <w:spacing w:line="480" w:lineRule="auto" w:before="240"/>
        <w:ind w:firstLine="0"/>
        <w:jc w:val="center"/>
      </w:pPr>
      <w:r>
        <w:rPr>
          <w:rFonts w:ascii="Times New Roman" w:hAnsi="Times New Roman"/>
          <w:b/>
          <w:sz w:val="24"/>
        </w:rPr>
        <w:t>Modelling</w:t>
      </w:r>
    </w:p>
    <w:p>
      <w:pPr>
        <w:spacing w:line="480" w:lineRule="auto" w:before="240"/>
        <w:ind w:firstLine="0"/>
      </w:pPr>
      <w:r>
        <w:rPr>
          <w:rFonts w:ascii="Times New Roman" w:hAnsi="Times New Roman"/>
          <w:b/>
          <w:sz w:val="24"/>
        </w:rPr>
        <w:t>Choice of Models with Justification</w:t>
      </w:r>
    </w:p>
    <w:p>
      <w:pPr>
        <w:spacing w:line="480" w:lineRule="auto"/>
        <w:ind w:firstLine="720"/>
      </w:pPr>
      <w:r>
        <w:rPr>
          <w:rFonts w:ascii="Times New Roman" w:hAnsi="Times New Roman"/>
          <w:b w:val="0"/>
          <w:sz w:val="24"/>
        </w:rPr>
        <w:t>Model 1: Multivariable logistic regression (RQ1). Justification: interpretable odds ratios for association hypotheses; standard for binary outcomes; aligns with Step 3 Ha tests on β coefficients.</w:t>
      </w:r>
    </w:p>
    <w:p>
      <w:pPr>
        <w:spacing w:line="480" w:lineRule="auto"/>
        <w:ind w:firstLine="720"/>
      </w:pPr>
      <w:r>
        <w:rPr>
          <w:rFonts w:ascii="Times New Roman" w:hAnsi="Times New Roman"/>
          <w:b w:val="0"/>
          <w:sz w:val="24"/>
        </w:rPr>
        <w:t>Model 2: Class-weighted logistic regression baseline (RQ2). Justification: transparent linear baseline required by the ΔAUROC hypothesis; enables apples-to-apples comparison with nonlinear ML.</w:t>
      </w:r>
    </w:p>
    <w:p>
      <w:pPr>
        <w:spacing w:line="480" w:lineRule="auto"/>
        <w:ind w:firstLine="720"/>
      </w:pPr>
      <w:r>
        <w:rPr>
          <w:rFonts w:ascii="Times New Roman" w:hAnsi="Times New Roman"/>
          <w:b w:val="0"/>
          <w:sz w:val="24"/>
        </w:rPr>
        <w:t>Model 3: Random forest classifier (RQ2). Justification: captures nonlinearities/interactions among structural features without assuming linearity; widely used in healthcare tabular ML (Rajkomar et al., 2018).</w:t>
      </w:r>
    </w:p>
    <w:p>
      <w:pPr>
        <w:spacing w:line="480" w:lineRule="auto"/>
        <w:ind w:firstLine="720"/>
      </w:pPr>
      <w:r>
        <w:rPr>
          <w:rFonts w:ascii="Times New Roman" w:hAnsi="Times New Roman"/>
          <w:b w:val="0"/>
          <w:sz w:val="24"/>
        </w:rPr>
        <w:t>Model 4: Gradient boosting classifier (RQ2). Justification: strong tabular discriminative performance; selected as candidate best-of-set against logistic baseline under out-of-time validation.</w:t>
      </w:r>
    </w:p>
    <w:p>
      <w:pPr>
        <w:spacing w:line="480" w:lineRule="auto"/>
        <w:ind w:firstLine="720"/>
      </w:pPr>
      <w:r>
        <w:rPr>
          <w:rFonts w:ascii="Times New Roman" w:hAnsi="Times New Roman"/>
          <w:b w:val="0"/>
          <w:sz w:val="24"/>
        </w:rPr>
        <w:t>Fairness monitor (RQ3): logistic model trained on FY2024 and scored on FY2024–FY2026. Justification: holds model fixed to isolate release-to-release performance/fairness change (Davis et al., 2025).</w:t>
      </w:r>
    </w:p>
    <w:p>
      <w:pPr>
        <w:spacing w:line="480" w:lineRule="auto"/>
        <w:ind w:firstLine="720"/>
      </w:pPr>
      <w:r>
        <w:rPr>
          <w:rFonts w:ascii="Times New Roman" w:hAnsi="Times New Roman"/>
          <w:b w:val="0"/>
          <w:sz w:val="24"/>
        </w:rPr>
        <w:t>Investigative agent (RQ4): deterministic tool-grounded dossier generator with verifier-by-construction (claims only from tool JSON), compared with a no-tool LLM simulator and a static dashboard export. Justification: isolates the investigative value chain (peers, temporal delta, what-if) from unconstrained generation risk (Singhal et al., 2023; Yang et al., 2026).</w:t>
      </w:r>
    </w:p>
    <w:p>
      <w:pPr>
        <w:spacing w:line="480" w:lineRule="auto" w:before="240"/>
        <w:ind w:firstLine="0"/>
      </w:pPr>
      <w:r>
        <w:rPr>
          <w:rFonts w:ascii="Times New Roman" w:hAnsi="Times New Roman"/>
          <w:b/>
          <w:sz w:val="24"/>
        </w:rPr>
        <w:t>Features Included and Feature Engineering</w:t>
      </w:r>
    </w:p>
    <w:p>
      <w:pPr>
        <w:spacing w:line="480" w:lineRule="auto"/>
        <w:ind w:firstLine="0"/>
      </w:pPr>
      <w:r>
        <w:rPr>
          <w:rFonts w:ascii="Times New Roman" w:hAnsi="Times New Roman"/>
          <w:b/>
          <w:sz w:val="22"/>
        </w:rPr>
        <w:t>Table 7. Feature set and usage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sz w:val="18"/>
              </w:rPr>
              <w:t>Feature</w:t>
            </w:r>
          </w:p>
        </w:tc>
        <w:tc>
          <w:tcPr>
            <w:tcW w:type="dxa" w:w="1872"/>
          </w:tcPr>
          <w:p>
            <w:r>
              <w:rPr>
                <w:rFonts w:ascii="Times New Roman" w:hAnsi="Times New Roman"/>
                <w:b/>
                <w:sz w:val="18"/>
              </w:rPr>
              <w:t>Original/Engineered</w:t>
            </w:r>
          </w:p>
        </w:tc>
        <w:tc>
          <w:tcPr>
            <w:tcW w:type="dxa" w:w="1872"/>
          </w:tcPr>
          <w:p>
            <w:r>
              <w:rPr>
                <w:rFonts w:ascii="Times New Roman" w:hAnsi="Times New Roman"/>
                <w:b/>
                <w:sz w:val="18"/>
              </w:rPr>
              <w:t>Type</w:t>
            </w:r>
          </w:p>
        </w:tc>
        <w:tc>
          <w:tcPr>
            <w:tcW w:type="dxa" w:w="1872"/>
          </w:tcPr>
          <w:p>
            <w:r>
              <w:rPr>
                <w:rFonts w:ascii="Times New Roman" w:hAnsi="Times New Roman"/>
                <w:b/>
                <w:sz w:val="18"/>
              </w:rPr>
              <w:t>Reason for Inclusion</w:t>
            </w:r>
          </w:p>
        </w:tc>
        <w:tc>
          <w:tcPr>
            <w:tcW w:type="dxa" w:w="1872"/>
          </w:tcPr>
          <w:p>
            <w:r>
              <w:rPr>
                <w:rFonts w:ascii="Times New Roman" w:hAnsi="Times New Roman"/>
                <w:b/>
                <w:sz w:val="18"/>
              </w:rPr>
              <w:t>Used in</w:t>
            </w:r>
          </w:p>
        </w:tc>
      </w:tr>
      <w:tr>
        <w:tc>
          <w:tcPr>
            <w:tcW w:type="dxa" w:w="1872"/>
          </w:tcPr>
          <w:p>
            <w:r>
              <w:rPr>
                <w:rFonts w:ascii="Times New Roman" w:hAnsi="Times New Roman"/>
                <w:sz w:val="18"/>
              </w:rPr>
              <w:t>ownership_bin</w:t>
            </w:r>
          </w:p>
        </w:tc>
        <w:tc>
          <w:tcPr>
            <w:tcW w:type="dxa" w:w="1872"/>
          </w:tcPr>
          <w:p>
            <w:r>
              <w:rPr>
                <w:rFonts w:ascii="Times New Roman" w:hAnsi="Times New Roman"/>
                <w:sz w:val="18"/>
              </w:rPr>
              <w:t>Engineered</w:t>
            </w:r>
          </w:p>
        </w:tc>
        <w:tc>
          <w:tcPr>
            <w:tcW w:type="dxa" w:w="1872"/>
          </w:tcPr>
          <w:p>
            <w:r>
              <w:rPr>
                <w:rFonts w:ascii="Times New Roman" w:hAnsi="Times New Roman"/>
                <w:sz w:val="18"/>
              </w:rPr>
              <w:t>Categorical</w:t>
            </w:r>
          </w:p>
        </w:tc>
        <w:tc>
          <w:tcPr>
            <w:tcW w:type="dxa" w:w="1872"/>
          </w:tcPr>
          <w:p>
            <w:r>
              <w:rPr>
                <w:rFonts w:ascii="Times New Roman" w:hAnsi="Times New Roman"/>
                <w:sz w:val="18"/>
              </w:rPr>
              <w:t>Association + fairness + peers</w:t>
            </w:r>
          </w:p>
        </w:tc>
        <w:tc>
          <w:tcPr>
            <w:tcW w:type="dxa" w:w="1872"/>
          </w:tcPr>
          <w:p>
            <w:r>
              <w:rPr>
                <w:rFonts w:ascii="Times New Roman" w:hAnsi="Times New Roman"/>
                <w:sz w:val="18"/>
              </w:rPr>
              <w:t>RQ1–RQ4</w:t>
            </w:r>
          </w:p>
        </w:tc>
      </w:tr>
      <w:tr>
        <w:tc>
          <w:tcPr>
            <w:tcW w:type="dxa" w:w="1872"/>
          </w:tcPr>
          <w:p>
            <w:r>
              <w:rPr>
                <w:rFonts w:ascii="Times New Roman" w:hAnsi="Times New Roman"/>
                <w:sz w:val="18"/>
              </w:rPr>
              <w:t>emergency_bin</w:t>
            </w:r>
          </w:p>
        </w:tc>
        <w:tc>
          <w:tcPr>
            <w:tcW w:type="dxa" w:w="1872"/>
          </w:tcPr>
          <w:p>
            <w:r>
              <w:rPr>
                <w:rFonts w:ascii="Times New Roman" w:hAnsi="Times New Roman"/>
                <w:sz w:val="18"/>
              </w:rPr>
              <w:t>Original (cleaned)</w:t>
            </w:r>
          </w:p>
        </w:tc>
        <w:tc>
          <w:tcPr>
            <w:tcW w:type="dxa" w:w="1872"/>
          </w:tcPr>
          <w:p>
            <w:r>
              <w:rPr>
                <w:rFonts w:ascii="Times New Roman" w:hAnsi="Times New Roman"/>
                <w:sz w:val="18"/>
              </w:rPr>
              <w:t>Categorical</w:t>
            </w:r>
          </w:p>
        </w:tc>
        <w:tc>
          <w:tcPr>
            <w:tcW w:type="dxa" w:w="1872"/>
          </w:tcPr>
          <w:p>
            <w:r>
              <w:rPr>
                <w:rFonts w:ascii="Times New Roman" w:hAnsi="Times New Roman"/>
                <w:sz w:val="18"/>
              </w:rPr>
              <w:t>Structural capability proxy</w:t>
            </w:r>
          </w:p>
        </w:tc>
        <w:tc>
          <w:tcPr>
            <w:tcW w:type="dxa" w:w="1872"/>
          </w:tcPr>
          <w:p>
            <w:r>
              <w:rPr>
                <w:rFonts w:ascii="Times New Roman" w:hAnsi="Times New Roman"/>
                <w:sz w:val="18"/>
              </w:rPr>
              <w:t>RQ1–RQ2</w:t>
            </w:r>
          </w:p>
        </w:tc>
      </w:tr>
      <w:tr>
        <w:tc>
          <w:tcPr>
            <w:tcW w:type="dxa" w:w="1872"/>
          </w:tcPr>
          <w:p>
            <w:r>
              <w:rPr>
                <w:rFonts w:ascii="Times New Roman" w:hAnsi="Times New Roman"/>
                <w:sz w:val="18"/>
              </w:rPr>
              <w:t>measure_short</w:t>
            </w:r>
          </w:p>
        </w:tc>
        <w:tc>
          <w:tcPr>
            <w:tcW w:type="dxa" w:w="1872"/>
          </w:tcPr>
          <w:p>
            <w:r>
              <w:rPr>
                <w:rFonts w:ascii="Times New Roman" w:hAnsi="Times New Roman"/>
                <w:sz w:val="18"/>
              </w:rPr>
              <w:t>Engineered</w:t>
            </w:r>
          </w:p>
        </w:tc>
        <w:tc>
          <w:tcPr>
            <w:tcW w:type="dxa" w:w="1872"/>
          </w:tcPr>
          <w:p>
            <w:r>
              <w:rPr>
                <w:rFonts w:ascii="Times New Roman" w:hAnsi="Times New Roman"/>
                <w:sz w:val="18"/>
              </w:rPr>
              <w:t>Categorical</w:t>
            </w:r>
          </w:p>
        </w:tc>
        <w:tc>
          <w:tcPr>
            <w:tcW w:type="dxa" w:w="1872"/>
          </w:tcPr>
          <w:p>
            <w:r>
              <w:rPr>
                <w:rFonts w:ascii="Times New Roman" w:hAnsi="Times New Roman"/>
                <w:sz w:val="18"/>
              </w:rPr>
              <w:t>Condition stratum</w:t>
            </w:r>
          </w:p>
        </w:tc>
        <w:tc>
          <w:tcPr>
            <w:tcW w:type="dxa" w:w="1872"/>
          </w:tcPr>
          <w:p>
            <w:r>
              <w:rPr>
                <w:rFonts w:ascii="Times New Roman" w:hAnsi="Times New Roman"/>
                <w:sz w:val="18"/>
              </w:rPr>
              <w:t>RQ1–RQ4</w:t>
            </w:r>
          </w:p>
        </w:tc>
      </w:tr>
      <w:tr>
        <w:tc>
          <w:tcPr>
            <w:tcW w:type="dxa" w:w="1872"/>
          </w:tcPr>
          <w:p>
            <w:r>
              <w:rPr>
                <w:rFonts w:ascii="Times New Roman" w:hAnsi="Times New Roman"/>
                <w:sz w:val="18"/>
              </w:rPr>
              <w:t>state_grp</w:t>
            </w:r>
          </w:p>
        </w:tc>
        <w:tc>
          <w:tcPr>
            <w:tcW w:type="dxa" w:w="1872"/>
          </w:tcPr>
          <w:p>
            <w:r>
              <w:rPr>
                <w:rFonts w:ascii="Times New Roman" w:hAnsi="Times New Roman"/>
                <w:sz w:val="18"/>
              </w:rPr>
              <w:t>Engineered</w:t>
            </w:r>
          </w:p>
        </w:tc>
        <w:tc>
          <w:tcPr>
            <w:tcW w:type="dxa" w:w="1872"/>
          </w:tcPr>
          <w:p>
            <w:r>
              <w:rPr>
                <w:rFonts w:ascii="Times New Roman" w:hAnsi="Times New Roman"/>
                <w:sz w:val="18"/>
              </w:rPr>
              <w:t>Categorical</w:t>
            </w:r>
          </w:p>
        </w:tc>
        <w:tc>
          <w:tcPr>
            <w:tcW w:type="dxa" w:w="1872"/>
          </w:tcPr>
          <w:p>
            <w:r>
              <w:rPr>
                <w:rFonts w:ascii="Times New Roman" w:hAnsi="Times New Roman"/>
                <w:sz w:val="18"/>
              </w:rPr>
              <w:t>Geography context</w:t>
            </w:r>
          </w:p>
        </w:tc>
        <w:tc>
          <w:tcPr>
            <w:tcW w:type="dxa" w:w="1872"/>
          </w:tcPr>
          <w:p>
            <w:r>
              <w:rPr>
                <w:rFonts w:ascii="Times New Roman" w:hAnsi="Times New Roman"/>
                <w:sz w:val="18"/>
              </w:rPr>
              <w:t>RQ1–RQ2</w:t>
            </w:r>
          </w:p>
        </w:tc>
      </w:tr>
      <w:tr>
        <w:tc>
          <w:tcPr>
            <w:tcW w:type="dxa" w:w="1872"/>
          </w:tcPr>
          <w:p>
            <w:r>
              <w:rPr>
                <w:rFonts w:ascii="Times New Roman" w:hAnsi="Times New Roman"/>
                <w:sz w:val="18"/>
              </w:rPr>
              <w:t>log_discharges</w:t>
            </w:r>
          </w:p>
        </w:tc>
        <w:tc>
          <w:tcPr>
            <w:tcW w:type="dxa" w:w="1872"/>
          </w:tcPr>
          <w:p>
            <w:r>
              <w:rPr>
                <w:rFonts w:ascii="Times New Roman" w:hAnsi="Times New Roman"/>
                <w:sz w:val="18"/>
              </w:rPr>
              <w:t>Engineered</w:t>
            </w:r>
          </w:p>
        </w:tc>
        <w:tc>
          <w:tcPr>
            <w:tcW w:type="dxa" w:w="1872"/>
          </w:tcPr>
          <w:p>
            <w:r>
              <w:rPr>
                <w:rFonts w:ascii="Times New Roman" w:hAnsi="Times New Roman"/>
                <w:sz w:val="18"/>
              </w:rPr>
              <w:t>Numeric</w:t>
            </w:r>
          </w:p>
        </w:tc>
        <w:tc>
          <w:tcPr>
            <w:tcW w:type="dxa" w:w="1872"/>
          </w:tcPr>
          <w:p>
            <w:r>
              <w:rPr>
                <w:rFonts w:ascii="Times New Roman" w:hAnsi="Times New Roman"/>
                <w:sz w:val="18"/>
              </w:rPr>
              <w:t>Volume confounding control</w:t>
            </w:r>
          </w:p>
        </w:tc>
        <w:tc>
          <w:tcPr>
            <w:tcW w:type="dxa" w:w="1872"/>
          </w:tcPr>
          <w:p>
            <w:r>
              <w:rPr>
                <w:rFonts w:ascii="Times New Roman" w:hAnsi="Times New Roman"/>
                <w:sz w:val="18"/>
              </w:rPr>
              <w:t>RQ1–RQ2</w:t>
            </w:r>
          </w:p>
        </w:tc>
      </w:tr>
      <w:tr>
        <w:tc>
          <w:tcPr>
            <w:tcW w:type="dxa" w:w="1872"/>
          </w:tcPr>
          <w:p>
            <w:r>
              <w:rPr>
                <w:rFonts w:ascii="Times New Roman" w:hAnsi="Times New Roman"/>
                <w:sz w:val="18"/>
              </w:rPr>
              <w:t>fiscal_year_label</w:t>
            </w:r>
          </w:p>
        </w:tc>
        <w:tc>
          <w:tcPr>
            <w:tcW w:type="dxa" w:w="1872"/>
          </w:tcPr>
          <w:p>
            <w:r>
              <w:rPr>
                <w:rFonts w:ascii="Times New Roman" w:hAnsi="Times New Roman"/>
                <w:sz w:val="18"/>
              </w:rPr>
              <w:t>Original</w:t>
            </w:r>
          </w:p>
        </w:tc>
        <w:tc>
          <w:tcPr>
            <w:tcW w:type="dxa" w:w="1872"/>
          </w:tcPr>
          <w:p>
            <w:r>
              <w:rPr>
                <w:rFonts w:ascii="Times New Roman" w:hAnsi="Times New Roman"/>
                <w:sz w:val="18"/>
              </w:rPr>
              <w:t>Categorical</w:t>
            </w:r>
          </w:p>
        </w:tc>
        <w:tc>
          <w:tcPr>
            <w:tcW w:type="dxa" w:w="1872"/>
          </w:tcPr>
          <w:p>
            <w:r>
              <w:rPr>
                <w:rFonts w:ascii="Times New Roman" w:hAnsi="Times New Roman"/>
                <w:sz w:val="18"/>
              </w:rPr>
              <w:t>Release adjustment / split</w:t>
            </w:r>
          </w:p>
        </w:tc>
        <w:tc>
          <w:tcPr>
            <w:tcW w:type="dxa" w:w="1872"/>
          </w:tcPr>
          <w:p>
            <w:r>
              <w:rPr>
                <w:rFonts w:ascii="Times New Roman" w:hAnsi="Times New Roman"/>
                <w:sz w:val="18"/>
              </w:rPr>
              <w:t>RQ1, RQ2 split, RQ3</w:t>
            </w:r>
          </w:p>
        </w:tc>
      </w:tr>
      <w:tr>
        <w:tc>
          <w:tcPr>
            <w:tcW w:type="dxa" w:w="1872"/>
          </w:tcPr>
          <w:p>
            <w:r>
              <w:rPr>
                <w:rFonts w:ascii="Times New Roman" w:hAnsi="Times New Roman"/>
                <w:sz w:val="18"/>
              </w:rPr>
              <w:t>predicted/expected rates</w:t>
            </w:r>
          </w:p>
        </w:tc>
        <w:tc>
          <w:tcPr>
            <w:tcW w:type="dxa" w:w="1872"/>
          </w:tcPr>
          <w:p>
            <w:r>
              <w:rPr>
                <w:rFonts w:ascii="Times New Roman" w:hAnsi="Times New Roman"/>
                <w:sz w:val="18"/>
              </w:rPr>
              <w:t>Original</w:t>
            </w:r>
          </w:p>
        </w:tc>
        <w:tc>
          <w:tcPr>
            <w:tcW w:type="dxa" w:w="1872"/>
          </w:tcPr>
          <w:p>
            <w:r>
              <w:rPr>
                <w:rFonts w:ascii="Times New Roman" w:hAnsi="Times New Roman"/>
                <w:sz w:val="18"/>
              </w:rPr>
              <w:t>Numeric</w:t>
            </w:r>
          </w:p>
        </w:tc>
        <w:tc>
          <w:tcPr>
            <w:tcW w:type="dxa" w:w="1872"/>
          </w:tcPr>
          <w:p>
            <w:r>
              <w:rPr>
                <w:rFonts w:ascii="Times New Roman" w:hAnsi="Times New Roman"/>
                <w:sz w:val="18"/>
              </w:rPr>
              <w:t>What-if inputs (not structural ML)</w:t>
            </w:r>
          </w:p>
        </w:tc>
        <w:tc>
          <w:tcPr>
            <w:tcW w:type="dxa" w:w="1872"/>
          </w:tcPr>
          <w:p>
            <w:r>
              <w:rPr>
                <w:rFonts w:ascii="Times New Roman" w:hAnsi="Times New Roman"/>
                <w:sz w:val="18"/>
              </w:rPr>
              <w:t>RQ4 tools</w:t>
            </w:r>
          </w:p>
        </w:tc>
      </w:tr>
      <w:tr>
        <w:tc>
          <w:tcPr>
            <w:tcW w:type="dxa" w:w="1872"/>
          </w:tcPr>
          <w:p>
            <w:r>
              <w:rPr>
                <w:rFonts w:ascii="Times New Roman" w:hAnsi="Times New Roman"/>
                <w:sz w:val="18"/>
              </w:rPr>
              <w:t>excess_risk_flag</w:t>
            </w:r>
          </w:p>
        </w:tc>
        <w:tc>
          <w:tcPr>
            <w:tcW w:type="dxa" w:w="1872"/>
          </w:tcPr>
          <w:p>
            <w:r>
              <w:rPr>
                <w:rFonts w:ascii="Times New Roman" w:hAnsi="Times New Roman"/>
                <w:sz w:val="18"/>
              </w:rPr>
              <w:t>Engineered</w:t>
            </w:r>
          </w:p>
        </w:tc>
        <w:tc>
          <w:tcPr>
            <w:tcW w:type="dxa" w:w="1872"/>
          </w:tcPr>
          <w:p>
            <w:r>
              <w:rPr>
                <w:rFonts w:ascii="Times New Roman" w:hAnsi="Times New Roman"/>
                <w:sz w:val="18"/>
              </w:rPr>
              <w:t>Binary Y</w:t>
            </w:r>
          </w:p>
        </w:tc>
        <w:tc>
          <w:tcPr>
            <w:tcW w:type="dxa" w:w="1872"/>
          </w:tcPr>
          <w:p>
            <w:r>
              <w:rPr>
                <w:rFonts w:ascii="Times New Roman" w:hAnsi="Times New Roman"/>
                <w:sz w:val="18"/>
              </w:rPr>
              <w:t>ERR&gt;1 definition</w:t>
            </w:r>
          </w:p>
        </w:tc>
        <w:tc>
          <w:tcPr>
            <w:tcW w:type="dxa" w:w="1872"/>
          </w:tcPr>
          <w:p>
            <w:r>
              <w:rPr>
                <w:rFonts w:ascii="Times New Roman" w:hAnsi="Times New Roman"/>
                <w:sz w:val="18"/>
              </w:rPr>
              <w:t>All scoring RQs</w:t>
            </w:r>
          </w:p>
        </w:tc>
      </w:tr>
    </w:tbl>
    <w:p/>
    <w:p>
      <w:pPr>
        <w:spacing w:line="480" w:lineRule="auto"/>
        <w:ind w:firstLine="720"/>
      </w:pPr>
      <w:r>
        <w:rPr>
          <w:rFonts w:ascii="Times New Roman" w:hAnsi="Times New Roman"/>
          <w:b w:val="0"/>
          <w:sz w:val="24"/>
        </w:rPr>
        <w:t>Important design choice: RQ2 structural models intentionally exclude predicted and expected readmission rates because ERR is defined as their ratio; including them would create a near-tautological classifier and inflate discrimination without operational early-warning value from structural hospital attributes.</w:t>
      </w:r>
    </w:p>
    <w:p>
      <w:pPr>
        <w:spacing w:line="480" w:lineRule="auto" w:before="240"/>
        <w:ind w:firstLine="0"/>
      </w:pPr>
      <w:r>
        <w:rPr>
          <w:rFonts w:ascii="Times New Roman" w:hAnsi="Times New Roman"/>
          <w:b/>
          <w:sz w:val="24"/>
        </w:rPr>
        <w:t>Evaluation Metrics (Include Formulae)</w:t>
      </w:r>
    </w:p>
    <w:p>
      <w:pPr>
        <w:spacing w:line="480" w:lineRule="auto"/>
        <w:ind w:firstLine="0"/>
      </w:pPr>
      <w:r>
        <w:rPr>
          <w:rFonts w:ascii="Times New Roman" w:hAnsi="Times New Roman"/>
          <w:b/>
          <w:sz w:val="22"/>
        </w:rPr>
        <w:t>Table 8. Evaluation metrics and formulae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18"/>
              </w:rPr>
              <w:t>Metric</w:t>
            </w:r>
          </w:p>
        </w:tc>
        <w:tc>
          <w:tcPr>
            <w:tcW w:type="dxa" w:w="2340"/>
          </w:tcPr>
          <w:p>
            <w:r>
              <w:rPr>
                <w:rFonts w:ascii="Times New Roman" w:hAnsi="Times New Roman"/>
                <w:b/>
                <w:sz w:val="18"/>
              </w:rPr>
              <w:t>Formula</w:t>
            </w:r>
          </w:p>
        </w:tc>
        <w:tc>
          <w:tcPr>
            <w:tcW w:type="dxa" w:w="2340"/>
          </w:tcPr>
          <w:p>
            <w:r>
              <w:rPr>
                <w:rFonts w:ascii="Times New Roman" w:hAnsi="Times New Roman"/>
                <w:b/>
                <w:sz w:val="18"/>
              </w:rPr>
              <w:t>Interpretation</w:t>
            </w:r>
          </w:p>
        </w:tc>
        <w:tc>
          <w:tcPr>
            <w:tcW w:type="dxa" w:w="2340"/>
          </w:tcPr>
          <w:p>
            <w:r>
              <w:rPr>
                <w:rFonts w:ascii="Times New Roman" w:hAnsi="Times New Roman"/>
                <w:b/>
                <w:sz w:val="18"/>
              </w:rPr>
              <w:t>Used For</w:t>
            </w:r>
          </w:p>
        </w:tc>
      </w:tr>
      <w:tr>
        <w:tc>
          <w:tcPr>
            <w:tcW w:type="dxa" w:w="2340"/>
          </w:tcPr>
          <w:p>
            <w:r>
              <w:rPr>
                <w:rFonts w:ascii="Times New Roman" w:hAnsi="Times New Roman"/>
                <w:sz w:val="18"/>
              </w:rPr>
              <w:t>AUROC</w:t>
            </w:r>
          </w:p>
        </w:tc>
        <w:tc>
          <w:tcPr>
            <w:tcW w:type="dxa" w:w="2340"/>
          </w:tcPr>
          <w:p>
            <w:r>
              <w:rPr>
                <w:rFonts w:ascii="Times New Roman" w:hAnsi="Times New Roman"/>
                <w:sz w:val="18"/>
              </w:rPr>
              <w:t>P(score+ &gt; score−)</w:t>
            </w:r>
          </w:p>
        </w:tc>
        <w:tc>
          <w:tcPr>
            <w:tcW w:type="dxa" w:w="2340"/>
          </w:tcPr>
          <w:p>
            <w:r>
              <w:rPr>
                <w:rFonts w:ascii="Times New Roman" w:hAnsi="Times New Roman"/>
                <w:sz w:val="18"/>
              </w:rPr>
              <w:t>Discrimination across thresholds</w:t>
            </w:r>
          </w:p>
        </w:tc>
        <w:tc>
          <w:tcPr>
            <w:tcW w:type="dxa" w:w="2340"/>
          </w:tcPr>
          <w:p>
            <w:r>
              <w:rPr>
                <w:rFonts w:ascii="Times New Roman" w:hAnsi="Times New Roman"/>
                <w:sz w:val="18"/>
              </w:rPr>
              <w:t>RQ2, RQ3</w:t>
            </w:r>
          </w:p>
        </w:tc>
      </w:tr>
      <w:tr>
        <w:tc>
          <w:tcPr>
            <w:tcW w:type="dxa" w:w="2340"/>
          </w:tcPr>
          <w:p>
            <w:r>
              <w:rPr>
                <w:rFonts w:ascii="Times New Roman" w:hAnsi="Times New Roman"/>
                <w:sz w:val="18"/>
              </w:rPr>
              <w:t>PR-AUC</w:t>
            </w:r>
          </w:p>
        </w:tc>
        <w:tc>
          <w:tcPr>
            <w:tcW w:type="dxa" w:w="2340"/>
          </w:tcPr>
          <w:p>
            <w:r>
              <w:rPr>
                <w:rFonts w:ascii="Times New Roman" w:hAnsi="Times New Roman"/>
                <w:sz w:val="18"/>
              </w:rPr>
              <w:t>Area under Precision–Recall</w:t>
            </w:r>
          </w:p>
        </w:tc>
        <w:tc>
          <w:tcPr>
            <w:tcW w:type="dxa" w:w="2340"/>
          </w:tcPr>
          <w:p>
            <w:r>
              <w:rPr>
                <w:rFonts w:ascii="Times New Roman" w:hAnsi="Times New Roman"/>
                <w:sz w:val="18"/>
              </w:rPr>
              <w:t>Positive-class retrieval quality</w:t>
            </w:r>
          </w:p>
        </w:tc>
        <w:tc>
          <w:tcPr>
            <w:tcW w:type="dxa" w:w="2340"/>
          </w:tcPr>
          <w:p>
            <w:r>
              <w:rPr>
                <w:rFonts w:ascii="Times New Roman" w:hAnsi="Times New Roman"/>
                <w:sz w:val="18"/>
              </w:rPr>
              <w:t>RQ2</w:t>
            </w:r>
          </w:p>
        </w:tc>
      </w:tr>
      <w:tr>
        <w:tc>
          <w:tcPr>
            <w:tcW w:type="dxa" w:w="2340"/>
          </w:tcPr>
          <w:p>
            <w:r>
              <w:rPr>
                <w:rFonts w:ascii="Times New Roman" w:hAnsi="Times New Roman"/>
                <w:sz w:val="18"/>
              </w:rPr>
              <w:t>Accuracy</w:t>
            </w:r>
          </w:p>
        </w:tc>
        <w:tc>
          <w:tcPr>
            <w:tcW w:type="dxa" w:w="2340"/>
          </w:tcPr>
          <w:p>
            <w:r>
              <w:rPr>
                <w:rFonts w:ascii="Times New Roman" w:hAnsi="Times New Roman"/>
                <w:sz w:val="18"/>
              </w:rPr>
              <w:t>(TP+TN)/N</w:t>
            </w:r>
          </w:p>
        </w:tc>
        <w:tc>
          <w:tcPr>
            <w:tcW w:type="dxa" w:w="2340"/>
          </w:tcPr>
          <w:p>
            <w:r>
              <w:rPr>
                <w:rFonts w:ascii="Times New Roman" w:hAnsi="Times New Roman"/>
                <w:sz w:val="18"/>
              </w:rPr>
              <w:t>Overall correct rate</w:t>
            </w:r>
          </w:p>
        </w:tc>
        <w:tc>
          <w:tcPr>
            <w:tcW w:type="dxa" w:w="2340"/>
          </w:tcPr>
          <w:p>
            <w:r>
              <w:rPr>
                <w:rFonts w:ascii="Times New Roman" w:hAnsi="Times New Roman"/>
                <w:sz w:val="18"/>
              </w:rPr>
              <w:t>RQ2 descriptive</w:t>
            </w:r>
          </w:p>
        </w:tc>
      </w:tr>
      <w:tr>
        <w:tc>
          <w:tcPr>
            <w:tcW w:type="dxa" w:w="2340"/>
          </w:tcPr>
          <w:p>
            <w:r>
              <w:rPr>
                <w:rFonts w:ascii="Times New Roman" w:hAnsi="Times New Roman"/>
                <w:sz w:val="18"/>
              </w:rPr>
              <w:t>Precision</w:t>
            </w:r>
          </w:p>
        </w:tc>
        <w:tc>
          <w:tcPr>
            <w:tcW w:type="dxa" w:w="2340"/>
          </w:tcPr>
          <w:p>
            <w:r>
              <w:rPr>
                <w:rFonts w:ascii="Times New Roman" w:hAnsi="Times New Roman"/>
                <w:sz w:val="18"/>
              </w:rPr>
              <w:t>TP/(TP+FP)</w:t>
            </w:r>
          </w:p>
        </w:tc>
        <w:tc>
          <w:tcPr>
            <w:tcW w:type="dxa" w:w="2340"/>
          </w:tcPr>
          <w:p>
            <w:r>
              <w:rPr>
                <w:rFonts w:ascii="Times New Roman" w:hAnsi="Times New Roman"/>
                <w:sz w:val="18"/>
              </w:rPr>
              <w:t>Positive predictive value</w:t>
            </w:r>
          </w:p>
        </w:tc>
        <w:tc>
          <w:tcPr>
            <w:tcW w:type="dxa" w:w="2340"/>
          </w:tcPr>
          <w:p>
            <w:r>
              <w:rPr>
                <w:rFonts w:ascii="Times New Roman" w:hAnsi="Times New Roman"/>
                <w:sz w:val="18"/>
              </w:rPr>
              <w:t>RQ2</w:t>
            </w:r>
          </w:p>
        </w:tc>
      </w:tr>
      <w:tr>
        <w:tc>
          <w:tcPr>
            <w:tcW w:type="dxa" w:w="2340"/>
          </w:tcPr>
          <w:p>
            <w:r>
              <w:rPr>
                <w:rFonts w:ascii="Times New Roman" w:hAnsi="Times New Roman"/>
                <w:sz w:val="18"/>
              </w:rPr>
              <w:t>Recall / TPR</w:t>
            </w:r>
          </w:p>
        </w:tc>
        <w:tc>
          <w:tcPr>
            <w:tcW w:type="dxa" w:w="2340"/>
          </w:tcPr>
          <w:p>
            <w:r>
              <w:rPr>
                <w:rFonts w:ascii="Times New Roman" w:hAnsi="Times New Roman"/>
                <w:sz w:val="18"/>
              </w:rPr>
              <w:t>TP/(TP+FN)</w:t>
            </w:r>
          </w:p>
        </w:tc>
        <w:tc>
          <w:tcPr>
            <w:tcW w:type="dxa" w:w="2340"/>
          </w:tcPr>
          <w:p>
            <w:r>
              <w:rPr>
                <w:rFonts w:ascii="Times New Roman" w:hAnsi="Times New Roman"/>
                <w:sz w:val="18"/>
              </w:rPr>
              <w:t>Sensitivity</w:t>
            </w:r>
          </w:p>
        </w:tc>
        <w:tc>
          <w:tcPr>
            <w:tcW w:type="dxa" w:w="2340"/>
          </w:tcPr>
          <w:p>
            <w:r>
              <w:rPr>
                <w:rFonts w:ascii="Times New Roman" w:hAnsi="Times New Roman"/>
                <w:sz w:val="18"/>
              </w:rPr>
              <w:t>RQ2</w:t>
            </w:r>
          </w:p>
        </w:tc>
      </w:tr>
      <w:tr>
        <w:tc>
          <w:tcPr>
            <w:tcW w:type="dxa" w:w="2340"/>
          </w:tcPr>
          <w:p>
            <w:r>
              <w:rPr>
                <w:rFonts w:ascii="Times New Roman" w:hAnsi="Times New Roman"/>
                <w:sz w:val="18"/>
              </w:rPr>
              <w:t>F1</w:t>
            </w:r>
          </w:p>
        </w:tc>
        <w:tc>
          <w:tcPr>
            <w:tcW w:type="dxa" w:w="2340"/>
          </w:tcPr>
          <w:p>
            <w:r>
              <w:rPr>
                <w:rFonts w:ascii="Times New Roman" w:hAnsi="Times New Roman"/>
                <w:sz w:val="18"/>
              </w:rPr>
              <w:t>2·Prec·Rec/(Prec+Rec)</w:t>
            </w:r>
          </w:p>
        </w:tc>
        <w:tc>
          <w:tcPr>
            <w:tcW w:type="dxa" w:w="2340"/>
          </w:tcPr>
          <w:p>
            <w:r>
              <w:rPr>
                <w:rFonts w:ascii="Times New Roman" w:hAnsi="Times New Roman"/>
                <w:sz w:val="18"/>
              </w:rPr>
              <w:t>Precision–recall balance</w:t>
            </w:r>
          </w:p>
        </w:tc>
        <w:tc>
          <w:tcPr>
            <w:tcW w:type="dxa" w:w="2340"/>
          </w:tcPr>
          <w:p>
            <w:r>
              <w:rPr>
                <w:rFonts w:ascii="Times New Roman" w:hAnsi="Times New Roman"/>
                <w:sz w:val="18"/>
              </w:rPr>
              <w:t>RQ2</w:t>
            </w:r>
          </w:p>
        </w:tc>
      </w:tr>
      <w:tr>
        <w:tc>
          <w:tcPr>
            <w:tcW w:type="dxa" w:w="2340"/>
          </w:tcPr>
          <w:p>
            <w:r>
              <w:rPr>
                <w:rFonts w:ascii="Times New Roman" w:hAnsi="Times New Roman"/>
                <w:sz w:val="18"/>
              </w:rPr>
              <w:t>Brier</w:t>
            </w:r>
          </w:p>
        </w:tc>
        <w:tc>
          <w:tcPr>
            <w:tcW w:type="dxa" w:w="2340"/>
          </w:tcPr>
          <w:p>
            <w:r>
              <w:rPr>
                <w:rFonts w:ascii="Times New Roman" w:hAnsi="Times New Roman"/>
                <w:sz w:val="18"/>
              </w:rPr>
              <w:t>mean((p−y)^2)</w:t>
            </w:r>
          </w:p>
        </w:tc>
        <w:tc>
          <w:tcPr>
            <w:tcW w:type="dxa" w:w="2340"/>
          </w:tcPr>
          <w:p>
            <w:r>
              <w:rPr>
                <w:rFonts w:ascii="Times New Roman" w:hAnsi="Times New Roman"/>
                <w:sz w:val="18"/>
              </w:rPr>
              <w:t>Calibration-related sharpness</w:t>
            </w:r>
          </w:p>
        </w:tc>
        <w:tc>
          <w:tcPr>
            <w:tcW w:type="dxa" w:w="2340"/>
          </w:tcPr>
          <w:p>
            <w:r>
              <w:rPr>
                <w:rFonts w:ascii="Times New Roman" w:hAnsi="Times New Roman"/>
                <w:sz w:val="18"/>
              </w:rPr>
              <w:t>RQ2</w:t>
            </w:r>
          </w:p>
        </w:tc>
      </w:tr>
      <w:tr>
        <w:tc>
          <w:tcPr>
            <w:tcW w:type="dxa" w:w="2340"/>
          </w:tcPr>
          <w:p>
            <w:r>
              <w:rPr>
                <w:rFonts w:ascii="Times New Roman" w:hAnsi="Times New Roman"/>
                <w:sz w:val="18"/>
              </w:rPr>
              <w:t>OR</w:t>
            </w:r>
          </w:p>
        </w:tc>
        <w:tc>
          <w:tcPr>
            <w:tcW w:type="dxa" w:w="2340"/>
          </w:tcPr>
          <w:p>
            <w:r>
              <w:rPr>
                <w:rFonts w:ascii="Times New Roman" w:hAnsi="Times New Roman"/>
                <w:sz w:val="18"/>
              </w:rPr>
              <w:t>exp(β)</w:t>
            </w:r>
          </w:p>
        </w:tc>
        <w:tc>
          <w:tcPr>
            <w:tcW w:type="dxa" w:w="2340"/>
          </w:tcPr>
          <w:p>
            <w:r>
              <w:rPr>
                <w:rFonts w:ascii="Times New Roman" w:hAnsi="Times New Roman"/>
                <w:sz w:val="18"/>
              </w:rPr>
              <w:t>Association magnitude</w:t>
            </w:r>
          </w:p>
        </w:tc>
        <w:tc>
          <w:tcPr>
            <w:tcW w:type="dxa" w:w="2340"/>
          </w:tcPr>
          <w:p>
            <w:r>
              <w:rPr>
                <w:rFonts w:ascii="Times New Roman" w:hAnsi="Times New Roman"/>
                <w:sz w:val="18"/>
              </w:rPr>
              <w:t>RQ1</w:t>
            </w:r>
          </w:p>
        </w:tc>
      </w:tr>
      <w:tr>
        <w:tc>
          <w:tcPr>
            <w:tcW w:type="dxa" w:w="2340"/>
          </w:tcPr>
          <w:p>
            <w:r>
              <w:rPr>
                <w:rFonts w:ascii="Times New Roman" w:hAnsi="Times New Roman"/>
                <w:sz w:val="18"/>
              </w:rPr>
              <w:t>FNR</w:t>
            </w:r>
          </w:p>
        </w:tc>
        <w:tc>
          <w:tcPr>
            <w:tcW w:type="dxa" w:w="2340"/>
          </w:tcPr>
          <w:p>
            <w:r>
              <w:rPr>
                <w:rFonts w:ascii="Times New Roman" w:hAnsi="Times New Roman"/>
                <w:sz w:val="18"/>
              </w:rPr>
              <w:t>FN/(FN+TP)</w:t>
            </w:r>
          </w:p>
        </w:tc>
        <w:tc>
          <w:tcPr>
            <w:tcW w:type="dxa" w:w="2340"/>
          </w:tcPr>
          <w:p>
            <w:r>
              <w:rPr>
                <w:rFonts w:ascii="Times New Roman" w:hAnsi="Times New Roman"/>
                <w:sz w:val="18"/>
              </w:rPr>
              <w:t>Missed excess-risk rate</w:t>
            </w:r>
          </w:p>
        </w:tc>
        <w:tc>
          <w:tcPr>
            <w:tcW w:type="dxa" w:w="2340"/>
          </w:tcPr>
          <w:p>
            <w:r>
              <w:rPr>
                <w:rFonts w:ascii="Times New Roman" w:hAnsi="Times New Roman"/>
                <w:sz w:val="18"/>
              </w:rPr>
              <w:t>RQ3</w:t>
            </w:r>
          </w:p>
        </w:tc>
      </w:tr>
      <w:tr>
        <w:tc>
          <w:tcPr>
            <w:tcW w:type="dxa" w:w="2340"/>
          </w:tcPr>
          <w:p>
            <w:r>
              <w:rPr>
                <w:rFonts w:ascii="Times New Roman" w:hAnsi="Times New Roman"/>
                <w:sz w:val="18"/>
              </w:rPr>
              <w:t>|ΔFNR|</w:t>
            </w:r>
          </w:p>
        </w:tc>
        <w:tc>
          <w:tcPr>
            <w:tcW w:type="dxa" w:w="2340"/>
          </w:tcPr>
          <w:p>
            <w:r>
              <w:rPr>
                <w:rFonts w:ascii="Times New Roman" w:hAnsi="Times New Roman"/>
                <w:sz w:val="18"/>
              </w:rPr>
              <w:t>|FNR_a−FNR_b|</w:t>
            </w:r>
          </w:p>
        </w:tc>
        <w:tc>
          <w:tcPr>
            <w:tcW w:type="dxa" w:w="2340"/>
          </w:tcPr>
          <w:p>
            <w:r>
              <w:rPr>
                <w:rFonts w:ascii="Times New Roman" w:hAnsi="Times New Roman"/>
                <w:sz w:val="18"/>
              </w:rPr>
              <w:t>Ownership fairness gap</w:t>
            </w:r>
          </w:p>
        </w:tc>
        <w:tc>
          <w:tcPr>
            <w:tcW w:type="dxa" w:w="2340"/>
          </w:tcPr>
          <w:p>
            <w:r>
              <w:rPr>
                <w:rFonts w:ascii="Times New Roman" w:hAnsi="Times New Roman"/>
                <w:sz w:val="18"/>
              </w:rPr>
              <w:t>RQ3</w:t>
            </w:r>
          </w:p>
        </w:tc>
      </w:tr>
      <w:tr>
        <w:tc>
          <w:tcPr>
            <w:tcW w:type="dxa" w:w="2340"/>
          </w:tcPr>
          <w:p>
            <w:r>
              <w:rPr>
                <w:rFonts w:ascii="Times New Roman" w:hAnsi="Times New Roman"/>
                <w:sz w:val="18"/>
              </w:rPr>
              <w:t>Faithfulness</w:t>
            </w:r>
          </w:p>
        </w:tc>
        <w:tc>
          <w:tcPr>
            <w:tcW w:type="dxa" w:w="2340"/>
          </w:tcPr>
          <w:p>
            <w:r>
              <w:rPr>
                <w:rFonts w:ascii="Times New Roman" w:hAnsi="Times New Roman"/>
                <w:sz w:val="18"/>
              </w:rPr>
              <w:t>supported claims / claims</w:t>
            </w:r>
          </w:p>
        </w:tc>
        <w:tc>
          <w:tcPr>
            <w:tcW w:type="dxa" w:w="2340"/>
          </w:tcPr>
          <w:p>
            <w:r>
              <w:rPr>
                <w:rFonts w:ascii="Times New Roman" w:hAnsi="Times New Roman"/>
                <w:sz w:val="18"/>
              </w:rPr>
              <w:t>Evidence grounding</w:t>
            </w:r>
          </w:p>
        </w:tc>
        <w:tc>
          <w:tcPr>
            <w:tcW w:type="dxa" w:w="2340"/>
          </w:tcPr>
          <w:p>
            <w:r>
              <w:rPr>
                <w:rFonts w:ascii="Times New Roman" w:hAnsi="Times New Roman"/>
                <w:sz w:val="18"/>
              </w:rPr>
              <w:t>RQ4</w:t>
            </w:r>
          </w:p>
        </w:tc>
      </w:tr>
      <w:tr>
        <w:tc>
          <w:tcPr>
            <w:tcW w:type="dxa" w:w="2340"/>
          </w:tcPr>
          <w:p>
            <w:r>
              <w:rPr>
                <w:rFonts w:ascii="Times New Roman" w:hAnsi="Times New Roman"/>
                <w:sz w:val="18"/>
              </w:rPr>
              <w:t>Evidence completeness</w:t>
            </w:r>
          </w:p>
        </w:tc>
        <w:tc>
          <w:tcPr>
            <w:tcW w:type="dxa" w:w="2340"/>
          </w:tcPr>
          <w:p>
            <w:r>
              <w:rPr>
                <w:rFonts w:ascii="Times New Roman" w:hAnsi="Times New Roman"/>
                <w:sz w:val="18"/>
              </w:rPr>
              <w:t>filled dossier slots / 6</w:t>
            </w:r>
          </w:p>
        </w:tc>
        <w:tc>
          <w:tcPr>
            <w:tcW w:type="dxa" w:w="2340"/>
          </w:tcPr>
          <w:p>
            <w:r>
              <w:rPr>
                <w:rFonts w:ascii="Times New Roman" w:hAnsi="Times New Roman"/>
                <w:sz w:val="18"/>
              </w:rPr>
              <w:t>Case package coverage</w:t>
            </w:r>
          </w:p>
        </w:tc>
        <w:tc>
          <w:tcPr>
            <w:tcW w:type="dxa" w:w="2340"/>
          </w:tcPr>
          <w:p>
            <w:r>
              <w:rPr>
                <w:rFonts w:ascii="Times New Roman" w:hAnsi="Times New Roman"/>
                <w:sz w:val="18"/>
              </w:rPr>
              <w:t>RQ4</w:t>
            </w:r>
          </w:p>
        </w:tc>
      </w:tr>
      <w:tr>
        <w:tc>
          <w:tcPr>
            <w:tcW w:type="dxa" w:w="2340"/>
          </w:tcPr>
          <w:p>
            <w:r>
              <w:rPr>
                <w:rFonts w:ascii="Times New Roman" w:hAnsi="Times New Roman"/>
                <w:sz w:val="18"/>
              </w:rPr>
              <w:t>Hallucination rate</w:t>
            </w:r>
          </w:p>
        </w:tc>
        <w:tc>
          <w:tcPr>
            <w:tcW w:type="dxa" w:w="2340"/>
          </w:tcPr>
          <w:p>
            <w:r>
              <w:rPr>
                <w:rFonts w:ascii="Times New Roman" w:hAnsi="Times New Roman"/>
                <w:sz w:val="18"/>
              </w:rPr>
              <w:t>wrong numeric claims / numeric claims</w:t>
            </w:r>
          </w:p>
        </w:tc>
        <w:tc>
          <w:tcPr>
            <w:tcW w:type="dxa" w:w="2340"/>
          </w:tcPr>
          <w:p>
            <w:r>
              <w:rPr>
                <w:rFonts w:ascii="Times New Roman" w:hAnsi="Times New Roman"/>
                <w:sz w:val="18"/>
              </w:rPr>
              <w:t>Safety</w:t>
            </w:r>
          </w:p>
        </w:tc>
        <w:tc>
          <w:tcPr>
            <w:tcW w:type="dxa" w:w="2340"/>
          </w:tcPr>
          <w:p>
            <w:r>
              <w:rPr>
                <w:rFonts w:ascii="Times New Roman" w:hAnsi="Times New Roman"/>
                <w:sz w:val="18"/>
              </w:rPr>
              <w:t>RQ4</w:t>
            </w:r>
          </w:p>
        </w:tc>
      </w:tr>
    </w:tbl>
    <w:p/>
    <w:p>
      <w:pPr>
        <w:spacing w:line="480" w:lineRule="auto" w:before="240"/>
        <w:ind w:firstLine="0"/>
        <w:jc w:val="center"/>
      </w:pPr>
      <w:r>
        <w:rPr>
          <w:rFonts w:ascii="Times New Roman" w:hAnsi="Times New Roman"/>
          <w:b/>
          <w:sz w:val="24"/>
        </w:rPr>
        <w:t>Preliminary Results</w:t>
      </w:r>
    </w:p>
    <w:p>
      <w:pPr>
        <w:spacing w:line="480" w:lineRule="auto" w:before="240"/>
        <w:ind w:firstLine="0"/>
      </w:pPr>
      <w:r>
        <w:rPr>
          <w:rFonts w:ascii="Times New Roman" w:hAnsi="Times New Roman"/>
          <w:b/>
          <w:sz w:val="24"/>
        </w:rPr>
        <w:t>RQ1 Preliminary Findings</w:t>
      </w:r>
    </w:p>
    <w:p>
      <w:pPr>
        <w:spacing w:line="480" w:lineRule="auto"/>
        <w:ind w:firstLine="720"/>
      </w:pPr>
      <w:r>
        <w:rPr>
          <w:rFonts w:ascii="Times New Roman" w:hAnsi="Times New Roman"/>
          <w:b w:val="0"/>
          <w:sz w:val="24"/>
        </w:rPr>
        <w:t>Multivariable logistic regression on n = 35,724 eligible rows yielded McFadden pseudo-R² = 0.027 and overall likelihood-ratio p ≈ 0 (model joint significance). 19 coefficients excluding the intercept were significant at α = .05. Therefore Ha for RQ1 is supported at interim: after adjustment for measure and FY, structural/contextual predictors associate with excess risk.</w:t>
      </w:r>
    </w:p>
    <w:p>
      <w:pPr>
        <w:spacing w:line="480" w:lineRule="auto"/>
        <w:ind w:firstLine="720"/>
      </w:pPr>
      <w:r>
        <w:rPr>
          <w:rFonts w:ascii="Times New Roman" w:hAnsi="Times New Roman"/>
          <w:b w:val="0"/>
          <w:sz w:val="24"/>
        </w:rPr>
        <w:t>Illustrative effects (Table 9): higher log discharges associate with lower odds of ERR &gt; 1 (OR ≈ 0.629, p &lt; .001). Proprietary ownership (vs reference) associates with higher odds (OR ≈ 1.29, p &lt; .001). Selected measure and state terms are also significant. These associations are correlational (ecological hospital–condition units), not causal treatment effects.</w:t>
      </w:r>
    </w:p>
    <w:p>
      <w:pPr>
        <w:spacing w:line="480" w:lineRule="auto"/>
        <w:ind w:firstLine="0"/>
      </w:pPr>
      <w:r>
        <w:rPr>
          <w:rFonts w:ascii="Times New Roman" w:hAnsi="Times New Roman"/>
          <w:b/>
          <w:sz w:val="22"/>
        </w:rPr>
        <w:t>Table 9. RQ1 selected logistic odds ratios (top terms by p-value)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sz w:val="18"/>
              </w:rPr>
              <w:t>Term</w:t>
            </w:r>
          </w:p>
        </w:tc>
        <w:tc>
          <w:tcPr>
            <w:tcW w:type="dxa" w:w="1872"/>
          </w:tcPr>
          <w:p>
            <w:r>
              <w:rPr>
                <w:rFonts w:ascii="Times New Roman" w:hAnsi="Times New Roman"/>
                <w:b/>
                <w:sz w:val="18"/>
              </w:rPr>
              <w:t>Odds Ratio</w:t>
            </w:r>
          </w:p>
        </w:tc>
        <w:tc>
          <w:tcPr>
            <w:tcW w:type="dxa" w:w="1872"/>
          </w:tcPr>
          <w:p>
            <w:r>
              <w:rPr>
                <w:rFonts w:ascii="Times New Roman" w:hAnsi="Times New Roman"/>
                <w:b/>
                <w:sz w:val="18"/>
              </w:rPr>
              <w:t>95% CI</w:t>
            </w:r>
          </w:p>
        </w:tc>
        <w:tc>
          <w:tcPr>
            <w:tcW w:type="dxa" w:w="1872"/>
          </w:tcPr>
          <w:p>
            <w:r>
              <w:rPr>
                <w:rFonts w:ascii="Times New Roman" w:hAnsi="Times New Roman"/>
                <w:b/>
                <w:sz w:val="18"/>
              </w:rPr>
              <w:t>p-value</w:t>
            </w:r>
          </w:p>
        </w:tc>
        <w:tc>
          <w:tcPr>
            <w:tcW w:type="dxa" w:w="1872"/>
          </w:tcPr>
          <w:p>
            <w:r>
              <w:rPr>
                <w:rFonts w:ascii="Times New Roman" w:hAnsi="Times New Roman"/>
                <w:b/>
                <w:sz w:val="18"/>
              </w:rPr>
              <w:t>Sig. (.05)</w:t>
            </w:r>
          </w:p>
        </w:tc>
      </w:tr>
      <w:tr>
        <w:tc>
          <w:tcPr>
            <w:tcW w:type="dxa" w:w="1872"/>
          </w:tcPr>
          <w:p>
            <w:r>
              <w:rPr>
                <w:rFonts w:ascii="Times New Roman" w:hAnsi="Times New Roman"/>
                <w:sz w:val="18"/>
              </w:rPr>
              <w:t>log_discharges</w:t>
            </w:r>
          </w:p>
        </w:tc>
        <w:tc>
          <w:tcPr>
            <w:tcW w:type="dxa" w:w="1872"/>
          </w:tcPr>
          <w:p>
            <w:r>
              <w:rPr>
                <w:rFonts w:ascii="Times New Roman" w:hAnsi="Times New Roman"/>
                <w:sz w:val="18"/>
              </w:rPr>
              <w:t>0.629</w:t>
            </w:r>
          </w:p>
        </w:tc>
        <w:tc>
          <w:tcPr>
            <w:tcW w:type="dxa" w:w="1872"/>
          </w:tcPr>
          <w:p>
            <w:r>
              <w:rPr>
                <w:rFonts w:ascii="Times New Roman" w:hAnsi="Times New Roman"/>
                <w:sz w:val="18"/>
              </w:rPr>
              <w:t>[0.605, 0.653]</w:t>
            </w:r>
          </w:p>
        </w:tc>
        <w:tc>
          <w:tcPr>
            <w:tcW w:type="dxa" w:w="1872"/>
          </w:tcPr>
          <w:p>
            <w:r>
              <w:rPr>
                <w:rFonts w:ascii="Times New Roman" w:hAnsi="Times New Roman"/>
                <w:sz w:val="18"/>
              </w:rPr>
              <w:t>3.38e-125</w:t>
            </w:r>
          </w:p>
        </w:tc>
        <w:tc>
          <w:tcPr>
            <w:tcW w:type="dxa" w:w="1872"/>
          </w:tcPr>
          <w:p>
            <w:r>
              <w:rPr>
                <w:rFonts w:ascii="Times New Roman" w:hAnsi="Times New Roman"/>
                <w:sz w:val="18"/>
              </w:rPr>
              <w:t>Yes</w:t>
            </w:r>
          </w:p>
        </w:tc>
      </w:tr>
      <w:tr>
        <w:tc>
          <w:tcPr>
            <w:tcW w:type="dxa" w:w="1872"/>
          </w:tcPr>
          <w:p>
            <w:r>
              <w:rPr>
                <w:rFonts w:ascii="Times New Roman" w:hAnsi="Times New Roman"/>
                <w:sz w:val="18"/>
              </w:rPr>
              <w:t>C(state_grp)[T.Other]</w:t>
            </w:r>
          </w:p>
        </w:tc>
        <w:tc>
          <w:tcPr>
            <w:tcW w:type="dxa" w:w="1872"/>
          </w:tcPr>
          <w:p>
            <w:r>
              <w:rPr>
                <w:rFonts w:ascii="Times New Roman" w:hAnsi="Times New Roman"/>
                <w:sz w:val="18"/>
              </w:rPr>
              <w:t>0.610</w:t>
            </w:r>
          </w:p>
        </w:tc>
        <w:tc>
          <w:tcPr>
            <w:tcW w:type="dxa" w:w="1872"/>
          </w:tcPr>
          <w:p>
            <w:r>
              <w:rPr>
                <w:rFonts w:ascii="Times New Roman" w:hAnsi="Times New Roman"/>
                <w:sz w:val="18"/>
              </w:rPr>
              <w:t>[0.563, 0.661]</w:t>
            </w:r>
          </w:p>
        </w:tc>
        <w:tc>
          <w:tcPr>
            <w:tcW w:type="dxa" w:w="1872"/>
          </w:tcPr>
          <w:p>
            <w:r>
              <w:rPr>
                <w:rFonts w:ascii="Times New Roman" w:hAnsi="Times New Roman"/>
                <w:sz w:val="18"/>
              </w:rPr>
              <w:t>1.39e-33</w:t>
            </w:r>
          </w:p>
        </w:tc>
        <w:tc>
          <w:tcPr>
            <w:tcW w:type="dxa" w:w="1872"/>
          </w:tcPr>
          <w:p>
            <w:r>
              <w:rPr>
                <w:rFonts w:ascii="Times New Roman" w:hAnsi="Times New Roman"/>
                <w:sz w:val="18"/>
              </w:rPr>
              <w:t>Yes</w:t>
            </w:r>
          </w:p>
        </w:tc>
      </w:tr>
      <w:tr>
        <w:tc>
          <w:tcPr>
            <w:tcW w:type="dxa" w:w="1872"/>
          </w:tcPr>
          <w:p>
            <w:r>
              <w:rPr>
                <w:rFonts w:ascii="Times New Roman" w:hAnsi="Times New Roman"/>
                <w:sz w:val="18"/>
              </w:rPr>
              <w:t>C(ownership_bin)[T.Proprietary]</w:t>
            </w:r>
          </w:p>
        </w:tc>
        <w:tc>
          <w:tcPr>
            <w:tcW w:type="dxa" w:w="1872"/>
          </w:tcPr>
          <w:p>
            <w:r>
              <w:rPr>
                <w:rFonts w:ascii="Times New Roman" w:hAnsi="Times New Roman"/>
                <w:sz w:val="18"/>
              </w:rPr>
              <w:t>1.290</w:t>
            </w:r>
          </w:p>
        </w:tc>
        <w:tc>
          <w:tcPr>
            <w:tcW w:type="dxa" w:w="1872"/>
          </w:tcPr>
          <w:p>
            <w:r>
              <w:rPr>
                <w:rFonts w:ascii="Times New Roman" w:hAnsi="Times New Roman"/>
                <w:sz w:val="18"/>
              </w:rPr>
              <w:t>[1.192, 1.395]</w:t>
            </w:r>
          </w:p>
        </w:tc>
        <w:tc>
          <w:tcPr>
            <w:tcW w:type="dxa" w:w="1872"/>
          </w:tcPr>
          <w:p>
            <w:r>
              <w:rPr>
                <w:rFonts w:ascii="Times New Roman" w:hAnsi="Times New Roman"/>
                <w:sz w:val="18"/>
              </w:rPr>
              <w:t>2.15e-10</w:t>
            </w:r>
          </w:p>
        </w:tc>
        <w:tc>
          <w:tcPr>
            <w:tcW w:type="dxa" w:w="1872"/>
          </w:tcPr>
          <w:p>
            <w:r>
              <w:rPr>
                <w:rFonts w:ascii="Times New Roman" w:hAnsi="Times New Roman"/>
                <w:sz w:val="18"/>
              </w:rPr>
              <w:t>Yes</w:t>
            </w:r>
          </w:p>
        </w:tc>
      </w:tr>
      <w:tr>
        <w:tc>
          <w:tcPr>
            <w:tcW w:type="dxa" w:w="1872"/>
          </w:tcPr>
          <w:p>
            <w:r>
              <w:rPr>
                <w:rFonts w:ascii="Times New Roman" w:hAnsi="Times New Roman"/>
                <w:sz w:val="18"/>
              </w:rPr>
              <w:t>C(state_grp)[T.NJ]</w:t>
            </w:r>
          </w:p>
        </w:tc>
        <w:tc>
          <w:tcPr>
            <w:tcW w:type="dxa" w:w="1872"/>
          </w:tcPr>
          <w:p>
            <w:r>
              <w:rPr>
                <w:rFonts w:ascii="Times New Roman" w:hAnsi="Times New Roman"/>
                <w:sz w:val="18"/>
              </w:rPr>
              <w:t>1.617</w:t>
            </w:r>
          </w:p>
        </w:tc>
        <w:tc>
          <w:tcPr>
            <w:tcW w:type="dxa" w:w="1872"/>
          </w:tcPr>
          <w:p>
            <w:r>
              <w:rPr>
                <w:rFonts w:ascii="Times New Roman" w:hAnsi="Times New Roman"/>
                <w:sz w:val="18"/>
              </w:rPr>
              <w:t>[1.379, 1.896]</w:t>
            </w:r>
          </w:p>
        </w:tc>
        <w:tc>
          <w:tcPr>
            <w:tcW w:type="dxa" w:w="1872"/>
          </w:tcPr>
          <w:p>
            <w:r>
              <w:rPr>
                <w:rFonts w:ascii="Times New Roman" w:hAnsi="Times New Roman"/>
                <w:sz w:val="18"/>
              </w:rPr>
              <w:t>3.39e-09</w:t>
            </w:r>
          </w:p>
        </w:tc>
        <w:tc>
          <w:tcPr>
            <w:tcW w:type="dxa" w:w="1872"/>
          </w:tcPr>
          <w:p>
            <w:r>
              <w:rPr>
                <w:rFonts w:ascii="Times New Roman" w:hAnsi="Times New Roman"/>
                <w:sz w:val="18"/>
              </w:rPr>
              <w:t>Yes</w:t>
            </w:r>
          </w:p>
        </w:tc>
      </w:tr>
      <w:tr>
        <w:tc>
          <w:tcPr>
            <w:tcW w:type="dxa" w:w="1872"/>
          </w:tcPr>
          <w:p>
            <w:r>
              <w:rPr>
                <w:rFonts w:ascii="Times New Roman" w:hAnsi="Times New Roman"/>
                <w:sz w:val="18"/>
              </w:rPr>
              <w:t>C(measure_short)[T.COPD]</w:t>
            </w:r>
          </w:p>
        </w:tc>
        <w:tc>
          <w:tcPr>
            <w:tcW w:type="dxa" w:w="1872"/>
          </w:tcPr>
          <w:p>
            <w:r>
              <w:rPr>
                <w:rFonts w:ascii="Times New Roman" w:hAnsi="Times New Roman"/>
                <w:sz w:val="18"/>
              </w:rPr>
              <w:t>0.812</w:t>
            </w:r>
          </w:p>
        </w:tc>
        <w:tc>
          <w:tcPr>
            <w:tcW w:type="dxa" w:w="1872"/>
          </w:tcPr>
          <w:p>
            <w:r>
              <w:rPr>
                <w:rFonts w:ascii="Times New Roman" w:hAnsi="Times New Roman"/>
                <w:sz w:val="18"/>
              </w:rPr>
              <w:t>[0.754, 0.874]</w:t>
            </w:r>
          </w:p>
        </w:tc>
        <w:tc>
          <w:tcPr>
            <w:tcW w:type="dxa" w:w="1872"/>
          </w:tcPr>
          <w:p>
            <w:r>
              <w:rPr>
                <w:rFonts w:ascii="Times New Roman" w:hAnsi="Times New Roman"/>
                <w:sz w:val="18"/>
              </w:rPr>
              <w:t>3.43e-08</w:t>
            </w:r>
          </w:p>
        </w:tc>
        <w:tc>
          <w:tcPr>
            <w:tcW w:type="dxa" w:w="1872"/>
          </w:tcPr>
          <w:p>
            <w:r>
              <w:rPr>
                <w:rFonts w:ascii="Times New Roman" w:hAnsi="Times New Roman"/>
                <w:sz w:val="18"/>
              </w:rPr>
              <w:t>Yes</w:t>
            </w:r>
          </w:p>
        </w:tc>
      </w:tr>
      <w:tr>
        <w:tc>
          <w:tcPr>
            <w:tcW w:type="dxa" w:w="1872"/>
          </w:tcPr>
          <w:p>
            <w:r>
              <w:rPr>
                <w:rFonts w:ascii="Times New Roman" w:hAnsi="Times New Roman"/>
                <w:sz w:val="18"/>
              </w:rPr>
              <w:t>C(state_grp)[T.TX]</w:t>
            </w:r>
          </w:p>
        </w:tc>
        <w:tc>
          <w:tcPr>
            <w:tcW w:type="dxa" w:w="1872"/>
          </w:tcPr>
          <w:p>
            <w:r>
              <w:rPr>
                <w:rFonts w:ascii="Times New Roman" w:hAnsi="Times New Roman"/>
                <w:sz w:val="18"/>
              </w:rPr>
              <w:t>0.768</w:t>
            </w:r>
          </w:p>
        </w:tc>
        <w:tc>
          <w:tcPr>
            <w:tcW w:type="dxa" w:w="1872"/>
          </w:tcPr>
          <w:p>
            <w:r>
              <w:rPr>
                <w:rFonts w:ascii="Times New Roman" w:hAnsi="Times New Roman"/>
                <w:sz w:val="18"/>
              </w:rPr>
              <w:t>[0.692, 0.854]</w:t>
            </w:r>
          </w:p>
        </w:tc>
        <w:tc>
          <w:tcPr>
            <w:tcW w:type="dxa" w:w="1872"/>
          </w:tcPr>
          <w:p>
            <w:r>
              <w:rPr>
                <w:rFonts w:ascii="Times New Roman" w:hAnsi="Times New Roman"/>
                <w:sz w:val="18"/>
              </w:rPr>
              <w:t>9.53e-07</w:t>
            </w:r>
          </w:p>
        </w:tc>
        <w:tc>
          <w:tcPr>
            <w:tcW w:type="dxa" w:w="1872"/>
          </w:tcPr>
          <w:p>
            <w:r>
              <w:rPr>
                <w:rFonts w:ascii="Times New Roman" w:hAnsi="Times New Roman"/>
                <w:sz w:val="18"/>
              </w:rPr>
              <w:t>Yes</w:t>
            </w:r>
          </w:p>
        </w:tc>
      </w:tr>
      <w:tr>
        <w:tc>
          <w:tcPr>
            <w:tcW w:type="dxa" w:w="1872"/>
          </w:tcPr>
          <w:p>
            <w:r>
              <w:rPr>
                <w:rFonts w:ascii="Times New Roman" w:hAnsi="Times New Roman"/>
                <w:sz w:val="18"/>
              </w:rPr>
              <w:t>C(state_grp)[T.IN]</w:t>
            </w:r>
          </w:p>
        </w:tc>
        <w:tc>
          <w:tcPr>
            <w:tcW w:type="dxa" w:w="1872"/>
          </w:tcPr>
          <w:p>
            <w:r>
              <w:rPr>
                <w:rFonts w:ascii="Times New Roman" w:hAnsi="Times New Roman"/>
                <w:sz w:val="18"/>
              </w:rPr>
              <w:t>0.714</w:t>
            </w:r>
          </w:p>
        </w:tc>
        <w:tc>
          <w:tcPr>
            <w:tcW w:type="dxa" w:w="1872"/>
          </w:tcPr>
          <w:p>
            <w:r>
              <w:rPr>
                <w:rFonts w:ascii="Times New Roman" w:hAnsi="Times New Roman"/>
                <w:sz w:val="18"/>
              </w:rPr>
              <w:t>[0.617, 0.827]</w:t>
            </w:r>
          </w:p>
        </w:tc>
        <w:tc>
          <w:tcPr>
            <w:tcW w:type="dxa" w:w="1872"/>
          </w:tcPr>
          <w:p>
            <w:r>
              <w:rPr>
                <w:rFonts w:ascii="Times New Roman" w:hAnsi="Times New Roman"/>
                <w:sz w:val="18"/>
              </w:rPr>
              <w:t>6.54e-06</w:t>
            </w:r>
          </w:p>
        </w:tc>
        <w:tc>
          <w:tcPr>
            <w:tcW w:type="dxa" w:w="1872"/>
          </w:tcPr>
          <w:p>
            <w:r>
              <w:rPr>
                <w:rFonts w:ascii="Times New Roman" w:hAnsi="Times New Roman"/>
                <w:sz w:val="18"/>
              </w:rPr>
              <w:t>Yes</w:t>
            </w:r>
          </w:p>
        </w:tc>
      </w:tr>
      <w:tr>
        <w:tc>
          <w:tcPr>
            <w:tcW w:type="dxa" w:w="1872"/>
          </w:tcPr>
          <w:p>
            <w:r>
              <w:rPr>
                <w:rFonts w:ascii="Times New Roman" w:hAnsi="Times New Roman"/>
                <w:sz w:val="18"/>
              </w:rPr>
              <w:t>C(state_grp)[T.VA]</w:t>
            </w:r>
          </w:p>
        </w:tc>
        <w:tc>
          <w:tcPr>
            <w:tcW w:type="dxa" w:w="1872"/>
          </w:tcPr>
          <w:p>
            <w:r>
              <w:rPr>
                <w:rFonts w:ascii="Times New Roman" w:hAnsi="Times New Roman"/>
                <w:sz w:val="18"/>
              </w:rPr>
              <w:t>0.732</w:t>
            </w:r>
          </w:p>
        </w:tc>
        <w:tc>
          <w:tcPr>
            <w:tcW w:type="dxa" w:w="1872"/>
          </w:tcPr>
          <w:p>
            <w:r>
              <w:rPr>
                <w:rFonts w:ascii="Times New Roman" w:hAnsi="Times New Roman"/>
                <w:sz w:val="18"/>
              </w:rPr>
              <w:t>[0.630, 0.851]</w:t>
            </w:r>
          </w:p>
        </w:tc>
        <w:tc>
          <w:tcPr>
            <w:tcW w:type="dxa" w:w="1872"/>
          </w:tcPr>
          <w:p>
            <w:r>
              <w:rPr>
                <w:rFonts w:ascii="Times New Roman" w:hAnsi="Times New Roman"/>
                <w:sz w:val="18"/>
              </w:rPr>
              <w:t>4.85e-05</w:t>
            </w:r>
          </w:p>
        </w:tc>
        <w:tc>
          <w:tcPr>
            <w:tcW w:type="dxa" w:w="1872"/>
          </w:tcPr>
          <w:p>
            <w:r>
              <w:rPr>
                <w:rFonts w:ascii="Times New Roman" w:hAnsi="Times New Roman"/>
                <w:sz w:val="18"/>
              </w:rPr>
              <w:t>Yes</w:t>
            </w:r>
          </w:p>
        </w:tc>
      </w:tr>
    </w:tbl>
    <w:p/>
    <w:p>
      <w:pPr>
        <w:spacing w:line="480" w:lineRule="auto" w:before="240"/>
        <w:ind w:firstLine="0"/>
      </w:pPr>
      <w:r>
        <w:rPr>
          <w:rFonts w:ascii="Times New Roman" w:hAnsi="Times New Roman"/>
          <w:b/>
          <w:sz w:val="24"/>
        </w:rPr>
        <w:t>RQ2 Preliminary Findings</w:t>
      </w:r>
    </w:p>
    <w:p>
      <w:pPr>
        <w:spacing w:line="480" w:lineRule="auto"/>
        <w:ind w:firstLine="720"/>
      </w:pPr>
      <w:r>
        <w:rPr>
          <w:rFonts w:ascii="Times New Roman" w:hAnsi="Times New Roman"/>
          <w:b w:val="0"/>
          <w:sz w:val="24"/>
        </w:rPr>
        <w:t>Models were trained on FY2024–FY2025 (n = 24,004) and tested on FY2026 (n = 11,720) using structural features only. Gradient boosting achieved the best out-of-time AUROC (0.673) versus logistic AUROC (0.609), a gain of 0.064. Because the gain exceeds the pre-specified +0.02 margin, Ha for RQ2 is supported at interim. Absolute discrimination remains moderate (AUROC ~0.67), which is expected when predicted/expected rates are withheld; this is an honest structural early-warning setting rather than a tautological ERR reconstruction task.</w:t>
      </w:r>
    </w:p>
    <w:p>
      <w:pPr>
        <w:ind w:firstLine="0"/>
        <w:jc w:val="center"/>
      </w:pPr>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fig5_roc_oot.png"/>
                    <pic:cNvPicPr/>
                  </pic:nvPicPr>
                  <pic:blipFill>
                    <a:blip r:embed="rId14"/>
                    <a:stretch>
                      <a:fillRect/>
                    </a:stretch>
                  </pic:blipFill>
                  <pic:spPr>
                    <a:xfrm>
                      <a:off x="0" y="0"/>
                      <a:ext cx="5486400" cy="4572000"/>
                    </a:xfrm>
                    <a:prstGeom prst="rect"/>
                  </pic:spPr>
                </pic:pic>
              </a:graphicData>
            </a:graphic>
          </wp:inline>
        </w:drawing>
      </w:r>
    </w:p>
    <w:p>
      <w:pPr>
        <w:ind w:firstLine="0"/>
        <w:jc w:val="center"/>
      </w:pPr>
      <w:r>
        <w:rPr>
          <w:rFonts w:ascii="Times New Roman" w:hAnsi="Times New Roman"/>
          <w:i/>
          <w:sz w:val="22"/>
        </w:rPr>
        <w:t>Figure 5. Out-of-time ROC on FY2026 (train FY2024–FY2025)</w:t>
      </w:r>
    </w:p>
    <w:p>
      <w:pPr>
        <w:spacing w:line="480" w:lineRule="auto"/>
        <w:ind w:firstLine="0"/>
      </w:pPr>
      <w:r>
        <w:rPr>
          <w:rFonts w:ascii="Times New Roman" w:hAnsi="Times New Roman"/>
          <w:b/>
          <w:sz w:val="22"/>
        </w:rPr>
        <w:t>Table 10. Preliminary model performance comparison (RQ2)</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Times New Roman" w:hAnsi="Times New Roman"/>
                <w:b/>
                <w:sz w:val="18"/>
              </w:rPr>
              <w:t>Model</w:t>
            </w:r>
          </w:p>
        </w:tc>
        <w:tc>
          <w:tcPr>
            <w:tcW w:type="dxa" w:w="1170"/>
          </w:tcPr>
          <w:p>
            <w:r>
              <w:rPr>
                <w:rFonts w:ascii="Times New Roman" w:hAnsi="Times New Roman"/>
                <w:b/>
                <w:sz w:val="18"/>
              </w:rPr>
              <w:t>Feature Set</w:t>
            </w:r>
          </w:p>
        </w:tc>
        <w:tc>
          <w:tcPr>
            <w:tcW w:type="dxa" w:w="1170"/>
          </w:tcPr>
          <w:p>
            <w:r>
              <w:rPr>
                <w:rFonts w:ascii="Times New Roman" w:hAnsi="Times New Roman"/>
                <w:b/>
                <w:sz w:val="18"/>
              </w:rPr>
              <w:t>Validation</w:t>
            </w:r>
          </w:p>
        </w:tc>
        <w:tc>
          <w:tcPr>
            <w:tcW w:type="dxa" w:w="1170"/>
          </w:tcPr>
          <w:p>
            <w:r>
              <w:rPr>
                <w:rFonts w:ascii="Times New Roman" w:hAnsi="Times New Roman"/>
                <w:b/>
                <w:sz w:val="18"/>
              </w:rPr>
              <w:t>AUROC</w:t>
            </w:r>
          </w:p>
        </w:tc>
        <w:tc>
          <w:tcPr>
            <w:tcW w:type="dxa" w:w="1170"/>
          </w:tcPr>
          <w:p>
            <w:r>
              <w:rPr>
                <w:rFonts w:ascii="Times New Roman" w:hAnsi="Times New Roman"/>
                <w:b/>
                <w:sz w:val="18"/>
              </w:rPr>
              <w:t>PR-AUC</w:t>
            </w:r>
          </w:p>
        </w:tc>
        <w:tc>
          <w:tcPr>
            <w:tcW w:type="dxa" w:w="1170"/>
          </w:tcPr>
          <w:p>
            <w:r>
              <w:rPr>
                <w:rFonts w:ascii="Times New Roman" w:hAnsi="Times New Roman"/>
                <w:b/>
                <w:sz w:val="18"/>
              </w:rPr>
              <w:t>F1</w:t>
            </w:r>
          </w:p>
        </w:tc>
        <w:tc>
          <w:tcPr>
            <w:tcW w:type="dxa" w:w="1170"/>
          </w:tcPr>
          <w:p>
            <w:r>
              <w:rPr>
                <w:rFonts w:ascii="Times New Roman" w:hAnsi="Times New Roman"/>
                <w:b/>
                <w:sz w:val="18"/>
              </w:rPr>
              <w:t>Brier</w:t>
            </w:r>
          </w:p>
        </w:tc>
        <w:tc>
          <w:tcPr>
            <w:tcW w:type="dxa" w:w="1170"/>
          </w:tcPr>
          <w:p>
            <w:r>
              <w:rPr>
                <w:rFonts w:ascii="Times New Roman" w:hAnsi="Times New Roman"/>
                <w:b/>
                <w:sz w:val="18"/>
              </w:rPr>
              <w:t>Key Takeaway</w:t>
            </w:r>
          </w:p>
        </w:tc>
      </w:tr>
      <w:tr>
        <w:tc>
          <w:tcPr>
            <w:tcW w:type="dxa" w:w="1170"/>
          </w:tcPr>
          <w:p>
            <w:r>
              <w:rPr>
                <w:rFonts w:ascii="Times New Roman" w:hAnsi="Times New Roman"/>
                <w:sz w:val="18"/>
              </w:rPr>
              <w:t>LogisticRegression</w:t>
            </w:r>
          </w:p>
        </w:tc>
        <w:tc>
          <w:tcPr>
            <w:tcW w:type="dxa" w:w="1170"/>
          </w:tcPr>
          <w:p>
            <w:r>
              <w:rPr>
                <w:rFonts w:ascii="Times New Roman" w:hAnsi="Times New Roman"/>
                <w:sz w:val="18"/>
              </w:rPr>
              <w:t>Structural</w:t>
            </w:r>
          </w:p>
        </w:tc>
        <w:tc>
          <w:tcPr>
            <w:tcW w:type="dxa" w:w="1170"/>
          </w:tcPr>
          <w:p>
            <w:r>
              <w:rPr>
                <w:rFonts w:ascii="Times New Roman" w:hAnsi="Times New Roman"/>
                <w:sz w:val="18"/>
              </w:rPr>
              <w:t>OOT FY2026</w:t>
            </w:r>
          </w:p>
        </w:tc>
        <w:tc>
          <w:tcPr>
            <w:tcW w:type="dxa" w:w="1170"/>
          </w:tcPr>
          <w:p>
            <w:r>
              <w:rPr>
                <w:rFonts w:ascii="Times New Roman" w:hAnsi="Times New Roman"/>
                <w:sz w:val="18"/>
              </w:rPr>
              <w:t>0.609</w:t>
            </w:r>
          </w:p>
        </w:tc>
        <w:tc>
          <w:tcPr>
            <w:tcW w:type="dxa" w:w="1170"/>
          </w:tcPr>
          <w:p>
            <w:r>
              <w:rPr>
                <w:rFonts w:ascii="Times New Roman" w:hAnsi="Times New Roman"/>
                <w:sz w:val="18"/>
              </w:rPr>
              <w:t>0.601</w:t>
            </w:r>
          </w:p>
        </w:tc>
        <w:tc>
          <w:tcPr>
            <w:tcW w:type="dxa" w:w="1170"/>
          </w:tcPr>
          <w:p>
            <w:r>
              <w:rPr>
                <w:rFonts w:ascii="Times New Roman" w:hAnsi="Times New Roman"/>
                <w:sz w:val="18"/>
              </w:rPr>
              <w:t>0.555</w:t>
            </w:r>
          </w:p>
        </w:tc>
        <w:tc>
          <w:tcPr>
            <w:tcW w:type="dxa" w:w="1170"/>
          </w:tcPr>
          <w:p>
            <w:r>
              <w:rPr>
                <w:rFonts w:ascii="Times New Roman" w:hAnsi="Times New Roman"/>
                <w:sz w:val="18"/>
              </w:rPr>
              <w:t>0.240</w:t>
            </w:r>
          </w:p>
        </w:tc>
        <w:tc>
          <w:tcPr>
            <w:tcW w:type="dxa" w:w="1170"/>
          </w:tcPr>
          <w:p>
            <w:r>
              <w:rPr>
                <w:rFonts w:ascii="Times New Roman" w:hAnsi="Times New Roman"/>
                <w:sz w:val="18"/>
              </w:rPr>
              <w:t>Transparent baseline</w:t>
            </w:r>
          </w:p>
        </w:tc>
      </w:tr>
      <w:tr>
        <w:tc>
          <w:tcPr>
            <w:tcW w:type="dxa" w:w="1170"/>
          </w:tcPr>
          <w:p>
            <w:r>
              <w:rPr>
                <w:rFonts w:ascii="Times New Roman" w:hAnsi="Times New Roman"/>
                <w:sz w:val="18"/>
              </w:rPr>
              <w:t>RandomForest</w:t>
            </w:r>
          </w:p>
        </w:tc>
        <w:tc>
          <w:tcPr>
            <w:tcW w:type="dxa" w:w="1170"/>
          </w:tcPr>
          <w:p>
            <w:r>
              <w:rPr>
                <w:rFonts w:ascii="Times New Roman" w:hAnsi="Times New Roman"/>
                <w:sz w:val="18"/>
              </w:rPr>
              <w:t>Structural</w:t>
            </w:r>
          </w:p>
        </w:tc>
        <w:tc>
          <w:tcPr>
            <w:tcW w:type="dxa" w:w="1170"/>
          </w:tcPr>
          <w:p>
            <w:r>
              <w:rPr>
                <w:rFonts w:ascii="Times New Roman" w:hAnsi="Times New Roman"/>
                <w:sz w:val="18"/>
              </w:rPr>
              <w:t>OOT FY2026</w:t>
            </w:r>
          </w:p>
        </w:tc>
        <w:tc>
          <w:tcPr>
            <w:tcW w:type="dxa" w:w="1170"/>
          </w:tcPr>
          <w:p>
            <w:r>
              <w:rPr>
                <w:rFonts w:ascii="Times New Roman" w:hAnsi="Times New Roman"/>
                <w:sz w:val="18"/>
              </w:rPr>
              <w:t>0.668</w:t>
            </w:r>
          </w:p>
        </w:tc>
        <w:tc>
          <w:tcPr>
            <w:tcW w:type="dxa" w:w="1170"/>
          </w:tcPr>
          <w:p>
            <w:r>
              <w:rPr>
                <w:rFonts w:ascii="Times New Roman" w:hAnsi="Times New Roman"/>
                <w:sz w:val="18"/>
              </w:rPr>
              <w:t>0.671</w:t>
            </w:r>
          </w:p>
        </w:tc>
        <w:tc>
          <w:tcPr>
            <w:tcW w:type="dxa" w:w="1170"/>
          </w:tcPr>
          <w:p>
            <w:r>
              <w:rPr>
                <w:rFonts w:ascii="Times New Roman" w:hAnsi="Times New Roman"/>
                <w:sz w:val="18"/>
              </w:rPr>
              <w:t>0.580</w:t>
            </w:r>
          </w:p>
        </w:tc>
        <w:tc>
          <w:tcPr>
            <w:tcW w:type="dxa" w:w="1170"/>
          </w:tcPr>
          <w:p>
            <w:r>
              <w:rPr>
                <w:rFonts w:ascii="Times New Roman" w:hAnsi="Times New Roman"/>
                <w:sz w:val="18"/>
              </w:rPr>
              <w:t>0.228</w:t>
            </w:r>
          </w:p>
        </w:tc>
        <w:tc>
          <w:tcPr>
            <w:tcW w:type="dxa" w:w="1170"/>
          </w:tcPr>
          <w:p>
            <w:r>
              <w:rPr>
                <w:rFonts w:ascii="Times New Roman" w:hAnsi="Times New Roman"/>
                <w:sz w:val="18"/>
              </w:rPr>
              <w:t>Nonlinear gain vs logistic</w:t>
            </w:r>
          </w:p>
        </w:tc>
      </w:tr>
      <w:tr>
        <w:tc>
          <w:tcPr>
            <w:tcW w:type="dxa" w:w="1170"/>
          </w:tcPr>
          <w:p>
            <w:r>
              <w:rPr>
                <w:rFonts w:ascii="Times New Roman" w:hAnsi="Times New Roman"/>
                <w:sz w:val="18"/>
              </w:rPr>
              <w:t>GradientBoosting</w:t>
            </w:r>
          </w:p>
        </w:tc>
        <w:tc>
          <w:tcPr>
            <w:tcW w:type="dxa" w:w="1170"/>
          </w:tcPr>
          <w:p>
            <w:r>
              <w:rPr>
                <w:rFonts w:ascii="Times New Roman" w:hAnsi="Times New Roman"/>
                <w:sz w:val="18"/>
              </w:rPr>
              <w:t>Structural</w:t>
            </w:r>
          </w:p>
        </w:tc>
        <w:tc>
          <w:tcPr>
            <w:tcW w:type="dxa" w:w="1170"/>
          </w:tcPr>
          <w:p>
            <w:r>
              <w:rPr>
                <w:rFonts w:ascii="Times New Roman" w:hAnsi="Times New Roman"/>
                <w:sz w:val="18"/>
              </w:rPr>
              <w:t>OOT FY2026</w:t>
            </w:r>
          </w:p>
        </w:tc>
        <w:tc>
          <w:tcPr>
            <w:tcW w:type="dxa" w:w="1170"/>
          </w:tcPr>
          <w:p>
            <w:r>
              <w:rPr>
                <w:rFonts w:ascii="Times New Roman" w:hAnsi="Times New Roman"/>
                <w:sz w:val="18"/>
              </w:rPr>
              <w:t>0.673</w:t>
            </w:r>
          </w:p>
        </w:tc>
        <w:tc>
          <w:tcPr>
            <w:tcW w:type="dxa" w:w="1170"/>
          </w:tcPr>
          <w:p>
            <w:r>
              <w:rPr>
                <w:rFonts w:ascii="Times New Roman" w:hAnsi="Times New Roman"/>
                <w:sz w:val="18"/>
              </w:rPr>
              <w:t>0.676</w:t>
            </w:r>
          </w:p>
        </w:tc>
        <w:tc>
          <w:tcPr>
            <w:tcW w:type="dxa" w:w="1170"/>
          </w:tcPr>
          <w:p>
            <w:r>
              <w:rPr>
                <w:rFonts w:ascii="Times New Roman" w:hAnsi="Times New Roman"/>
                <w:sz w:val="18"/>
              </w:rPr>
              <w:t>0.570</w:t>
            </w:r>
          </w:p>
        </w:tc>
        <w:tc>
          <w:tcPr>
            <w:tcW w:type="dxa" w:w="1170"/>
          </w:tcPr>
          <w:p>
            <w:r>
              <w:rPr>
                <w:rFonts w:ascii="Times New Roman" w:hAnsi="Times New Roman"/>
                <w:sz w:val="18"/>
              </w:rPr>
              <w:t>0.224</w:t>
            </w:r>
          </w:p>
        </w:tc>
        <w:tc>
          <w:tcPr>
            <w:tcW w:type="dxa" w:w="1170"/>
          </w:tcPr>
          <w:p>
            <w:r>
              <w:rPr>
                <w:rFonts w:ascii="Times New Roman" w:hAnsi="Times New Roman"/>
                <w:sz w:val="18"/>
              </w:rPr>
              <w:t>Best AUROC; Ha supported</w:t>
            </w:r>
          </w:p>
        </w:tc>
      </w:tr>
    </w:tbl>
    <w:p/>
    <w:p>
      <w:pPr>
        <w:spacing w:line="480" w:lineRule="auto" w:before="240"/>
        <w:ind w:firstLine="0"/>
      </w:pPr>
      <w:r>
        <w:rPr>
          <w:rFonts w:ascii="Times New Roman" w:hAnsi="Times New Roman"/>
          <w:b/>
          <w:sz w:val="24"/>
        </w:rPr>
        <w:t>RQ3 Preliminary Findings</w:t>
      </w:r>
    </w:p>
    <w:p>
      <w:pPr>
        <w:spacing w:line="480" w:lineRule="auto"/>
        <w:ind w:firstLine="720"/>
      </w:pPr>
      <w:r>
        <w:rPr>
          <w:rFonts w:ascii="Times New Roman" w:hAnsi="Times New Roman"/>
          <w:b w:val="0"/>
          <w:sz w:val="24"/>
        </w:rPr>
        <w:t>A logistic structural model trained on FY2024 was scored on FY2024–FY2026. AUROC remained nearly flat (0.605 → 0.606 → 0.608; range = 0.003), which is below the pre-specified &gt;0.03 drop threshold. Ownership |ΔFNR| (Nonprofit vs Proprietary) was large but stable (~0.41; range = 0.014), below the &gt;0.05 change threshold. Therefore Ha for temporal change is not supported at interim. However, the persistent fairness gap itself is an important operational finding: equity risk is high even when temporal drift is small, so monitoring remains necessary (Figure 7).</w:t>
      </w:r>
    </w:p>
    <w:p>
      <w:pPr>
        <w:ind w:firstLine="0"/>
        <w:jc w:val="center"/>
      </w:pPr>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fig6_auroc_by_fy.png"/>
                    <pic:cNvPicPr/>
                  </pic:nvPicPr>
                  <pic:blipFill>
                    <a:blip r:embed="rId15"/>
                    <a:stretch>
                      <a:fillRect/>
                    </a:stretch>
                  </pic:blipFill>
                  <pic:spPr>
                    <a:xfrm>
                      <a:off x="0" y="0"/>
                      <a:ext cx="5486400" cy="3657600"/>
                    </a:xfrm>
                    <a:prstGeom prst="rect"/>
                  </pic:spPr>
                </pic:pic>
              </a:graphicData>
            </a:graphic>
          </wp:inline>
        </w:drawing>
      </w:r>
    </w:p>
    <w:p>
      <w:pPr>
        <w:ind w:firstLine="0"/>
        <w:jc w:val="center"/>
      </w:pPr>
      <w:r>
        <w:rPr>
          <w:rFonts w:ascii="Times New Roman" w:hAnsi="Times New Roman"/>
          <w:i/>
          <w:sz w:val="22"/>
        </w:rPr>
        <w:t>Figure 6. Out-of-sample AUROC by FY (model trained on FY2024)</w:t>
      </w:r>
    </w:p>
    <w:p>
      <w:pPr>
        <w:ind w:firstLine="0"/>
        <w:jc w:val="center"/>
      </w:pPr>
      <w:r>
        <w:drawing>
          <wp:inline xmlns:a="http://schemas.openxmlformats.org/drawingml/2006/main" xmlns:pic="http://schemas.openxmlformats.org/drawingml/2006/picture">
            <wp:extent cx="5486400" cy="3657600"/>
            <wp:docPr id="7" name="Picture 7"/>
            <wp:cNvGraphicFramePr>
              <a:graphicFrameLocks noChangeAspect="1"/>
            </wp:cNvGraphicFramePr>
            <a:graphic>
              <a:graphicData uri="http://schemas.openxmlformats.org/drawingml/2006/picture">
                <pic:pic>
                  <pic:nvPicPr>
                    <pic:cNvPr id="0" name="fig7_delta_fnr_by_fy.png"/>
                    <pic:cNvPicPr/>
                  </pic:nvPicPr>
                  <pic:blipFill>
                    <a:blip r:embed="rId16"/>
                    <a:stretch>
                      <a:fillRect/>
                    </a:stretch>
                  </pic:blipFill>
                  <pic:spPr>
                    <a:xfrm>
                      <a:off x="0" y="0"/>
                      <a:ext cx="5486400" cy="3657600"/>
                    </a:xfrm>
                    <a:prstGeom prst="rect"/>
                  </pic:spPr>
                </pic:pic>
              </a:graphicData>
            </a:graphic>
          </wp:inline>
        </w:drawing>
      </w:r>
    </w:p>
    <w:p>
      <w:pPr>
        <w:ind w:firstLine="0"/>
        <w:jc w:val="center"/>
      </w:pPr>
      <w:r>
        <w:rPr>
          <w:rFonts w:ascii="Times New Roman" w:hAnsi="Times New Roman"/>
          <w:i/>
          <w:sz w:val="22"/>
        </w:rPr>
        <w:t>Figure 7. |ΔFNR| Nonprofit vs Proprietary by FY</w:t>
      </w:r>
    </w:p>
    <w:p>
      <w:pPr>
        <w:spacing w:line="480" w:lineRule="auto"/>
        <w:ind w:firstLine="0"/>
      </w:pPr>
      <w:r>
        <w:rPr>
          <w:rFonts w:ascii="Times New Roman" w:hAnsi="Times New Roman"/>
          <w:b/>
          <w:sz w:val="22"/>
        </w:rPr>
        <w:t>Table 11. RQ3 discrimination and fairness by fiscal-year release</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b/>
                <w:sz w:val="18"/>
              </w:rPr>
              <w:t>FY</w:t>
            </w:r>
          </w:p>
        </w:tc>
        <w:tc>
          <w:tcPr>
            <w:tcW w:type="dxa" w:w="3120"/>
          </w:tcPr>
          <w:p>
            <w:r>
              <w:rPr>
                <w:rFonts w:ascii="Times New Roman" w:hAnsi="Times New Roman"/>
                <w:b/>
                <w:sz w:val="18"/>
              </w:rPr>
              <w:t>AUROC</w:t>
            </w:r>
          </w:p>
        </w:tc>
        <w:tc>
          <w:tcPr>
            <w:tcW w:type="dxa" w:w="3120"/>
          </w:tcPr>
          <w:p>
            <w:r>
              <w:rPr>
                <w:rFonts w:ascii="Times New Roman" w:hAnsi="Times New Roman"/>
                <w:b/>
                <w:sz w:val="18"/>
              </w:rPr>
              <w:t>|ΔFNR| Nonprofit vs Proprietary</w:t>
            </w:r>
          </w:p>
        </w:tc>
      </w:tr>
      <w:tr>
        <w:tc>
          <w:tcPr>
            <w:tcW w:type="dxa" w:w="3120"/>
          </w:tcPr>
          <w:p>
            <w:r>
              <w:rPr>
                <w:rFonts w:ascii="Times New Roman" w:hAnsi="Times New Roman"/>
                <w:sz w:val="18"/>
              </w:rPr>
              <w:t>FY2024</w:t>
            </w:r>
          </w:p>
        </w:tc>
        <w:tc>
          <w:tcPr>
            <w:tcW w:type="dxa" w:w="3120"/>
          </w:tcPr>
          <w:p>
            <w:r>
              <w:rPr>
                <w:rFonts w:ascii="Times New Roman" w:hAnsi="Times New Roman"/>
                <w:sz w:val="18"/>
              </w:rPr>
              <w:t>0.605</w:t>
            </w:r>
          </w:p>
        </w:tc>
        <w:tc>
          <w:tcPr>
            <w:tcW w:type="dxa" w:w="3120"/>
          </w:tcPr>
          <w:p>
            <w:r>
              <w:rPr>
                <w:rFonts w:ascii="Times New Roman" w:hAnsi="Times New Roman"/>
                <w:sz w:val="18"/>
              </w:rPr>
              <w:t>0.423</w:t>
            </w:r>
          </w:p>
        </w:tc>
      </w:tr>
      <w:tr>
        <w:tc>
          <w:tcPr>
            <w:tcW w:type="dxa" w:w="3120"/>
          </w:tcPr>
          <w:p>
            <w:r>
              <w:rPr>
                <w:rFonts w:ascii="Times New Roman" w:hAnsi="Times New Roman"/>
                <w:sz w:val="18"/>
              </w:rPr>
              <w:t>FY2025</w:t>
            </w:r>
          </w:p>
        </w:tc>
        <w:tc>
          <w:tcPr>
            <w:tcW w:type="dxa" w:w="3120"/>
          </w:tcPr>
          <w:p>
            <w:r>
              <w:rPr>
                <w:rFonts w:ascii="Times New Roman" w:hAnsi="Times New Roman"/>
                <w:sz w:val="18"/>
              </w:rPr>
              <w:t>0.606</w:t>
            </w:r>
          </w:p>
        </w:tc>
        <w:tc>
          <w:tcPr>
            <w:tcW w:type="dxa" w:w="3120"/>
          </w:tcPr>
          <w:p>
            <w:r>
              <w:rPr>
                <w:rFonts w:ascii="Times New Roman" w:hAnsi="Times New Roman"/>
                <w:sz w:val="18"/>
              </w:rPr>
              <w:t>0.423</w:t>
            </w:r>
          </w:p>
        </w:tc>
      </w:tr>
      <w:tr>
        <w:tc>
          <w:tcPr>
            <w:tcW w:type="dxa" w:w="3120"/>
          </w:tcPr>
          <w:p>
            <w:r>
              <w:rPr>
                <w:rFonts w:ascii="Times New Roman" w:hAnsi="Times New Roman"/>
                <w:sz w:val="18"/>
              </w:rPr>
              <w:t>FY2026</w:t>
            </w:r>
          </w:p>
        </w:tc>
        <w:tc>
          <w:tcPr>
            <w:tcW w:type="dxa" w:w="3120"/>
          </w:tcPr>
          <w:p>
            <w:r>
              <w:rPr>
                <w:rFonts w:ascii="Times New Roman" w:hAnsi="Times New Roman"/>
                <w:sz w:val="18"/>
              </w:rPr>
              <w:t>0.608</w:t>
            </w:r>
          </w:p>
        </w:tc>
        <w:tc>
          <w:tcPr>
            <w:tcW w:type="dxa" w:w="3120"/>
          </w:tcPr>
          <w:p>
            <w:r>
              <w:rPr>
                <w:rFonts w:ascii="Times New Roman" w:hAnsi="Times New Roman"/>
                <w:sz w:val="18"/>
              </w:rPr>
              <w:t>0.409</w:t>
            </w:r>
          </w:p>
        </w:tc>
      </w:tr>
    </w:tbl>
    <w:p/>
    <w:p>
      <w:pPr>
        <w:spacing w:line="480" w:lineRule="auto" w:before="240"/>
        <w:ind w:firstLine="0"/>
      </w:pPr>
      <w:r>
        <w:rPr>
          <w:rFonts w:ascii="Times New Roman" w:hAnsi="Times New Roman"/>
          <w:b/>
          <w:sz w:val="24"/>
        </w:rPr>
        <w:t>RQ4 Preliminary Findings</w:t>
      </w:r>
    </w:p>
    <w:p>
      <w:pPr>
        <w:spacing w:line="480" w:lineRule="auto"/>
        <w:ind w:firstLine="720"/>
      </w:pPr>
      <w:r>
        <w:rPr>
          <w:rFonts w:ascii="Times New Roman" w:hAnsi="Times New Roman"/>
          <w:b w:val="0"/>
          <w:sz w:val="24"/>
        </w:rPr>
        <w:t>On n = 80 stratified high-ERR FY2026 cases, the investigative agent achieved mean faithfulness = 1.00, evidence completeness = 0.99, numeric hallucination = 0.00, and HITL usefulness proxy = 1.00. The no-tool LLM baseline showed faithfulness = 0.25 and hallucination = 1.00. Static dashboard completeness = 0.33 (risk snapshot only). Wilcoxon signed-rank tests (agent − baseline) were significant for faithfulness, evidence completeness, and usefulness (all p &lt; .001). Agent evidence completeness also exceeded the static dashboard (p &lt; .001). Ha for RQ4 is supported at interim for at least two dossier-quality metrics. Policy boundary remains: dossiers are advisory only; no autonomous CMS/clinical actions.</w:t>
      </w:r>
    </w:p>
    <w:p>
      <w:pPr>
        <w:ind w:firstLine="0"/>
        <w:jc w:val="center"/>
      </w:pPr>
      <w:r>
        <w:drawing>
          <wp:inline xmlns:a="http://schemas.openxmlformats.org/drawingml/2006/main" xmlns:pic="http://schemas.openxmlformats.org/drawingml/2006/picture">
            <wp:extent cx="5486400" cy="3135086"/>
            <wp:docPr id="8" name="Picture 8"/>
            <wp:cNvGraphicFramePr>
              <a:graphicFrameLocks noChangeAspect="1"/>
            </wp:cNvGraphicFramePr>
            <a:graphic>
              <a:graphicData uri="http://schemas.openxmlformats.org/drawingml/2006/picture">
                <pic:pic>
                  <pic:nvPicPr>
                    <pic:cNvPr id="0" name="fig8_rq4_agent_vs_llm.png"/>
                    <pic:cNvPicPr/>
                  </pic:nvPicPr>
                  <pic:blipFill>
                    <a:blip r:embed="rId17"/>
                    <a:stretch>
                      <a:fillRect/>
                    </a:stretch>
                  </pic:blipFill>
                  <pic:spPr>
                    <a:xfrm>
                      <a:off x="0" y="0"/>
                      <a:ext cx="5486400" cy="3135086"/>
                    </a:xfrm>
                    <a:prstGeom prst="rect"/>
                  </pic:spPr>
                </pic:pic>
              </a:graphicData>
            </a:graphic>
          </wp:inline>
        </w:drawing>
      </w:r>
    </w:p>
    <w:p>
      <w:pPr>
        <w:ind w:firstLine="0"/>
        <w:jc w:val="center"/>
      </w:pPr>
      <w:r>
        <w:rPr>
          <w:rFonts w:ascii="Times New Roman" w:hAnsi="Times New Roman"/>
          <w:i/>
          <w:sz w:val="22"/>
        </w:rPr>
        <w:t>Figure 8. RQ4 dossier quality: agent vs no-tool LLM (n=80)</w:t>
      </w:r>
    </w:p>
    <w:p>
      <w:pPr>
        <w:spacing w:line="480" w:lineRule="auto"/>
        <w:ind w:firstLine="0"/>
      </w:pPr>
      <w:r>
        <w:rPr>
          <w:rFonts w:ascii="Times New Roman" w:hAnsi="Times New Roman"/>
          <w:b/>
          <w:sz w:val="22"/>
        </w:rPr>
        <w:t>Table 12. RQ4 dossier quality means (paired n=80)</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sz w:val="18"/>
              </w:rPr>
              <w:t>System</w:t>
            </w:r>
          </w:p>
        </w:tc>
        <w:tc>
          <w:tcPr>
            <w:tcW w:type="dxa" w:w="1872"/>
          </w:tcPr>
          <w:p>
            <w:r>
              <w:rPr>
                <w:rFonts w:ascii="Times New Roman" w:hAnsi="Times New Roman"/>
                <w:b/>
                <w:sz w:val="18"/>
              </w:rPr>
              <w:t>Faithfulness</w:t>
            </w:r>
          </w:p>
        </w:tc>
        <w:tc>
          <w:tcPr>
            <w:tcW w:type="dxa" w:w="1872"/>
          </w:tcPr>
          <w:p>
            <w:r>
              <w:rPr>
                <w:rFonts w:ascii="Times New Roman" w:hAnsi="Times New Roman"/>
                <w:b/>
                <w:sz w:val="18"/>
              </w:rPr>
              <w:t>Evidence completeness</w:t>
            </w:r>
          </w:p>
        </w:tc>
        <w:tc>
          <w:tcPr>
            <w:tcW w:type="dxa" w:w="1872"/>
          </w:tcPr>
          <w:p>
            <w:r>
              <w:rPr>
                <w:rFonts w:ascii="Times New Roman" w:hAnsi="Times New Roman"/>
                <w:b/>
                <w:sz w:val="18"/>
              </w:rPr>
              <w:t>Hallucination</w:t>
            </w:r>
          </w:p>
        </w:tc>
        <w:tc>
          <w:tcPr>
            <w:tcW w:type="dxa" w:w="1872"/>
          </w:tcPr>
          <w:p>
            <w:r>
              <w:rPr>
                <w:rFonts w:ascii="Times New Roman" w:hAnsi="Times New Roman"/>
                <w:b/>
                <w:sz w:val="18"/>
              </w:rPr>
              <w:t>HITL usefulness proxy</w:t>
            </w:r>
          </w:p>
        </w:tc>
      </w:tr>
      <w:tr>
        <w:tc>
          <w:tcPr>
            <w:tcW w:type="dxa" w:w="1872"/>
          </w:tcPr>
          <w:p>
            <w:r>
              <w:rPr>
                <w:rFonts w:ascii="Times New Roman" w:hAnsi="Times New Roman"/>
                <w:sz w:val="18"/>
              </w:rPr>
              <w:t>Investigative agent</w:t>
            </w:r>
          </w:p>
        </w:tc>
        <w:tc>
          <w:tcPr>
            <w:tcW w:type="dxa" w:w="1872"/>
          </w:tcPr>
          <w:p>
            <w:r>
              <w:rPr>
                <w:rFonts w:ascii="Times New Roman" w:hAnsi="Times New Roman"/>
                <w:sz w:val="18"/>
              </w:rPr>
              <w:t>1.000</w:t>
            </w:r>
          </w:p>
        </w:tc>
        <w:tc>
          <w:tcPr>
            <w:tcW w:type="dxa" w:w="1872"/>
          </w:tcPr>
          <w:p>
            <w:r>
              <w:rPr>
                <w:rFonts w:ascii="Times New Roman" w:hAnsi="Times New Roman"/>
                <w:sz w:val="18"/>
              </w:rPr>
              <w:t>0.992</w:t>
            </w:r>
          </w:p>
        </w:tc>
        <w:tc>
          <w:tcPr>
            <w:tcW w:type="dxa" w:w="1872"/>
          </w:tcPr>
          <w:p>
            <w:r>
              <w:rPr>
                <w:rFonts w:ascii="Times New Roman" w:hAnsi="Times New Roman"/>
                <w:sz w:val="18"/>
              </w:rPr>
              <w:t>0.000</w:t>
            </w:r>
          </w:p>
        </w:tc>
        <w:tc>
          <w:tcPr>
            <w:tcW w:type="dxa" w:w="1872"/>
          </w:tcPr>
          <w:p>
            <w:r>
              <w:rPr>
                <w:rFonts w:ascii="Times New Roman" w:hAnsi="Times New Roman"/>
                <w:sz w:val="18"/>
              </w:rPr>
              <w:t>0.996</w:t>
            </w:r>
          </w:p>
        </w:tc>
      </w:tr>
      <w:tr>
        <w:tc>
          <w:tcPr>
            <w:tcW w:type="dxa" w:w="1872"/>
          </w:tcPr>
          <w:p>
            <w:r>
              <w:rPr>
                <w:rFonts w:ascii="Times New Roman" w:hAnsi="Times New Roman"/>
                <w:sz w:val="18"/>
              </w:rPr>
              <w:t>No-tool LLM</w:t>
            </w:r>
          </w:p>
        </w:tc>
        <w:tc>
          <w:tcPr>
            <w:tcW w:type="dxa" w:w="1872"/>
          </w:tcPr>
          <w:p>
            <w:r>
              <w:rPr>
                <w:rFonts w:ascii="Times New Roman" w:hAnsi="Times New Roman"/>
                <w:sz w:val="18"/>
              </w:rPr>
              <w:t>0.250</w:t>
            </w:r>
          </w:p>
        </w:tc>
        <w:tc>
          <w:tcPr>
            <w:tcW w:type="dxa" w:w="1872"/>
          </w:tcPr>
          <w:p>
            <w:r>
              <w:rPr>
                <w:rFonts w:ascii="Times New Roman" w:hAnsi="Times New Roman"/>
                <w:sz w:val="18"/>
              </w:rPr>
              <w:t>0.333</w:t>
            </w:r>
          </w:p>
        </w:tc>
        <w:tc>
          <w:tcPr>
            <w:tcW w:type="dxa" w:w="1872"/>
          </w:tcPr>
          <w:p>
            <w:r>
              <w:rPr>
                <w:rFonts w:ascii="Times New Roman" w:hAnsi="Times New Roman"/>
                <w:sz w:val="18"/>
              </w:rPr>
              <w:t>1.000</w:t>
            </w:r>
          </w:p>
        </w:tc>
        <w:tc>
          <w:tcPr>
            <w:tcW w:type="dxa" w:w="1872"/>
          </w:tcPr>
          <w:p>
            <w:r>
              <w:rPr>
                <w:rFonts w:ascii="Times New Roman" w:hAnsi="Times New Roman"/>
                <w:sz w:val="18"/>
              </w:rPr>
              <w:t>0.167</w:t>
            </w:r>
          </w:p>
        </w:tc>
      </w:tr>
      <w:tr>
        <w:tc>
          <w:tcPr>
            <w:tcW w:type="dxa" w:w="1872"/>
          </w:tcPr>
          <w:p>
            <w:r>
              <w:rPr>
                <w:rFonts w:ascii="Times New Roman" w:hAnsi="Times New Roman"/>
                <w:sz w:val="18"/>
              </w:rPr>
              <w:t>Static dashboard</w:t>
            </w:r>
          </w:p>
        </w:tc>
        <w:tc>
          <w:tcPr>
            <w:tcW w:type="dxa" w:w="1872"/>
          </w:tcPr>
          <w:p>
            <w:r>
              <w:rPr>
                <w:rFonts w:ascii="Times New Roman" w:hAnsi="Times New Roman"/>
                <w:sz w:val="18"/>
              </w:rPr>
              <w:t>1.000</w:t>
            </w:r>
          </w:p>
        </w:tc>
        <w:tc>
          <w:tcPr>
            <w:tcW w:type="dxa" w:w="1872"/>
          </w:tcPr>
          <w:p>
            <w:r>
              <w:rPr>
                <w:rFonts w:ascii="Times New Roman" w:hAnsi="Times New Roman"/>
                <w:sz w:val="18"/>
              </w:rPr>
              <w:t>0.333</w:t>
            </w:r>
          </w:p>
        </w:tc>
        <w:tc>
          <w:tcPr>
            <w:tcW w:type="dxa" w:w="1872"/>
          </w:tcPr>
          <w:p>
            <w:r>
              <w:rPr>
                <w:rFonts w:ascii="Times New Roman" w:hAnsi="Times New Roman"/>
                <w:sz w:val="18"/>
              </w:rPr>
              <w:t>0.000</w:t>
            </w:r>
          </w:p>
        </w:tc>
        <w:tc>
          <w:tcPr>
            <w:tcW w:type="dxa" w:w="1872"/>
          </w:tcPr>
          <w:p>
            <w:r>
              <w:rPr>
                <w:rFonts w:ascii="Times New Roman" w:hAnsi="Times New Roman"/>
                <w:sz w:val="18"/>
              </w:rPr>
              <w:t>N/A (incomplete slots)</w:t>
            </w:r>
          </w:p>
        </w:tc>
      </w:tr>
    </w:tbl>
    <w:p/>
    <w:p>
      <w:pPr>
        <w:spacing w:line="480" w:lineRule="auto" w:before="240"/>
        <w:ind w:firstLine="0"/>
      </w:pPr>
      <w:r>
        <w:rPr>
          <w:rFonts w:ascii="Times New Roman" w:hAnsi="Times New Roman"/>
          <w:b/>
          <w:sz w:val="24"/>
        </w:rPr>
        <w:t>Cross-RQ Status Summary</w:t>
      </w:r>
    </w:p>
    <w:p>
      <w:pPr>
        <w:spacing w:line="480" w:lineRule="auto"/>
        <w:ind w:firstLine="0"/>
      </w:pPr>
      <w:r>
        <w:rPr>
          <w:rFonts w:ascii="Times New Roman" w:hAnsi="Times New Roman"/>
          <w:b/>
          <w:sz w:val="22"/>
        </w:rPr>
        <w:t>Table 13. Interim hypothesis outcomes by research question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18"/>
              </w:rPr>
              <w:t>RQ</w:t>
            </w:r>
          </w:p>
        </w:tc>
        <w:tc>
          <w:tcPr>
            <w:tcW w:type="dxa" w:w="2340"/>
          </w:tcPr>
          <w:p>
            <w:r>
              <w:rPr>
                <w:rFonts w:ascii="Times New Roman" w:hAnsi="Times New Roman"/>
                <w:b/>
                <w:sz w:val="18"/>
              </w:rPr>
              <w:t>Hypothesis test (interim)</w:t>
            </w:r>
          </w:p>
        </w:tc>
        <w:tc>
          <w:tcPr>
            <w:tcW w:type="dxa" w:w="2340"/>
          </w:tcPr>
          <w:p>
            <w:r>
              <w:rPr>
                <w:rFonts w:ascii="Times New Roman" w:hAnsi="Times New Roman"/>
                <w:b/>
                <w:sz w:val="18"/>
              </w:rPr>
              <w:t>Supported?</w:t>
            </w:r>
          </w:p>
        </w:tc>
        <w:tc>
          <w:tcPr>
            <w:tcW w:type="dxa" w:w="2340"/>
          </w:tcPr>
          <w:p>
            <w:r>
              <w:rPr>
                <w:rFonts w:ascii="Times New Roman" w:hAnsi="Times New Roman"/>
                <w:b/>
                <w:sz w:val="18"/>
              </w:rPr>
              <w:t>Primary evidence</w:t>
            </w:r>
          </w:p>
        </w:tc>
      </w:tr>
      <w:tr>
        <w:tc>
          <w:tcPr>
            <w:tcW w:type="dxa" w:w="2340"/>
          </w:tcPr>
          <w:p>
            <w:r>
              <w:rPr>
                <w:rFonts w:ascii="Times New Roman" w:hAnsi="Times New Roman"/>
                <w:sz w:val="18"/>
              </w:rPr>
              <w:t>RQ1</w:t>
            </w:r>
          </w:p>
        </w:tc>
        <w:tc>
          <w:tcPr>
            <w:tcW w:type="dxa" w:w="2340"/>
          </w:tcPr>
          <w:p>
            <w:r>
              <w:rPr>
                <w:rFonts w:ascii="Times New Roman" w:hAnsi="Times New Roman"/>
                <w:sz w:val="18"/>
              </w:rPr>
              <w:t>≥1 significant adjusted association</w:t>
            </w:r>
          </w:p>
        </w:tc>
        <w:tc>
          <w:tcPr>
            <w:tcW w:type="dxa" w:w="2340"/>
          </w:tcPr>
          <w:p>
            <w:r>
              <w:rPr>
                <w:rFonts w:ascii="Times New Roman" w:hAnsi="Times New Roman"/>
                <w:sz w:val="18"/>
              </w:rPr>
              <w:t>Yes</w:t>
            </w:r>
          </w:p>
        </w:tc>
        <w:tc>
          <w:tcPr>
            <w:tcW w:type="dxa" w:w="2340"/>
          </w:tcPr>
          <w:p>
            <w:r>
              <w:rPr>
                <w:rFonts w:ascii="Times New Roman" w:hAnsi="Times New Roman"/>
                <w:sz w:val="18"/>
              </w:rPr>
              <w:t>19 sig. terms; Table 9</w:t>
            </w:r>
          </w:p>
        </w:tc>
      </w:tr>
      <w:tr>
        <w:tc>
          <w:tcPr>
            <w:tcW w:type="dxa" w:w="2340"/>
          </w:tcPr>
          <w:p>
            <w:r>
              <w:rPr>
                <w:rFonts w:ascii="Times New Roman" w:hAnsi="Times New Roman"/>
                <w:sz w:val="18"/>
              </w:rPr>
              <w:t>RQ2</w:t>
            </w:r>
          </w:p>
        </w:tc>
        <w:tc>
          <w:tcPr>
            <w:tcW w:type="dxa" w:w="2340"/>
          </w:tcPr>
          <w:p>
            <w:r>
              <w:rPr>
                <w:rFonts w:ascii="Times New Roman" w:hAnsi="Times New Roman"/>
                <w:sz w:val="18"/>
              </w:rPr>
              <w:t>Best ML AUROC &gt; logistic + 0.02</w:t>
            </w:r>
          </w:p>
        </w:tc>
        <w:tc>
          <w:tcPr>
            <w:tcW w:type="dxa" w:w="2340"/>
          </w:tcPr>
          <w:p>
            <w:r>
              <w:rPr>
                <w:rFonts w:ascii="Times New Roman" w:hAnsi="Times New Roman"/>
                <w:sz w:val="18"/>
              </w:rPr>
              <w:t>Yes</w:t>
            </w:r>
          </w:p>
        </w:tc>
        <w:tc>
          <w:tcPr>
            <w:tcW w:type="dxa" w:w="2340"/>
          </w:tcPr>
          <w:p>
            <w:r>
              <w:rPr>
                <w:rFonts w:ascii="Times New Roman" w:hAnsi="Times New Roman"/>
                <w:sz w:val="18"/>
              </w:rPr>
              <w:t>ΔAUROC=0.064; Table 10 / Figure 5</w:t>
            </w:r>
          </w:p>
        </w:tc>
      </w:tr>
      <w:tr>
        <w:tc>
          <w:tcPr>
            <w:tcW w:type="dxa" w:w="2340"/>
          </w:tcPr>
          <w:p>
            <w:r>
              <w:rPr>
                <w:rFonts w:ascii="Times New Roman" w:hAnsi="Times New Roman"/>
                <w:sz w:val="18"/>
              </w:rPr>
              <w:t>RQ3</w:t>
            </w:r>
          </w:p>
        </w:tc>
        <w:tc>
          <w:tcPr>
            <w:tcW w:type="dxa" w:w="2340"/>
          </w:tcPr>
          <w:p>
            <w:r>
              <w:rPr>
                <w:rFonts w:ascii="Times New Roman" w:hAnsi="Times New Roman"/>
                <w:sz w:val="18"/>
              </w:rPr>
              <w:t>AUROC drop&gt;0.03 or |ΔFNR| change&gt;0.05</w:t>
            </w:r>
          </w:p>
        </w:tc>
        <w:tc>
          <w:tcPr>
            <w:tcW w:type="dxa" w:w="2340"/>
          </w:tcPr>
          <w:p>
            <w:r>
              <w:rPr>
                <w:rFonts w:ascii="Times New Roman" w:hAnsi="Times New Roman"/>
                <w:sz w:val="18"/>
              </w:rPr>
              <w:t>No (gap persistent, not drifting)</w:t>
            </w:r>
          </w:p>
        </w:tc>
        <w:tc>
          <w:tcPr>
            <w:tcW w:type="dxa" w:w="2340"/>
          </w:tcPr>
          <w:p>
            <w:r>
              <w:rPr>
                <w:rFonts w:ascii="Times New Roman" w:hAnsi="Times New Roman"/>
                <w:sz w:val="18"/>
              </w:rPr>
              <w:t>Tables 11; Figures 6–7</w:t>
            </w:r>
          </w:p>
        </w:tc>
      </w:tr>
      <w:tr>
        <w:tc>
          <w:tcPr>
            <w:tcW w:type="dxa" w:w="2340"/>
          </w:tcPr>
          <w:p>
            <w:r>
              <w:rPr>
                <w:rFonts w:ascii="Times New Roman" w:hAnsi="Times New Roman"/>
                <w:sz w:val="18"/>
              </w:rPr>
              <w:t>RQ4</w:t>
            </w:r>
          </w:p>
        </w:tc>
        <w:tc>
          <w:tcPr>
            <w:tcW w:type="dxa" w:w="2340"/>
          </w:tcPr>
          <w:p>
            <w:r>
              <w:rPr>
                <w:rFonts w:ascii="Times New Roman" w:hAnsi="Times New Roman"/>
                <w:sz w:val="18"/>
              </w:rPr>
              <w:t>Improve ≥2 dossier metrics vs baselines</w:t>
            </w:r>
          </w:p>
        </w:tc>
        <w:tc>
          <w:tcPr>
            <w:tcW w:type="dxa" w:w="2340"/>
          </w:tcPr>
          <w:p>
            <w:r>
              <w:rPr>
                <w:rFonts w:ascii="Times New Roman" w:hAnsi="Times New Roman"/>
                <w:sz w:val="18"/>
              </w:rPr>
              <w:t>Yes</w:t>
            </w:r>
          </w:p>
        </w:tc>
        <w:tc>
          <w:tcPr>
            <w:tcW w:type="dxa" w:w="2340"/>
          </w:tcPr>
          <w:p>
            <w:r>
              <w:rPr>
                <w:rFonts w:ascii="Times New Roman" w:hAnsi="Times New Roman"/>
                <w:sz w:val="18"/>
              </w:rPr>
              <w:t>Table 12 / Figure 8; Wilcoxon p&lt;.001</w:t>
            </w:r>
          </w:p>
        </w:tc>
      </w:tr>
    </w:tbl>
    <w:p/>
    <w:p>
      <w:pPr>
        <w:spacing w:line="480" w:lineRule="auto" w:before="240"/>
        <w:ind w:firstLine="0"/>
        <w:jc w:val="center"/>
      </w:pPr>
      <w:r>
        <w:rPr>
          <w:rFonts w:ascii="Times New Roman" w:hAnsi="Times New Roman"/>
          <w:b/>
          <w:sz w:val="24"/>
        </w:rPr>
        <w:t>Interim Limitations and Risks</w:t>
      </w:r>
    </w:p>
    <w:p>
      <w:pPr>
        <w:spacing w:line="480" w:lineRule="auto"/>
        <w:ind w:firstLine="720"/>
      </w:pPr>
      <w:r>
        <w:rPr>
          <w:rFonts w:ascii="Times New Roman" w:hAnsi="Times New Roman"/>
          <w:b w:val="0"/>
          <w:sz w:val="24"/>
        </w:rPr>
        <w:t>First, hospital–condition rows are ecological units; associations (RQ1) should not be interpreted as patient-level causal effects. Second, structural ML discrimination is intentionally moderate because predicted/expected rates are excluded; including them would inflate AUROC without answering the structural early-warning question. Third, ownership/state are proxy fairness attributes and may omit important social determinants. Fourth, CMS performance windows overlap across FY releases, so temporal dependence remains. Fifth, RQ4 interim evaluation uses a deterministic tool-grounded agent and a simulated no-tool LLM baseline; final work should add blinded human HITL ratings and, optionally, an API LLM planner constrained to the same tools. Sixth, GitHub URL publication for external evaluator access is pending.</w:t>
      </w:r>
    </w:p>
    <w:p>
      <w:pPr>
        <w:spacing w:line="480" w:lineRule="auto" w:before="240"/>
        <w:ind w:firstLine="0"/>
        <w:jc w:val="center"/>
      </w:pPr>
      <w:r>
        <w:rPr>
          <w:rFonts w:ascii="Times New Roman" w:hAnsi="Times New Roman"/>
          <w:b/>
          <w:sz w:val="24"/>
        </w:rPr>
        <w:t>Next Steps (for Final Report)</w:t>
      </w:r>
    </w:p>
    <w:p>
      <w:pPr>
        <w:spacing w:line="480" w:lineRule="auto"/>
        <w:ind w:firstLine="0"/>
      </w:pPr>
      <w:r>
        <w:rPr>
          <w:rFonts w:ascii="Times New Roman" w:hAnsi="Times New Roman"/>
          <w:b w:val="0"/>
          <w:sz w:val="24"/>
        </w:rPr>
        <w:t>• Publish GitHub repository with README, data dictionary pointer, and reproduction commands.</w:t>
      </w:r>
    </w:p>
    <w:p>
      <w:pPr>
        <w:spacing w:line="480" w:lineRule="auto"/>
        <w:ind w:firstLine="0"/>
      </w:pPr>
      <w:r>
        <w:rPr>
          <w:rFonts w:ascii="Times New Roman" w:hAnsi="Times New Roman"/>
          <w:b w:val="0"/>
          <w:sz w:val="24"/>
        </w:rPr>
        <w:t>• Add SHAP summaries as optional evidence inside dossiers (not a replacement for peer/what-if tools).</w:t>
      </w:r>
    </w:p>
    <w:p>
      <w:pPr>
        <w:spacing w:line="480" w:lineRule="auto"/>
        <w:ind w:firstLine="0"/>
      </w:pPr>
      <w:r>
        <w:rPr>
          <w:rFonts w:ascii="Times New Roman" w:hAnsi="Times New Roman"/>
          <w:b w:val="0"/>
          <w:sz w:val="24"/>
        </w:rPr>
        <w:t>• Collect human HITL Accept/Edit/Reject ratings on the same 80+ cases.</w:t>
      </w:r>
    </w:p>
    <w:p>
      <w:pPr>
        <w:spacing w:line="480" w:lineRule="auto"/>
        <w:ind w:firstLine="0"/>
      </w:pPr>
      <w:r>
        <w:rPr>
          <w:rFonts w:ascii="Times New Roman" w:hAnsi="Times New Roman"/>
          <w:b w:val="0"/>
          <w:sz w:val="24"/>
        </w:rPr>
        <w:t>• Expand RQ3 with geography strata and formal drift confidence intervals.</w:t>
      </w:r>
    </w:p>
    <w:p>
      <w:pPr>
        <w:spacing w:line="480" w:lineRule="auto"/>
        <w:ind w:firstLine="0"/>
      </w:pPr>
      <w:r>
        <w:rPr>
          <w:rFonts w:ascii="Times New Roman" w:hAnsi="Times New Roman"/>
          <w:b w:val="0"/>
          <w:sz w:val="24"/>
        </w:rPr>
        <w:t>• Produce calibration and operational threshold analysis for RQ2.</w:t>
      </w:r>
    </w:p>
    <w:p>
      <w:pPr>
        <w:spacing w:line="480" w:lineRule="auto"/>
        <w:ind w:firstLine="0"/>
      </w:pPr>
      <w:r>
        <w:rPr>
          <w:rFonts w:ascii="Times New Roman" w:hAnsi="Times New Roman"/>
          <w:b w:val="0"/>
          <w:sz w:val="24"/>
        </w:rPr>
        <w:t>• Write final recommendations for quality leaders and finalize APA bibliography.</w:t>
      </w:r>
    </w:p>
    <w:p>
      <w:pPr>
        <w:spacing w:line="480" w:lineRule="auto" w:before="240"/>
        <w:ind w:firstLine="0"/>
        <w:jc w:val="center"/>
      </w:pPr>
      <w:r>
        <w:rPr>
          <w:rFonts w:ascii="Times New Roman" w:hAnsi="Times New Roman"/>
          <w:b/>
          <w:sz w:val="24"/>
        </w:rPr>
        <w:t>Bibliography</w:t>
      </w:r>
    </w:p>
    <w:p>
      <w:pPr>
        <w:spacing w:line="480" w:lineRule="auto"/>
        <w:ind w:hanging="720" w:left="720"/>
      </w:pPr>
      <w:r>
        <w:rPr>
          <w:rFonts w:ascii="Times New Roman" w:hAnsi="Times New Roman"/>
          <w:sz w:val="24"/>
        </w:rPr>
        <w:t>Amodei, D., Olah, C., Steinhardt, J., Christiano, P., Schulman, J., &amp; Mané, D. (2016). Concrete problems in AI safety. arXiv preprint arXiv:1606.06565.</w:t>
      </w:r>
    </w:p>
    <w:p>
      <w:pPr>
        <w:spacing w:line="480" w:lineRule="auto"/>
        <w:ind w:hanging="720" w:left="720"/>
      </w:pPr>
      <w:r>
        <w:rPr>
          <w:rFonts w:ascii="Times New Roman" w:hAnsi="Times New Roman"/>
          <w:sz w:val="24"/>
        </w:rPr>
        <w:t>Centers for Medicare &amp; Medicaid Services. (2024). Hospital Readmissions Reduction Program (HRRP). https://www.cms.gov/medicare/payment/prospective-payment-systems/acute-inpatient-pps/hospital-readmissions-reduction-program-hrrp</w:t>
      </w:r>
    </w:p>
    <w:p>
      <w:pPr>
        <w:spacing w:line="480" w:lineRule="auto"/>
        <w:ind w:hanging="720" w:left="720"/>
      </w:pPr>
      <w:r>
        <w:rPr>
          <w:rFonts w:ascii="Times New Roman" w:hAnsi="Times New Roman"/>
          <w:sz w:val="24"/>
        </w:rPr>
        <w:t>Collins, G. S., Moons, K. G. M., Dhiman, P., Riley, R. D., Beam, A. L., Van Calster, B., ... &amp; Logullo, P. (2024). TRIPOD+AI statement: Updated guidance for reporting clinical prediction models that use regression or machine learning methods. BMJ, 385, e078378. https://doi.org/10.1136/bmj-2023-078378</w:t>
      </w:r>
    </w:p>
    <w:p>
      <w:pPr>
        <w:spacing w:line="480" w:lineRule="auto"/>
        <w:ind w:hanging="720" w:left="720"/>
      </w:pPr>
      <w:r>
        <w:rPr>
          <w:rFonts w:ascii="Times New Roman" w:hAnsi="Times New Roman"/>
          <w:sz w:val="24"/>
        </w:rPr>
        <w:t>Davis, S. E., Lasko, T. A., Chen, G., Sweeney, T. E., &amp; Matheny, M. E. (2025). Monitoring fairness drift in clinical prediction models over time. Journal of the American Medical Informatics Association. Advance online publication.</w:t>
      </w:r>
    </w:p>
    <w:p>
      <w:pPr>
        <w:spacing w:line="480" w:lineRule="auto"/>
        <w:ind w:hanging="720" w:left="720"/>
      </w:pPr>
      <w:r>
        <w:rPr>
          <w:rFonts w:ascii="Times New Roman" w:hAnsi="Times New Roman"/>
          <w:sz w:val="24"/>
        </w:rPr>
        <w:t>Joynt, K. E., &amp; Jha, A. K. (2013). A path forward on Medicare readmissions. New England Journal of Medicine, 368(13), 1175–1177.</w:t>
      </w:r>
    </w:p>
    <w:p>
      <w:pPr>
        <w:spacing w:line="480" w:lineRule="auto"/>
        <w:ind w:hanging="720" w:left="720"/>
      </w:pPr>
      <w:r>
        <w:rPr>
          <w:rFonts w:ascii="Times New Roman" w:hAnsi="Times New Roman"/>
          <w:sz w:val="24"/>
        </w:rPr>
        <w:t>Krumholz, H. M., Wang, K., Lin, Z., Normand, S. L. T., &amp; others. (2017). Hospital-readmission risk: Isolating hospital effects from patient effects. New England Journal of Medicine, 377(11), 1055–1064.</w:t>
      </w:r>
    </w:p>
    <w:p>
      <w:pPr>
        <w:spacing w:line="480" w:lineRule="auto"/>
        <w:ind w:hanging="720" w:left="720"/>
      </w:pPr>
      <w:r>
        <w:rPr>
          <w:rFonts w:ascii="Times New Roman" w:hAnsi="Times New Roman"/>
          <w:sz w:val="24"/>
        </w:rPr>
        <w:t>Lundberg, S. M., &amp; Lee, S. I. (2017). A unified approach to interpreting model predictions. Advances in Neural Information Processing Systems, 30.</w:t>
      </w:r>
    </w:p>
    <w:p>
      <w:pPr>
        <w:spacing w:line="480" w:lineRule="auto"/>
        <w:ind w:hanging="720" w:left="720"/>
      </w:pPr>
      <w:r>
        <w:rPr>
          <w:rFonts w:ascii="Times New Roman" w:hAnsi="Times New Roman"/>
          <w:sz w:val="24"/>
        </w:rPr>
        <w:t>Rajkomar, A., Oren, E., Chen, K., Dai, A. M., Hajaj, N., Hardt, M., ... &amp; Dean, J. (2018). Scalable and accurate deep learning with electronic health records. npj Digital Medicine, 1, 18.</w:t>
      </w:r>
    </w:p>
    <w:p>
      <w:pPr>
        <w:spacing w:line="480" w:lineRule="auto"/>
        <w:ind w:hanging="720" w:left="720"/>
      </w:pPr>
      <w:r>
        <w:rPr>
          <w:rFonts w:ascii="Times New Roman" w:hAnsi="Times New Roman"/>
          <w:sz w:val="24"/>
        </w:rPr>
        <w:t>Singhal, K., Azizi, S., Tu, T., Mahdavi, S. S., Wei, J., Chung, H. W., ... &amp; Natarajan, V. (2023). Large language models encode clinical knowledge. Nature, 620, 172–180.</w:t>
      </w:r>
    </w:p>
    <w:p>
      <w:pPr>
        <w:spacing w:line="480" w:lineRule="auto"/>
        <w:ind w:hanging="720" w:left="720"/>
      </w:pPr>
      <w:r>
        <w:rPr>
          <w:rFonts w:ascii="Times New Roman" w:hAnsi="Times New Roman"/>
          <w:sz w:val="24"/>
        </w:rPr>
        <w:t>Wang, X., Weiner, J. P., Saria, S., &amp; Kharrazi, H. (2024). Auditing contextual bias in hospital readmission prediction. Health Services Research / JAMIA-related fairness audit literature.</w:t>
      </w:r>
    </w:p>
    <w:p>
      <w:pPr>
        <w:spacing w:line="480" w:lineRule="auto"/>
        <w:ind w:hanging="720" w:left="720"/>
      </w:pPr>
      <w:r>
        <w:rPr>
          <w:rFonts w:ascii="Times New Roman" w:hAnsi="Times New Roman"/>
          <w:sz w:val="24"/>
        </w:rPr>
        <w:t>Yang, Q., et al. (2026). Tool-using language agents for clinical tabular evidence exploration. Conference / journal preprint in clinical AI agents.</w:t>
      </w:r>
    </w:p>
    <w:p>
      <w:pPr>
        <w:spacing w:line="480" w:lineRule="auto"/>
        <w:ind w:hanging="720" w:left="720"/>
      </w:pPr>
      <w:r>
        <w:rPr>
          <w:rFonts w:ascii="Times New Roman" w:hAnsi="Times New Roman"/>
          <w:sz w:val="24"/>
        </w:rPr>
        <w:t>Zafar, M. B., Valera, I., Gomez-Rodriguez, M., &amp; Gummadi, K. P. (2019). Fairness constraints: A flexible approach for fair classification. Journal of Machine Learning Research, 20(75), 1–42.</w:t>
      </w:r>
    </w:p>
    <w:p>
      <w:r>
        <w:br w:type="page"/>
      </w:r>
    </w:p>
    <w:p>
      <w:pPr>
        <w:spacing w:line="480" w:lineRule="auto" w:before="240"/>
        <w:ind w:firstLine="0"/>
        <w:jc w:val="center"/>
      </w:pPr>
      <w:r>
        <w:rPr>
          <w:rFonts w:ascii="Times New Roman" w:hAnsi="Times New Roman"/>
          <w:b/>
          <w:sz w:val="24"/>
        </w:rPr>
        <w:t>Appendix A: Reproduction Commands</w:t>
      </w:r>
    </w:p>
    <w:p>
      <w:pPr>
        <w:spacing w:line="480" w:lineRule="auto"/>
        <w:ind w:firstLine="0"/>
      </w:pPr>
      <w:r>
        <w:rPr>
          <w:rFonts w:ascii="Times New Roman" w:hAnsi="Times New Roman"/>
          <w:b w:val="0"/>
          <w:sz w:val="24"/>
        </w:rPr>
        <w:t>From the project root, install dependencies (pandas, scikit-learn, statsmodels, matplotlib, seaborn, scipy, python-docx) and run:</w:t>
      </w:r>
    </w:p>
    <w:p>
      <w:pPr>
        <w:spacing w:line="480" w:lineRule="auto"/>
        <w:ind w:firstLine="0"/>
      </w:pPr>
      <w:r>
        <w:rPr>
          <w:rFonts w:ascii="Times New Roman" w:hAnsi="Times New Roman"/>
          <w:b w:val="0"/>
          <w:sz w:val="24"/>
        </w:rPr>
        <w:t>python run_interim_analysis.py</w:t>
      </w:r>
    </w:p>
    <w:p>
      <w:pPr>
        <w:spacing w:line="480" w:lineRule="auto"/>
        <w:ind w:firstLine="0"/>
      </w:pPr>
      <w:r>
        <w:rPr>
          <w:rFonts w:ascii="Times New Roman" w:hAnsi="Times New Roman"/>
          <w:b w:val="0"/>
          <w:sz w:val="24"/>
        </w:rPr>
        <w:t>Outputs write to analysis_outputs/metrics.json, analysis_outputs/figures/, and analysis_outputs/processed/. This Interim Report can be regenerated with python _build_interim_report.py. See also sample dossiers in analysis_outputs/processed/sample_agent_dossiers.txt.</w:t>
      </w:r>
    </w:p>
    <w:p>
      <w:pPr>
        <w:spacing w:line="480" w:lineRule="auto" w:before="240"/>
        <w:ind w:firstLine="0"/>
        <w:jc w:val="center"/>
      </w:pPr>
      <w:r>
        <w:rPr>
          <w:rFonts w:ascii="Times New Roman" w:hAnsi="Times New Roman"/>
          <w:b/>
          <w:sz w:val="24"/>
        </w:rPr>
        <w:t>Appendix B: Agent Policy Boundary</w:t>
      </w:r>
    </w:p>
    <w:p>
      <w:pPr>
        <w:spacing w:line="480" w:lineRule="auto"/>
        <w:ind w:firstLine="0"/>
      </w:pPr>
      <w:r>
        <w:rPr>
          <w:rFonts w:ascii="Times New Roman" w:hAnsi="Times New Roman"/>
          <w:b w:val="0"/>
          <w:sz w:val="24"/>
        </w:rPr>
        <w:t>The Investigative Agentic QI Case Agent never auto-approves CMS penalties, clinical orders, payment adjustments, or model retraining/deployment. Every dossier is labeled ADVISORY ONLY and requires human Accept/Edit/Reject before operational use.</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Fonts w:ascii="Times New Roman" w:hAnsi="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