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4F3F" w14:textId="77777777" w:rsidR="00C65D73" w:rsidRDefault="00C65D73" w:rsidP="00C65D73">
      <w:pPr>
        <w:jc w:val="both"/>
        <w:rPr>
          <w:rFonts w:ascii="Times New Roman" w:hAnsi="Times New Roman" w:cs="Times New Roman"/>
          <w:b/>
        </w:rPr>
      </w:pPr>
      <w:r w:rsidRPr="00186172">
        <w:rPr>
          <w:rFonts w:ascii="Times New Roman" w:hAnsi="Times New Roman" w:cs="Times New Roman"/>
          <w:b/>
        </w:rPr>
        <w:t>Title:</w:t>
      </w:r>
    </w:p>
    <w:p w14:paraId="3C01FDBA" w14:textId="77777777" w:rsidR="00C65D73" w:rsidRDefault="00C65D73" w:rsidP="00C65D7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Reirradiation S</w:t>
      </w:r>
      <w:r w:rsidR="00235450">
        <w:rPr>
          <w:rFonts w:ascii="Times New Roman" w:hAnsi="Times New Roman" w:cs="Times New Roman"/>
          <w:b/>
        </w:rPr>
        <w:t xml:space="preserve">tereotactic </w:t>
      </w:r>
      <w:r>
        <w:rPr>
          <w:rFonts w:ascii="Times New Roman" w:hAnsi="Times New Roman" w:cs="Times New Roman"/>
          <w:b/>
        </w:rPr>
        <w:t>B</w:t>
      </w:r>
      <w:r w:rsidR="00235450">
        <w:rPr>
          <w:rFonts w:ascii="Times New Roman" w:hAnsi="Times New Roman" w:cs="Times New Roman"/>
          <w:b/>
        </w:rPr>
        <w:t xml:space="preserve">ody </w:t>
      </w:r>
      <w:r>
        <w:rPr>
          <w:rFonts w:ascii="Times New Roman" w:hAnsi="Times New Roman" w:cs="Times New Roman"/>
          <w:b/>
        </w:rPr>
        <w:t>R</w:t>
      </w:r>
      <w:r w:rsidR="00235450">
        <w:rPr>
          <w:rFonts w:ascii="Times New Roman" w:hAnsi="Times New Roman" w:cs="Times New Roman"/>
          <w:b/>
        </w:rPr>
        <w:t>adiotherapy</w:t>
      </w:r>
      <w:r w:rsidR="00254C06">
        <w:rPr>
          <w:rFonts w:ascii="Times New Roman" w:hAnsi="Times New Roman" w:cs="Times New Roman"/>
          <w:b/>
        </w:rPr>
        <w:t xml:space="preserve"> for </w:t>
      </w:r>
      <w:r>
        <w:rPr>
          <w:rFonts w:ascii="Times New Roman" w:hAnsi="Times New Roman" w:cs="Times New Roman"/>
          <w:b/>
        </w:rPr>
        <w:t>spine metastases from hepatocellular carcinoma: “Salvage the Bones</w:t>
      </w:r>
      <w:r w:rsidR="00C92C65">
        <w:rPr>
          <w:rFonts w:ascii="Times New Roman" w:hAnsi="Times New Roman" w:cs="Times New Roman"/>
          <w:b/>
        </w:rPr>
        <w:t>”</w:t>
      </w:r>
    </w:p>
    <w:p w14:paraId="336F9A3E" w14:textId="77777777" w:rsidR="00C65D73" w:rsidRDefault="00C65D73" w:rsidP="00A85479">
      <w:pPr>
        <w:jc w:val="both"/>
        <w:rPr>
          <w:rFonts w:ascii="Times New Roman" w:hAnsi="Times New Roman" w:cs="Times New Roman"/>
          <w:b/>
          <w:bCs/>
        </w:rPr>
      </w:pPr>
    </w:p>
    <w:p w14:paraId="5B7D15E9" w14:textId="77777777" w:rsidR="00186172" w:rsidRDefault="004D16AC" w:rsidP="00A85479">
      <w:pPr>
        <w:jc w:val="both"/>
        <w:rPr>
          <w:rFonts w:ascii="Times New Roman" w:hAnsi="Times New Roman" w:cs="Times New Roman"/>
          <w:b/>
          <w:bCs/>
        </w:rPr>
      </w:pPr>
      <w:r w:rsidRPr="004D16AC">
        <w:rPr>
          <w:rFonts w:ascii="Times New Roman" w:hAnsi="Times New Roman" w:cs="Times New Roman"/>
          <w:b/>
          <w:bCs/>
        </w:rPr>
        <w:t>Abstract</w:t>
      </w:r>
    </w:p>
    <w:p w14:paraId="68BE803B" w14:textId="4A841BFD" w:rsidR="005E1939" w:rsidRPr="0055456B" w:rsidRDefault="005E1939" w:rsidP="00A85479">
      <w:pPr>
        <w:jc w:val="both"/>
        <w:rPr>
          <w:rFonts w:ascii="Times New Roman" w:hAnsi="Times New Roman" w:cs="Times New Roman"/>
        </w:rPr>
      </w:pPr>
      <w:r w:rsidRPr="0055456B">
        <w:rPr>
          <w:rFonts w:ascii="Times New Roman" w:hAnsi="Times New Roman" w:cs="Times New Roman"/>
        </w:rPr>
        <w:t>Modern radiotherapy machines with refinements in planning software and image</w:t>
      </w:r>
      <w:r w:rsidR="00A70D3F" w:rsidRPr="0055456B">
        <w:rPr>
          <w:rFonts w:ascii="Times New Roman" w:hAnsi="Times New Roman" w:cs="Times New Roman"/>
        </w:rPr>
        <w:t>-</w:t>
      </w:r>
      <w:r w:rsidR="00111DD0" w:rsidRPr="0055456B">
        <w:rPr>
          <w:rFonts w:ascii="Times New Roman" w:hAnsi="Times New Roman" w:cs="Times New Roman"/>
        </w:rPr>
        <w:t>guided apparatuses</w:t>
      </w:r>
      <w:r w:rsidR="00A70D3F" w:rsidRPr="0055456B">
        <w:rPr>
          <w:rFonts w:ascii="Times New Roman" w:hAnsi="Times New Roman" w:cs="Times New Roman"/>
        </w:rPr>
        <w:t xml:space="preserve">, </w:t>
      </w:r>
      <w:r w:rsidRPr="0055456B">
        <w:rPr>
          <w:rFonts w:ascii="Times New Roman" w:hAnsi="Times New Roman" w:cs="Times New Roman"/>
        </w:rPr>
        <w:t>ha</w:t>
      </w:r>
      <w:r w:rsidR="00111DD0" w:rsidRPr="0055456B">
        <w:rPr>
          <w:rFonts w:ascii="Times New Roman" w:hAnsi="Times New Roman" w:cs="Times New Roman"/>
        </w:rPr>
        <w:t>ve</w:t>
      </w:r>
      <w:r w:rsidRPr="0055456B">
        <w:rPr>
          <w:rFonts w:ascii="Times New Roman" w:hAnsi="Times New Roman" w:cs="Times New Roman"/>
        </w:rPr>
        <w:t xml:space="preserve"> made Stereotactic body radiotherapy</w:t>
      </w:r>
      <w:r w:rsidR="00A70D3F" w:rsidRPr="0055456B">
        <w:rPr>
          <w:rFonts w:ascii="Times New Roman" w:hAnsi="Times New Roman" w:cs="Times New Roman"/>
        </w:rPr>
        <w:t xml:space="preserve"> (SBRT) more widely available a</w:t>
      </w:r>
      <w:r w:rsidRPr="0055456B">
        <w:rPr>
          <w:rFonts w:ascii="Times New Roman" w:hAnsi="Times New Roman" w:cs="Times New Roman"/>
        </w:rPr>
        <w:t xml:space="preserve">s an </w:t>
      </w:r>
      <w:r w:rsidR="00111DD0" w:rsidRPr="0055456B">
        <w:rPr>
          <w:rFonts w:ascii="Times New Roman" w:hAnsi="Times New Roman" w:cs="Times New Roman"/>
        </w:rPr>
        <w:t>effective tool</w:t>
      </w:r>
      <w:r w:rsidRPr="0055456B">
        <w:rPr>
          <w:rFonts w:ascii="Times New Roman" w:hAnsi="Times New Roman" w:cs="Times New Roman"/>
        </w:rPr>
        <w:t xml:space="preserve"> in the management of spine metastases.</w:t>
      </w:r>
      <w:r w:rsidR="00A70D3F" w:rsidRPr="0055456B">
        <w:rPr>
          <w:rFonts w:ascii="Times New Roman" w:hAnsi="Times New Roman" w:cs="Times New Roman"/>
        </w:rPr>
        <w:t xml:space="preserve"> </w:t>
      </w:r>
      <w:r w:rsidR="00F05960" w:rsidRPr="0055456B">
        <w:rPr>
          <w:rFonts w:ascii="Times New Roman" w:hAnsi="Times New Roman" w:cs="Times New Roman"/>
        </w:rPr>
        <w:t xml:space="preserve">In conventional palliative radiotherapy the aim has traditionally been pain relief and </w:t>
      </w:r>
      <w:r w:rsidR="00D72683" w:rsidRPr="0055456B">
        <w:rPr>
          <w:rFonts w:ascii="Times New Roman" w:hAnsi="Times New Roman" w:cs="Times New Roman"/>
        </w:rPr>
        <w:t>short-term</w:t>
      </w:r>
      <w:r w:rsidR="005E4393" w:rsidRPr="0055456B">
        <w:rPr>
          <w:rFonts w:ascii="Times New Roman" w:hAnsi="Times New Roman" w:cs="Times New Roman"/>
        </w:rPr>
        <w:t xml:space="preserve"> local control. </w:t>
      </w:r>
      <w:r w:rsidR="00F05960" w:rsidRPr="0055456B">
        <w:rPr>
          <w:rFonts w:ascii="Times New Roman" w:hAnsi="Times New Roman" w:cs="Times New Roman"/>
        </w:rPr>
        <w:t xml:space="preserve"> </w:t>
      </w:r>
      <w:r w:rsidR="00A70D3F" w:rsidRPr="0055456B">
        <w:rPr>
          <w:rFonts w:ascii="Times New Roman" w:hAnsi="Times New Roman" w:cs="Times New Roman"/>
        </w:rPr>
        <w:t>In</w:t>
      </w:r>
      <w:r w:rsidR="005E4393" w:rsidRPr="0055456B">
        <w:rPr>
          <w:rFonts w:ascii="Times New Roman" w:hAnsi="Times New Roman" w:cs="Times New Roman"/>
        </w:rPr>
        <w:t xml:space="preserve"> contrast</w:t>
      </w:r>
      <w:r w:rsidR="0089787E" w:rsidRPr="0055456B">
        <w:rPr>
          <w:rFonts w:ascii="Times New Roman" w:hAnsi="Times New Roman" w:cs="Times New Roman"/>
        </w:rPr>
        <w:t>, SBRT</w:t>
      </w:r>
      <w:r w:rsidR="00A70D3F" w:rsidRPr="0055456B">
        <w:rPr>
          <w:rFonts w:ascii="Times New Roman" w:hAnsi="Times New Roman" w:cs="Times New Roman"/>
        </w:rPr>
        <w:t xml:space="preserve"> </w:t>
      </w:r>
      <w:r w:rsidR="005E4393" w:rsidRPr="0055456B">
        <w:rPr>
          <w:rFonts w:ascii="Times New Roman" w:hAnsi="Times New Roman" w:cs="Times New Roman"/>
        </w:rPr>
        <w:t>aims to deliver an ablative dose to enhance local control</w:t>
      </w:r>
      <w:r w:rsidR="00111DD0" w:rsidRPr="0055456B">
        <w:rPr>
          <w:rFonts w:ascii="Times New Roman" w:hAnsi="Times New Roman" w:cs="Times New Roman"/>
        </w:rPr>
        <w:t xml:space="preserve"> in a smaller number of fractions while sparing the organs at risk (OAR), especially the spinal cord.</w:t>
      </w:r>
      <w:r w:rsidR="0089787E" w:rsidRPr="0055456B">
        <w:rPr>
          <w:rFonts w:ascii="Times New Roman" w:hAnsi="Times New Roman" w:cs="Times New Roman"/>
        </w:rPr>
        <w:t xml:space="preserve"> Recently, trials</w:t>
      </w:r>
      <w:r w:rsidR="004E5B0C" w:rsidRPr="0055456B">
        <w:rPr>
          <w:rFonts w:ascii="Times New Roman" w:hAnsi="Times New Roman" w:cs="Times New Roman"/>
        </w:rPr>
        <w:t xml:space="preserve"> have asserted the role of spine SBRT as </w:t>
      </w:r>
      <w:r w:rsidR="00084BB4" w:rsidRPr="0055456B">
        <w:rPr>
          <w:rFonts w:ascii="Times New Roman" w:hAnsi="Times New Roman" w:cs="Times New Roman"/>
        </w:rPr>
        <w:t xml:space="preserve">an </w:t>
      </w:r>
      <w:r w:rsidR="004E5B0C" w:rsidRPr="0055456B">
        <w:rPr>
          <w:rFonts w:ascii="Times New Roman" w:hAnsi="Times New Roman" w:cs="Times New Roman"/>
        </w:rPr>
        <w:t xml:space="preserve">effective modality for pain </w:t>
      </w:r>
      <w:r w:rsidR="0055456B" w:rsidRPr="0055456B">
        <w:rPr>
          <w:rFonts w:ascii="Times New Roman" w:hAnsi="Times New Roman" w:cs="Times New Roman"/>
        </w:rPr>
        <w:t>relief in</w:t>
      </w:r>
      <w:r w:rsidR="00084BB4" w:rsidRPr="0055456B">
        <w:rPr>
          <w:rFonts w:ascii="Times New Roman" w:hAnsi="Times New Roman" w:cs="Times New Roman"/>
        </w:rPr>
        <w:t xml:space="preserve"> addition to </w:t>
      </w:r>
      <w:r w:rsidR="004E5B0C" w:rsidRPr="0055456B">
        <w:rPr>
          <w:rFonts w:ascii="Times New Roman" w:hAnsi="Times New Roman" w:cs="Times New Roman"/>
        </w:rPr>
        <w:t xml:space="preserve">durable local </w:t>
      </w:r>
      <w:r w:rsidR="0055456B" w:rsidRPr="0055456B">
        <w:rPr>
          <w:rFonts w:ascii="Times New Roman" w:hAnsi="Times New Roman" w:cs="Times New Roman"/>
        </w:rPr>
        <w:t>control.</w:t>
      </w:r>
      <w:r w:rsidR="004E5B0C" w:rsidRPr="0055456B">
        <w:rPr>
          <w:rFonts w:ascii="Times New Roman" w:hAnsi="Times New Roman" w:cs="Times New Roman"/>
        </w:rPr>
        <w:t xml:space="preserve">  The quality of evidence for spine SBRT data is maturing, </w:t>
      </w:r>
      <w:r w:rsidR="0089787E" w:rsidRPr="0055456B">
        <w:rPr>
          <w:rFonts w:ascii="Times New Roman" w:hAnsi="Times New Roman" w:cs="Times New Roman"/>
        </w:rPr>
        <w:t xml:space="preserve">while </w:t>
      </w:r>
      <w:r w:rsidR="00254166">
        <w:rPr>
          <w:rFonts w:ascii="Times New Roman" w:hAnsi="Times New Roman" w:cs="Times New Roman"/>
        </w:rPr>
        <w:t>prospective published trials</w:t>
      </w:r>
      <w:r w:rsidR="004E5B0C" w:rsidRPr="0055456B">
        <w:rPr>
          <w:rFonts w:ascii="Times New Roman" w:hAnsi="Times New Roman" w:cs="Times New Roman"/>
        </w:rPr>
        <w:t xml:space="preserve"> on re-irradiation SBRT in spine remains sparse.  The purpose of the present case report is to share the challenges faced </w:t>
      </w:r>
      <w:r w:rsidR="001A6B3A" w:rsidRPr="0055456B">
        <w:rPr>
          <w:rFonts w:ascii="Times New Roman" w:hAnsi="Times New Roman" w:cs="Times New Roman"/>
        </w:rPr>
        <w:t xml:space="preserve">while salvaging a dorsal spine metastasis </w:t>
      </w:r>
      <w:r w:rsidR="00C65D73" w:rsidRPr="0055456B">
        <w:rPr>
          <w:rFonts w:ascii="Times New Roman" w:hAnsi="Times New Roman" w:cs="Times New Roman"/>
        </w:rPr>
        <w:t xml:space="preserve">and </w:t>
      </w:r>
      <w:r w:rsidR="0089787E" w:rsidRPr="0055456B">
        <w:rPr>
          <w:rFonts w:ascii="Times New Roman" w:hAnsi="Times New Roman" w:cs="Times New Roman"/>
        </w:rPr>
        <w:t xml:space="preserve">ablating </w:t>
      </w:r>
      <w:r w:rsidR="00C90919" w:rsidRPr="0055456B">
        <w:rPr>
          <w:rFonts w:ascii="Times New Roman" w:hAnsi="Times New Roman" w:cs="Times New Roman"/>
        </w:rPr>
        <w:t xml:space="preserve">a new </w:t>
      </w:r>
      <w:r w:rsidR="0089787E" w:rsidRPr="0055456B">
        <w:rPr>
          <w:rFonts w:ascii="Times New Roman" w:hAnsi="Times New Roman" w:cs="Times New Roman"/>
        </w:rPr>
        <w:t>right adrenal metastatic lesion in close proximity of the transplanted Liver.</w:t>
      </w:r>
      <w:r w:rsidR="00C5329D" w:rsidRPr="0055456B">
        <w:rPr>
          <w:rFonts w:ascii="Times New Roman" w:hAnsi="Times New Roman" w:cs="Times New Roman"/>
        </w:rPr>
        <w:t xml:space="preserve"> </w:t>
      </w:r>
      <w:r w:rsidR="0089787E" w:rsidRPr="0055456B">
        <w:rPr>
          <w:rFonts w:ascii="Times New Roman" w:hAnsi="Times New Roman" w:cs="Times New Roman"/>
        </w:rPr>
        <w:t xml:space="preserve"> </w:t>
      </w:r>
    </w:p>
    <w:p w14:paraId="6F4A498C" w14:textId="77777777" w:rsidR="005E1939" w:rsidRDefault="007034C2" w:rsidP="00A8547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3A2BB5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="005E1939">
        <w:rPr>
          <w:rFonts w:ascii="Times New Roman" w:hAnsi="Times New Roman" w:cs="Times New Roman"/>
          <w:b/>
          <w:bCs/>
        </w:rPr>
        <w:t>Introduction</w:t>
      </w:r>
    </w:p>
    <w:p w14:paraId="0FF47234" w14:textId="262ED897" w:rsidR="00A85479" w:rsidRPr="00A85479" w:rsidRDefault="00A85479" w:rsidP="00A85479">
      <w:pPr>
        <w:jc w:val="both"/>
        <w:rPr>
          <w:rFonts w:ascii="Times New Roman" w:hAnsi="Times New Roman" w:cs="Times New Roman"/>
        </w:rPr>
      </w:pPr>
      <w:r w:rsidRPr="00A85479">
        <w:rPr>
          <w:rFonts w:ascii="Times New Roman" w:hAnsi="Times New Roman" w:cs="Times New Roman"/>
        </w:rPr>
        <w:t xml:space="preserve">Historically, linear accelerator was first used for spine SBRT in the year 1995 </w:t>
      </w:r>
      <w:r w:rsidR="00C5329D">
        <w:rPr>
          <w:rFonts w:ascii="Times New Roman" w:hAnsi="Times New Roman" w:cs="Times New Roman"/>
        </w:rPr>
        <w:t>by</w:t>
      </w:r>
      <w:r w:rsidR="00726542">
        <w:rPr>
          <w:rFonts w:ascii="Times New Roman" w:hAnsi="Times New Roman" w:cs="Times New Roman"/>
        </w:rPr>
        <w:t xml:space="preserve"> Hamilton et </w:t>
      </w:r>
      <w:r w:rsidR="00254C06">
        <w:rPr>
          <w:rFonts w:ascii="Times New Roman" w:hAnsi="Times New Roman" w:cs="Times New Roman"/>
        </w:rPr>
        <w:t>a</w:t>
      </w:r>
      <w:r w:rsidR="00F737F5">
        <w:rPr>
          <w:rFonts w:ascii="Times New Roman" w:hAnsi="Times New Roman" w:cs="Times New Roman"/>
        </w:rPr>
        <w:t>l</w:t>
      </w:r>
      <w:r w:rsidR="00254C06">
        <w:rPr>
          <w:rFonts w:ascii="Times New Roman" w:hAnsi="Times New Roman" w:cs="Times New Roman"/>
        </w:rPr>
        <w:t xml:space="preserve"> based</w:t>
      </w:r>
      <w:r w:rsidR="008E7E64">
        <w:rPr>
          <w:rFonts w:ascii="Times New Roman" w:hAnsi="Times New Roman" w:cs="Times New Roman"/>
        </w:rPr>
        <w:t xml:space="preserve"> on a rigid immobilization device </w:t>
      </w:r>
      <w:r w:rsidRPr="00A85479">
        <w:rPr>
          <w:rFonts w:ascii="Times New Roman" w:hAnsi="Times New Roman" w:cs="Times New Roman"/>
        </w:rPr>
        <w:t>(1).</w:t>
      </w:r>
      <w:r w:rsidR="004525F0">
        <w:rPr>
          <w:rFonts w:ascii="Times New Roman" w:hAnsi="Times New Roman" w:cs="Times New Roman"/>
        </w:rPr>
        <w:t xml:space="preserve"> SBRT is </w:t>
      </w:r>
      <w:r w:rsidR="004525F0" w:rsidRPr="0059702F">
        <w:rPr>
          <w:rFonts w:ascii="Times New Roman" w:hAnsi="Times New Roman" w:cs="Times New Roman"/>
        </w:rPr>
        <w:t>defined</w:t>
      </w:r>
      <w:r w:rsidR="00324CA9">
        <w:rPr>
          <w:rFonts w:ascii="Times New Roman" w:hAnsi="Times New Roman" w:cs="Times New Roman"/>
          <w:color w:val="FF0000"/>
        </w:rPr>
        <w:t xml:space="preserve"> </w:t>
      </w:r>
      <w:r w:rsidR="004525F0" w:rsidRPr="0059702F">
        <w:rPr>
          <w:rFonts w:ascii="Times New Roman" w:hAnsi="Times New Roman" w:cs="Times New Roman"/>
        </w:rPr>
        <w:t xml:space="preserve">as </w:t>
      </w:r>
      <w:r w:rsidR="004525F0">
        <w:rPr>
          <w:rFonts w:ascii="Times New Roman" w:hAnsi="Times New Roman" w:cs="Times New Roman"/>
        </w:rPr>
        <w:t>the precise irradiation of an image defined extra-cranial lesion associated with the use of high radiation dose delivered in a small number of fractions.</w:t>
      </w:r>
      <w:r w:rsidRPr="00A85479">
        <w:rPr>
          <w:rFonts w:ascii="Times New Roman" w:hAnsi="Times New Roman" w:cs="Times New Roman"/>
        </w:rPr>
        <w:t xml:space="preserve"> Since its inception there has been tremendous progress in treatment delivery techniques ranging from I</w:t>
      </w:r>
      <w:r w:rsidR="00C92A32">
        <w:rPr>
          <w:rFonts w:ascii="Times New Roman" w:hAnsi="Times New Roman" w:cs="Times New Roman"/>
        </w:rPr>
        <w:t>ntensity modulate Radiotherapy (I</w:t>
      </w:r>
      <w:r w:rsidRPr="00A85479">
        <w:rPr>
          <w:rFonts w:ascii="Times New Roman" w:hAnsi="Times New Roman" w:cs="Times New Roman"/>
        </w:rPr>
        <w:t>MRT</w:t>
      </w:r>
      <w:r w:rsidR="00C92A32">
        <w:rPr>
          <w:rFonts w:ascii="Times New Roman" w:hAnsi="Times New Roman" w:cs="Times New Roman"/>
        </w:rPr>
        <w:t>)</w:t>
      </w:r>
      <w:r w:rsidRPr="00A85479">
        <w:rPr>
          <w:rFonts w:ascii="Times New Roman" w:hAnsi="Times New Roman" w:cs="Times New Roman"/>
        </w:rPr>
        <w:t xml:space="preserve"> to volumetric modulated arc therapy over the years, and </w:t>
      </w:r>
      <w:r w:rsidR="00C65D73">
        <w:rPr>
          <w:rFonts w:ascii="Times New Roman" w:hAnsi="Times New Roman" w:cs="Times New Roman"/>
        </w:rPr>
        <w:t>modern</w:t>
      </w:r>
      <w:r w:rsidRPr="00A85479">
        <w:rPr>
          <w:rFonts w:ascii="Times New Roman" w:hAnsi="Times New Roman" w:cs="Times New Roman"/>
        </w:rPr>
        <w:t xml:space="preserve"> day linacs deliver SBRT with sub millimetric accuracy</w:t>
      </w:r>
      <w:r w:rsidR="00726542">
        <w:rPr>
          <w:rFonts w:ascii="Times New Roman" w:hAnsi="Times New Roman" w:cs="Times New Roman"/>
        </w:rPr>
        <w:t>. There have been dosimetric</w:t>
      </w:r>
      <w:r w:rsidR="008F7344">
        <w:rPr>
          <w:rFonts w:ascii="Times New Roman" w:hAnsi="Times New Roman" w:cs="Times New Roman"/>
        </w:rPr>
        <w:t xml:space="preserve"> studies comparing Linac</w:t>
      </w:r>
      <w:r w:rsidR="00324CA9">
        <w:rPr>
          <w:rFonts w:ascii="Times New Roman" w:hAnsi="Times New Roman" w:cs="Times New Roman"/>
        </w:rPr>
        <w:t xml:space="preserve"> based</w:t>
      </w:r>
      <w:r w:rsidRPr="00A85479">
        <w:rPr>
          <w:rFonts w:ascii="Times New Roman" w:hAnsi="Times New Roman" w:cs="Times New Roman"/>
        </w:rPr>
        <w:t xml:space="preserve"> </w:t>
      </w:r>
      <w:r w:rsidR="00726542">
        <w:rPr>
          <w:rFonts w:ascii="Times New Roman" w:hAnsi="Times New Roman" w:cs="Times New Roman"/>
        </w:rPr>
        <w:t xml:space="preserve">systems </w:t>
      </w:r>
      <w:r w:rsidR="00726542" w:rsidRPr="00A85479">
        <w:rPr>
          <w:rFonts w:ascii="Times New Roman" w:hAnsi="Times New Roman" w:cs="Times New Roman"/>
        </w:rPr>
        <w:t xml:space="preserve">to other </w:t>
      </w:r>
      <w:r w:rsidR="00726542">
        <w:rPr>
          <w:rFonts w:ascii="Times New Roman" w:hAnsi="Times New Roman" w:cs="Times New Roman"/>
        </w:rPr>
        <w:t>radiosurgical systems</w:t>
      </w:r>
      <w:r w:rsidRPr="00A85479">
        <w:rPr>
          <w:rFonts w:ascii="Times New Roman" w:hAnsi="Times New Roman" w:cs="Times New Roman"/>
        </w:rPr>
        <w:t xml:space="preserve"> like the cyberknife</w:t>
      </w:r>
      <w:r w:rsidR="00EC68D5">
        <w:rPr>
          <w:rFonts w:ascii="Times New Roman" w:hAnsi="Times New Roman" w:cs="Times New Roman"/>
        </w:rPr>
        <w:t xml:space="preserve"> for intracranial lesions (2</w:t>
      </w:r>
      <w:r w:rsidR="00806A18">
        <w:rPr>
          <w:rFonts w:ascii="Times New Roman" w:hAnsi="Times New Roman" w:cs="Times New Roman"/>
        </w:rPr>
        <w:t>-Dutta et al</w:t>
      </w:r>
      <w:r w:rsidR="00EC68D5">
        <w:rPr>
          <w:rFonts w:ascii="Times New Roman" w:hAnsi="Times New Roman" w:cs="Times New Roman"/>
        </w:rPr>
        <w:t>). In addition,</w:t>
      </w:r>
      <w:r w:rsidR="00D41AE6">
        <w:rPr>
          <w:rFonts w:ascii="Times New Roman" w:hAnsi="Times New Roman" w:cs="Times New Roman"/>
        </w:rPr>
        <w:t xml:space="preserve"> </w:t>
      </w:r>
      <w:r w:rsidR="00EC68D5">
        <w:rPr>
          <w:rFonts w:ascii="Times New Roman" w:hAnsi="Times New Roman" w:cs="Times New Roman"/>
        </w:rPr>
        <w:t>prospective clinical studies on spine SBRT for a range of spinal tumours have been published (3</w:t>
      </w:r>
      <w:r w:rsidR="00806A18">
        <w:rPr>
          <w:rFonts w:ascii="Times New Roman" w:hAnsi="Times New Roman" w:cs="Times New Roman"/>
        </w:rPr>
        <w:t>-Mahadev et al</w:t>
      </w:r>
      <w:r w:rsidR="00EC68D5">
        <w:rPr>
          <w:rFonts w:ascii="Times New Roman" w:hAnsi="Times New Roman" w:cs="Times New Roman"/>
        </w:rPr>
        <w:t>,</w:t>
      </w:r>
      <w:r w:rsidR="00026B68">
        <w:rPr>
          <w:rFonts w:ascii="Times New Roman" w:hAnsi="Times New Roman" w:cs="Times New Roman"/>
        </w:rPr>
        <w:t xml:space="preserve"> </w:t>
      </w:r>
      <w:r w:rsidR="00EC68D5">
        <w:rPr>
          <w:rFonts w:ascii="Times New Roman" w:hAnsi="Times New Roman" w:cs="Times New Roman"/>
        </w:rPr>
        <w:t>4</w:t>
      </w:r>
      <w:r w:rsidR="00806A18">
        <w:rPr>
          <w:rFonts w:ascii="Times New Roman" w:hAnsi="Times New Roman" w:cs="Times New Roman"/>
        </w:rPr>
        <w:t>-S Ryu RTOG 0631</w:t>
      </w:r>
      <w:r w:rsidR="00AB19BC">
        <w:rPr>
          <w:rFonts w:ascii="Times New Roman" w:hAnsi="Times New Roman" w:cs="Times New Roman"/>
        </w:rPr>
        <w:t>)</w:t>
      </w:r>
      <w:r w:rsidRPr="00A85479">
        <w:rPr>
          <w:rFonts w:ascii="Times New Roman" w:hAnsi="Times New Roman" w:cs="Times New Roman"/>
        </w:rPr>
        <w:t xml:space="preserve">. Increasingly, centres across the globe have started doing SBRT on linear accelerators for spinal metastases. </w:t>
      </w:r>
      <w:r w:rsidR="00726542">
        <w:rPr>
          <w:rFonts w:ascii="Times New Roman" w:hAnsi="Times New Roman" w:cs="Times New Roman"/>
        </w:rPr>
        <w:t xml:space="preserve">Recently, randomized trials have asserted the role of spine SBRT as effective modality not just for pain relief but durable local control as well </w:t>
      </w:r>
      <w:r w:rsidR="005776EB">
        <w:rPr>
          <w:rFonts w:ascii="Times New Roman" w:hAnsi="Times New Roman" w:cs="Times New Roman"/>
        </w:rPr>
        <w:t xml:space="preserve">in patients’ with </w:t>
      </w:r>
      <w:r w:rsidR="005776EB" w:rsidRPr="000B1242">
        <w:rPr>
          <w:rFonts w:ascii="Times New Roman" w:hAnsi="Times New Roman" w:cs="Times New Roman"/>
        </w:rPr>
        <w:t>oligometastases</w:t>
      </w:r>
      <w:r w:rsidR="005776EB">
        <w:rPr>
          <w:rFonts w:ascii="Times New Roman" w:hAnsi="Times New Roman" w:cs="Times New Roman"/>
        </w:rPr>
        <w:t xml:space="preserve"> (</w:t>
      </w:r>
      <w:r w:rsidR="00EC68D5">
        <w:rPr>
          <w:rFonts w:ascii="Times New Roman" w:hAnsi="Times New Roman" w:cs="Times New Roman"/>
        </w:rPr>
        <w:t>5-SABR comet</w:t>
      </w:r>
      <w:r w:rsidR="00726542">
        <w:rPr>
          <w:rFonts w:ascii="Times New Roman" w:hAnsi="Times New Roman" w:cs="Times New Roman"/>
        </w:rPr>
        <w:t xml:space="preserve">).  </w:t>
      </w:r>
      <w:r w:rsidR="00726542" w:rsidRPr="00A6704F">
        <w:rPr>
          <w:rFonts w:ascii="Times New Roman" w:hAnsi="Times New Roman" w:cs="Times New Roman"/>
        </w:rPr>
        <w:t xml:space="preserve">The quality of evidence for spine SBRT data is maturing, </w:t>
      </w:r>
      <w:r w:rsidR="00A6704F" w:rsidRPr="00A6704F">
        <w:rPr>
          <w:rFonts w:ascii="Times New Roman" w:hAnsi="Times New Roman" w:cs="Times New Roman"/>
        </w:rPr>
        <w:t xml:space="preserve">while published </w:t>
      </w:r>
      <w:r w:rsidR="00726542" w:rsidRPr="00A6704F">
        <w:rPr>
          <w:rFonts w:ascii="Times New Roman" w:hAnsi="Times New Roman" w:cs="Times New Roman"/>
        </w:rPr>
        <w:t>data on re-irradiation SBRT in spine remains sparse.</w:t>
      </w:r>
      <w:r w:rsidR="00555AC5">
        <w:rPr>
          <w:rFonts w:ascii="Times New Roman" w:hAnsi="Times New Roman" w:cs="Times New Roman"/>
        </w:rPr>
        <w:t xml:space="preserve"> </w:t>
      </w:r>
      <w:r w:rsidR="000D7412">
        <w:rPr>
          <w:rFonts w:ascii="Times New Roman" w:hAnsi="Times New Roman" w:cs="Times New Roman"/>
        </w:rPr>
        <w:t>Systematic review articles have recommended</w:t>
      </w:r>
      <w:r w:rsidR="00D41AE6">
        <w:rPr>
          <w:rFonts w:ascii="Times New Roman" w:hAnsi="Times New Roman" w:cs="Times New Roman"/>
        </w:rPr>
        <w:t xml:space="preserve"> reirradiation as an option </w:t>
      </w:r>
      <w:r w:rsidR="000D7412">
        <w:rPr>
          <w:rFonts w:ascii="Times New Roman" w:hAnsi="Times New Roman" w:cs="Times New Roman"/>
        </w:rPr>
        <w:t xml:space="preserve">for spinal metastases (6-Myrehaug et al). However, evidence is based on low-quality data. </w:t>
      </w:r>
      <w:r w:rsidRPr="00A85479">
        <w:rPr>
          <w:rFonts w:ascii="Times New Roman" w:hAnsi="Times New Roman" w:cs="Times New Roman"/>
        </w:rPr>
        <w:t xml:space="preserve">We </w:t>
      </w:r>
      <w:r w:rsidR="001D1A6A" w:rsidRPr="00A85479">
        <w:rPr>
          <w:rFonts w:ascii="Times New Roman" w:hAnsi="Times New Roman" w:cs="Times New Roman"/>
        </w:rPr>
        <w:t xml:space="preserve">herein </w:t>
      </w:r>
      <w:r w:rsidRPr="00A85479">
        <w:rPr>
          <w:rFonts w:ascii="Times New Roman" w:hAnsi="Times New Roman" w:cs="Times New Roman"/>
        </w:rPr>
        <w:t>report our experien</w:t>
      </w:r>
      <w:r w:rsidR="00C51F74">
        <w:rPr>
          <w:rFonts w:ascii="Times New Roman" w:hAnsi="Times New Roman" w:cs="Times New Roman"/>
        </w:rPr>
        <w:t>ce with a patient who received r</w:t>
      </w:r>
      <w:r w:rsidRPr="00A85479">
        <w:rPr>
          <w:rFonts w:ascii="Times New Roman" w:hAnsi="Times New Roman" w:cs="Times New Roman"/>
        </w:rPr>
        <w:t>eirradiation SBRT for spine</w:t>
      </w:r>
      <w:r w:rsidR="0097223D">
        <w:rPr>
          <w:rFonts w:ascii="Times New Roman" w:hAnsi="Times New Roman" w:cs="Times New Roman"/>
        </w:rPr>
        <w:t xml:space="preserve"> metastases from a primary hepatocellular carcinoma (HCC),</w:t>
      </w:r>
      <w:r w:rsidRPr="00A85479">
        <w:rPr>
          <w:rFonts w:ascii="Times New Roman" w:hAnsi="Times New Roman" w:cs="Times New Roman"/>
        </w:rPr>
        <w:t xml:space="preserve"> after his lesion </w:t>
      </w:r>
      <w:r w:rsidR="00507B8C">
        <w:rPr>
          <w:rFonts w:ascii="Times New Roman" w:hAnsi="Times New Roman" w:cs="Times New Roman"/>
        </w:rPr>
        <w:t xml:space="preserve">progressed 15 months after </w:t>
      </w:r>
      <w:r w:rsidRPr="00A85479">
        <w:rPr>
          <w:rFonts w:ascii="Times New Roman" w:hAnsi="Times New Roman" w:cs="Times New Roman"/>
        </w:rPr>
        <w:t>SBRT.</w:t>
      </w:r>
    </w:p>
    <w:p w14:paraId="2FCDEF90" w14:textId="77777777" w:rsidR="005E1939" w:rsidRDefault="005E1939" w:rsidP="00A85479">
      <w:pPr>
        <w:jc w:val="both"/>
        <w:rPr>
          <w:rFonts w:ascii="Times New Roman" w:hAnsi="Times New Roman" w:cs="Times New Roman"/>
          <w:b/>
          <w:bCs/>
        </w:rPr>
      </w:pPr>
    </w:p>
    <w:p w14:paraId="0A6C2369" w14:textId="77777777" w:rsidR="00C70A0E" w:rsidRDefault="00C70A0E" w:rsidP="00A85479">
      <w:pPr>
        <w:jc w:val="both"/>
        <w:rPr>
          <w:rFonts w:ascii="Times New Roman" w:hAnsi="Times New Roman" w:cs="Times New Roman"/>
          <w:b/>
          <w:bCs/>
        </w:rPr>
      </w:pPr>
    </w:p>
    <w:p w14:paraId="71971A2E" w14:textId="77777777" w:rsidR="00C70A0E" w:rsidRDefault="00C70A0E" w:rsidP="00A85479">
      <w:pPr>
        <w:jc w:val="both"/>
        <w:rPr>
          <w:rFonts w:ascii="Times New Roman" w:hAnsi="Times New Roman" w:cs="Times New Roman"/>
          <w:b/>
          <w:bCs/>
        </w:rPr>
      </w:pPr>
    </w:p>
    <w:p w14:paraId="4CD448E7" w14:textId="77777777" w:rsidR="00C70A0E" w:rsidRDefault="00C70A0E" w:rsidP="00A85479">
      <w:pPr>
        <w:jc w:val="both"/>
        <w:rPr>
          <w:rFonts w:ascii="Times New Roman" w:hAnsi="Times New Roman" w:cs="Times New Roman"/>
          <w:b/>
          <w:bCs/>
        </w:rPr>
      </w:pPr>
    </w:p>
    <w:p w14:paraId="06FD98DE" w14:textId="77777777" w:rsidR="00C70A0E" w:rsidRDefault="00C70A0E" w:rsidP="00A85479">
      <w:pPr>
        <w:jc w:val="both"/>
        <w:rPr>
          <w:rFonts w:ascii="Times New Roman" w:hAnsi="Times New Roman" w:cs="Times New Roman"/>
          <w:b/>
          <w:bCs/>
        </w:rPr>
      </w:pPr>
    </w:p>
    <w:p w14:paraId="49DE330C" w14:textId="77777777" w:rsidR="005E1939" w:rsidRDefault="005E1939" w:rsidP="00A8547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Case report</w:t>
      </w:r>
    </w:p>
    <w:p w14:paraId="43910D5D" w14:textId="05163CD5" w:rsidR="0005311D" w:rsidRDefault="005E1939" w:rsidP="00CE2F95">
      <w:pPr>
        <w:jc w:val="both"/>
        <w:rPr>
          <w:rFonts w:ascii="Times New Roman" w:hAnsi="Times New Roman" w:cs="Times New Roman"/>
        </w:rPr>
      </w:pPr>
      <w:r w:rsidRPr="005E1939">
        <w:rPr>
          <w:rFonts w:ascii="Times New Roman" w:hAnsi="Times New Roman" w:cs="Times New Roman"/>
        </w:rPr>
        <w:t xml:space="preserve">A </w:t>
      </w:r>
      <w:r w:rsidR="00111DD0" w:rsidRPr="005E1939">
        <w:rPr>
          <w:rFonts w:ascii="Times New Roman" w:hAnsi="Times New Roman" w:cs="Times New Roman"/>
        </w:rPr>
        <w:t>69-year-old</w:t>
      </w:r>
      <w:r w:rsidRPr="005E1939">
        <w:rPr>
          <w:rFonts w:ascii="Times New Roman" w:hAnsi="Times New Roman" w:cs="Times New Roman"/>
        </w:rPr>
        <w:t xml:space="preserve"> gentleman with Child A </w:t>
      </w:r>
      <w:r w:rsidR="001A6B3A">
        <w:rPr>
          <w:rFonts w:ascii="Times New Roman" w:hAnsi="Times New Roman" w:cs="Times New Roman"/>
        </w:rPr>
        <w:t xml:space="preserve">cryptogenic </w:t>
      </w:r>
      <w:r>
        <w:rPr>
          <w:rFonts w:ascii="Times New Roman" w:hAnsi="Times New Roman" w:cs="Times New Roman"/>
        </w:rPr>
        <w:t>cirrhosis</w:t>
      </w:r>
      <w:r w:rsidR="0097223D">
        <w:rPr>
          <w:rFonts w:ascii="Times New Roman" w:hAnsi="Times New Roman" w:cs="Times New Roman"/>
        </w:rPr>
        <w:t xml:space="preserve"> and </w:t>
      </w:r>
      <w:r w:rsidR="00627EE8">
        <w:rPr>
          <w:rFonts w:ascii="Times New Roman" w:hAnsi="Times New Roman" w:cs="Times New Roman"/>
        </w:rPr>
        <w:t xml:space="preserve">a lesion involving the Right lobe of Liver was evaluated and diagnosed with a moderately differentiated hepatocellular carcinoma. </w:t>
      </w:r>
      <w:r w:rsidR="0097223D">
        <w:rPr>
          <w:rFonts w:ascii="Times New Roman" w:hAnsi="Times New Roman" w:cs="Times New Roman"/>
        </w:rPr>
        <w:t xml:space="preserve">Labs </w:t>
      </w:r>
      <w:r w:rsidR="00627EE8">
        <w:rPr>
          <w:rFonts w:ascii="Times New Roman" w:hAnsi="Times New Roman" w:cs="Times New Roman"/>
        </w:rPr>
        <w:t xml:space="preserve">were done </w:t>
      </w:r>
      <w:r w:rsidR="0097223D">
        <w:rPr>
          <w:rFonts w:ascii="Times New Roman" w:hAnsi="Times New Roman" w:cs="Times New Roman"/>
        </w:rPr>
        <w:t xml:space="preserve">which revealed a non-B, non-C </w:t>
      </w:r>
      <w:r w:rsidR="00B70284">
        <w:rPr>
          <w:rFonts w:ascii="Times New Roman" w:hAnsi="Times New Roman" w:cs="Times New Roman"/>
        </w:rPr>
        <w:t>(</w:t>
      </w:r>
      <w:r w:rsidR="00627EE8">
        <w:rPr>
          <w:rFonts w:ascii="Times New Roman" w:hAnsi="Times New Roman" w:cs="Times New Roman"/>
        </w:rPr>
        <w:t>NBNC;</w:t>
      </w:r>
      <w:r w:rsidR="0097223D">
        <w:rPr>
          <w:rFonts w:ascii="Times New Roman" w:hAnsi="Times New Roman" w:cs="Times New Roman"/>
        </w:rPr>
        <w:t xml:space="preserve"> negative for hepatitis B antigen and hepatitis C antibody)</w:t>
      </w:r>
      <w:r w:rsidR="00627EE8">
        <w:rPr>
          <w:rFonts w:ascii="Times New Roman" w:hAnsi="Times New Roman" w:cs="Times New Roman"/>
        </w:rPr>
        <w:t xml:space="preserve"> and AFP non secreting</w:t>
      </w:r>
      <w:r w:rsidR="00B70284">
        <w:rPr>
          <w:rFonts w:ascii="Times New Roman" w:hAnsi="Times New Roman" w:cs="Times New Roman"/>
        </w:rPr>
        <w:t xml:space="preserve"> </w:t>
      </w:r>
      <w:r w:rsidR="00627EE8">
        <w:rPr>
          <w:rFonts w:ascii="Times New Roman" w:hAnsi="Times New Roman" w:cs="Times New Roman"/>
        </w:rPr>
        <w:t>multifocal</w:t>
      </w:r>
      <w:r w:rsidR="00B70284">
        <w:rPr>
          <w:rFonts w:ascii="Times New Roman" w:hAnsi="Times New Roman" w:cs="Times New Roman"/>
        </w:rPr>
        <w:t xml:space="preserve"> hepatocellular carcinoma. Patient </w:t>
      </w:r>
      <w:r w:rsidR="00B70284" w:rsidRPr="0005311D">
        <w:rPr>
          <w:rFonts w:ascii="Times New Roman" w:hAnsi="Times New Roman" w:cs="Times New Roman"/>
        </w:rPr>
        <w:t xml:space="preserve">underwent </w:t>
      </w:r>
      <w:r w:rsidR="00391844" w:rsidRPr="0005311D">
        <w:rPr>
          <w:rFonts w:ascii="Times New Roman" w:hAnsi="Times New Roman" w:cs="Times New Roman"/>
        </w:rPr>
        <w:t>living</w:t>
      </w:r>
      <w:r w:rsidR="001A6B3A" w:rsidRPr="0005311D">
        <w:rPr>
          <w:rFonts w:ascii="Times New Roman" w:hAnsi="Times New Roman" w:cs="Times New Roman"/>
        </w:rPr>
        <w:t xml:space="preserve"> </w:t>
      </w:r>
      <w:r w:rsidR="001A6B3A">
        <w:rPr>
          <w:rFonts w:ascii="Times New Roman" w:hAnsi="Times New Roman" w:cs="Times New Roman"/>
        </w:rPr>
        <w:t>donor liver transplantation</w:t>
      </w:r>
      <w:r w:rsidR="0091066C">
        <w:rPr>
          <w:rFonts w:ascii="Times New Roman" w:hAnsi="Times New Roman" w:cs="Times New Roman"/>
        </w:rPr>
        <w:t xml:space="preserve"> with a Right lobe graft</w:t>
      </w:r>
      <w:r w:rsidR="006A3F77">
        <w:rPr>
          <w:rFonts w:ascii="Times New Roman" w:hAnsi="Times New Roman" w:cs="Times New Roman"/>
        </w:rPr>
        <w:t xml:space="preserve"> </w:t>
      </w:r>
      <w:r w:rsidR="001A6B3A">
        <w:rPr>
          <w:rFonts w:ascii="Times New Roman" w:hAnsi="Times New Roman" w:cs="Times New Roman"/>
        </w:rPr>
        <w:t xml:space="preserve">in </w:t>
      </w:r>
      <w:r w:rsidR="006255C5">
        <w:rPr>
          <w:rFonts w:ascii="Times New Roman" w:hAnsi="Times New Roman" w:cs="Times New Roman"/>
        </w:rPr>
        <w:t xml:space="preserve">early </w:t>
      </w:r>
      <w:r w:rsidR="001A6B3A">
        <w:rPr>
          <w:rFonts w:ascii="Times New Roman" w:hAnsi="Times New Roman" w:cs="Times New Roman"/>
        </w:rPr>
        <w:t>September 2017.</w:t>
      </w:r>
      <w:r w:rsidR="0091066C">
        <w:rPr>
          <w:rFonts w:ascii="Times New Roman" w:hAnsi="Times New Roman" w:cs="Times New Roman"/>
        </w:rPr>
        <w:t xml:space="preserve"> Post</w:t>
      </w:r>
      <w:r w:rsidR="00AC19C0">
        <w:rPr>
          <w:rFonts w:ascii="Times New Roman" w:hAnsi="Times New Roman" w:cs="Times New Roman"/>
        </w:rPr>
        <w:t>-</w:t>
      </w:r>
      <w:r w:rsidR="00F737F5">
        <w:rPr>
          <w:rFonts w:ascii="Times New Roman" w:hAnsi="Times New Roman" w:cs="Times New Roman"/>
        </w:rPr>
        <w:t>surgery</w:t>
      </w:r>
      <w:r w:rsidR="00B30A59">
        <w:rPr>
          <w:rFonts w:ascii="Times New Roman" w:hAnsi="Times New Roman" w:cs="Times New Roman"/>
        </w:rPr>
        <w:t xml:space="preserve"> </w:t>
      </w:r>
      <w:r w:rsidR="00F737F5">
        <w:rPr>
          <w:rFonts w:ascii="Times New Roman" w:hAnsi="Times New Roman" w:cs="Times New Roman"/>
        </w:rPr>
        <w:t>explant Liver</w:t>
      </w:r>
      <w:r w:rsidR="0091066C">
        <w:rPr>
          <w:rFonts w:ascii="Times New Roman" w:hAnsi="Times New Roman" w:cs="Times New Roman"/>
        </w:rPr>
        <w:t xml:space="preserve"> histopatholog</w:t>
      </w:r>
      <w:r w:rsidR="006255C5">
        <w:rPr>
          <w:rFonts w:ascii="Times New Roman" w:hAnsi="Times New Roman" w:cs="Times New Roman"/>
        </w:rPr>
        <w:t>ical examination confirmed</w:t>
      </w:r>
      <w:r w:rsidR="0091066C">
        <w:rPr>
          <w:rFonts w:ascii="Times New Roman" w:hAnsi="Times New Roman" w:cs="Times New Roman"/>
        </w:rPr>
        <w:t xml:space="preserve"> a moderately differentiated hepatocellular carcinoma on a background of mixed nodular cirrhosis. Patient was doing well and </w:t>
      </w:r>
      <w:r w:rsidR="006255C5">
        <w:rPr>
          <w:rFonts w:ascii="Times New Roman" w:hAnsi="Times New Roman" w:cs="Times New Roman"/>
        </w:rPr>
        <w:t>was</w:t>
      </w:r>
      <w:r w:rsidR="0091066C">
        <w:rPr>
          <w:rFonts w:ascii="Times New Roman" w:hAnsi="Times New Roman" w:cs="Times New Roman"/>
        </w:rPr>
        <w:t xml:space="preserve"> under regular follow up post-surgery. In August -2018 patient developed backache</w:t>
      </w:r>
      <w:r w:rsidR="00B70284">
        <w:rPr>
          <w:rFonts w:ascii="Times New Roman" w:hAnsi="Times New Roman" w:cs="Times New Roman"/>
        </w:rPr>
        <w:t xml:space="preserve"> of </w:t>
      </w:r>
      <w:r w:rsidR="0005311D">
        <w:rPr>
          <w:rFonts w:ascii="Times New Roman" w:hAnsi="Times New Roman" w:cs="Times New Roman"/>
        </w:rPr>
        <w:t>one-week</w:t>
      </w:r>
      <w:r w:rsidR="00B70284">
        <w:rPr>
          <w:rFonts w:ascii="Times New Roman" w:hAnsi="Times New Roman" w:cs="Times New Roman"/>
        </w:rPr>
        <w:t xml:space="preserve"> duration</w:t>
      </w:r>
      <w:r w:rsidR="0005311D">
        <w:rPr>
          <w:rFonts w:ascii="Times New Roman" w:hAnsi="Times New Roman" w:cs="Times New Roman"/>
        </w:rPr>
        <w:t xml:space="preserve"> with significant limitation of activities daily living. </w:t>
      </w:r>
      <w:r w:rsidR="003550C4">
        <w:rPr>
          <w:rFonts w:ascii="Times New Roman" w:hAnsi="Times New Roman" w:cs="Times New Roman"/>
        </w:rPr>
        <w:t xml:space="preserve">MRI done showed a </w:t>
      </w:r>
      <w:r w:rsidR="001A761B">
        <w:rPr>
          <w:rFonts w:ascii="Times New Roman" w:hAnsi="Times New Roman" w:cs="Times New Roman"/>
        </w:rPr>
        <w:t>large lytic</w:t>
      </w:r>
      <w:r w:rsidR="003550C4">
        <w:rPr>
          <w:rFonts w:ascii="Times New Roman" w:hAnsi="Times New Roman" w:cs="Times New Roman"/>
        </w:rPr>
        <w:t xml:space="preserve"> deposit in the D11 vertebra with pathological wedge compression</w:t>
      </w:r>
      <w:r w:rsidR="001A761B">
        <w:rPr>
          <w:rFonts w:ascii="Times New Roman" w:hAnsi="Times New Roman" w:cs="Times New Roman"/>
        </w:rPr>
        <w:t>, while the Epidural spinal cord compression grade was 1a with epidural impingement</w:t>
      </w:r>
      <w:r w:rsidR="003550C4">
        <w:rPr>
          <w:rFonts w:ascii="Times New Roman" w:hAnsi="Times New Roman" w:cs="Times New Roman"/>
        </w:rPr>
        <w:t>. PET-CT scan evaluation revealed a solitary lesion in the D11 spine</w:t>
      </w:r>
      <w:r w:rsidR="0005311D">
        <w:rPr>
          <w:rFonts w:ascii="Times New Roman" w:hAnsi="Times New Roman" w:cs="Times New Roman"/>
        </w:rPr>
        <w:t xml:space="preserve"> suggestive of </w:t>
      </w:r>
      <w:r w:rsidR="00E2547D">
        <w:rPr>
          <w:rFonts w:ascii="Times New Roman" w:hAnsi="Times New Roman" w:cs="Times New Roman"/>
        </w:rPr>
        <w:t>Oligometastatic-disease</w:t>
      </w:r>
      <w:r w:rsidR="003550C4">
        <w:rPr>
          <w:rFonts w:ascii="Times New Roman" w:hAnsi="Times New Roman" w:cs="Times New Roman"/>
        </w:rPr>
        <w:t xml:space="preserve">. </w:t>
      </w:r>
    </w:p>
    <w:p w14:paraId="624C33C5" w14:textId="2C34C7CF" w:rsidR="0005311D" w:rsidRDefault="003550C4" w:rsidP="00CE2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multidis</w:t>
      </w:r>
      <w:r w:rsidR="00605CBB">
        <w:rPr>
          <w:rFonts w:ascii="Times New Roman" w:hAnsi="Times New Roman" w:cs="Times New Roman"/>
        </w:rPr>
        <w:t xml:space="preserve">ciplinary tumour board comprising of a Spine surgeon, </w:t>
      </w:r>
      <w:r w:rsidR="00BF617A">
        <w:rPr>
          <w:rFonts w:ascii="Times New Roman" w:hAnsi="Times New Roman" w:cs="Times New Roman"/>
        </w:rPr>
        <w:t>Neuroradiologist</w:t>
      </w:r>
      <w:r w:rsidR="00605CBB">
        <w:rPr>
          <w:rFonts w:ascii="Times New Roman" w:hAnsi="Times New Roman" w:cs="Times New Roman"/>
        </w:rPr>
        <w:t xml:space="preserve"> and radiation </w:t>
      </w:r>
      <w:r w:rsidR="00BF617A">
        <w:rPr>
          <w:rFonts w:ascii="Times New Roman" w:hAnsi="Times New Roman" w:cs="Times New Roman"/>
        </w:rPr>
        <w:t>oncologist</w:t>
      </w:r>
      <w:r w:rsidR="00C93617">
        <w:rPr>
          <w:rFonts w:ascii="Times New Roman" w:hAnsi="Times New Roman" w:cs="Times New Roman"/>
        </w:rPr>
        <w:t xml:space="preserve"> vertebral</w:t>
      </w:r>
      <w:r w:rsidR="00605CBB">
        <w:rPr>
          <w:rFonts w:ascii="Times New Roman" w:hAnsi="Times New Roman" w:cs="Times New Roman"/>
        </w:rPr>
        <w:t xml:space="preserve"> segment was scored based on the Spinal Instability Neoplastic Score (SINS)</w:t>
      </w:r>
      <w:r w:rsidR="00BF617A">
        <w:rPr>
          <w:rFonts w:ascii="Times New Roman" w:hAnsi="Times New Roman" w:cs="Times New Roman"/>
        </w:rPr>
        <w:t xml:space="preserve"> and </w:t>
      </w:r>
      <w:r w:rsidR="00C93617">
        <w:rPr>
          <w:rFonts w:ascii="Times New Roman" w:hAnsi="Times New Roman" w:cs="Times New Roman"/>
        </w:rPr>
        <w:t xml:space="preserve">was decided to </w:t>
      </w:r>
      <w:r w:rsidR="00B70284">
        <w:rPr>
          <w:rFonts w:ascii="Times New Roman" w:hAnsi="Times New Roman" w:cs="Times New Roman"/>
        </w:rPr>
        <w:t xml:space="preserve">go ahead with stabilization of </w:t>
      </w:r>
      <w:r w:rsidR="00C93617">
        <w:rPr>
          <w:rFonts w:ascii="Times New Roman" w:hAnsi="Times New Roman" w:cs="Times New Roman"/>
        </w:rPr>
        <w:t>the spine</w:t>
      </w:r>
      <w:r w:rsidR="00C7632E">
        <w:rPr>
          <w:rFonts w:ascii="Times New Roman" w:hAnsi="Times New Roman" w:cs="Times New Roman"/>
        </w:rPr>
        <w:t xml:space="preserve"> (7</w:t>
      </w:r>
      <w:r w:rsidR="00726542">
        <w:rPr>
          <w:rFonts w:ascii="Times New Roman" w:hAnsi="Times New Roman" w:cs="Times New Roman"/>
        </w:rPr>
        <w:t>)</w:t>
      </w:r>
      <w:r w:rsidR="00C93617">
        <w:rPr>
          <w:rFonts w:ascii="Times New Roman" w:hAnsi="Times New Roman" w:cs="Times New Roman"/>
        </w:rPr>
        <w:t>. Patient underwent D9-D11 percutaneous pedicle screw fixatio</w:t>
      </w:r>
      <w:r w:rsidR="00B70284">
        <w:rPr>
          <w:rFonts w:ascii="Times New Roman" w:hAnsi="Times New Roman" w:cs="Times New Roman"/>
        </w:rPr>
        <w:t>n and D11 biopsy,</w:t>
      </w:r>
      <w:r w:rsidR="00C93617">
        <w:rPr>
          <w:rFonts w:ascii="Times New Roman" w:hAnsi="Times New Roman" w:cs="Times New Roman"/>
        </w:rPr>
        <w:t xml:space="preserve"> Biopsy was consistent with that of a metastatic hepatocellular carcinoma.</w:t>
      </w:r>
      <w:r w:rsidR="00E2547D">
        <w:rPr>
          <w:rFonts w:ascii="Times New Roman" w:hAnsi="Times New Roman" w:cs="Times New Roman"/>
        </w:rPr>
        <w:t xml:space="preserve"> P</w:t>
      </w:r>
      <w:r w:rsidR="00C65D73">
        <w:rPr>
          <w:rFonts w:ascii="Times New Roman" w:hAnsi="Times New Roman" w:cs="Times New Roman"/>
        </w:rPr>
        <w:t>atient</w:t>
      </w:r>
      <w:r w:rsidR="00C93617">
        <w:rPr>
          <w:rFonts w:ascii="Times New Roman" w:hAnsi="Times New Roman" w:cs="Times New Roman"/>
        </w:rPr>
        <w:t xml:space="preserve"> was given SBRT to the </w:t>
      </w:r>
      <w:r w:rsidR="00C65D73">
        <w:rPr>
          <w:rFonts w:ascii="Times New Roman" w:hAnsi="Times New Roman" w:cs="Times New Roman"/>
        </w:rPr>
        <w:t>D11 spine with 24 Gy in 3 fractions</w:t>
      </w:r>
      <w:r w:rsidR="00C51F74">
        <w:rPr>
          <w:rFonts w:ascii="Times New Roman" w:hAnsi="Times New Roman" w:cs="Times New Roman"/>
        </w:rPr>
        <w:t xml:space="preserve"> using</w:t>
      </w:r>
      <w:r w:rsidR="00AB19BC">
        <w:rPr>
          <w:rFonts w:ascii="Times New Roman" w:hAnsi="Times New Roman" w:cs="Times New Roman"/>
        </w:rPr>
        <w:t xml:space="preserve"> target (CTV) delineation guidelines proposed by the Radiosurgery consortium (</w:t>
      </w:r>
      <w:r w:rsidR="00C7632E">
        <w:rPr>
          <w:rFonts w:ascii="Times New Roman" w:hAnsi="Times New Roman" w:cs="Times New Roman"/>
        </w:rPr>
        <w:t>8</w:t>
      </w:r>
      <w:r w:rsidR="00AB19BC">
        <w:rPr>
          <w:rFonts w:ascii="Times New Roman" w:hAnsi="Times New Roman" w:cs="Times New Roman"/>
        </w:rPr>
        <w:t>). P</w:t>
      </w:r>
      <w:r w:rsidR="00C5329D">
        <w:rPr>
          <w:rFonts w:ascii="Times New Roman" w:hAnsi="Times New Roman" w:cs="Times New Roman"/>
        </w:rPr>
        <w:t>atient</w:t>
      </w:r>
      <w:r w:rsidR="00BF617A">
        <w:rPr>
          <w:rFonts w:ascii="Times New Roman" w:hAnsi="Times New Roman" w:cs="Times New Roman"/>
        </w:rPr>
        <w:t>’</w:t>
      </w:r>
      <w:r w:rsidR="00C5329D">
        <w:rPr>
          <w:rFonts w:ascii="Times New Roman" w:hAnsi="Times New Roman" w:cs="Times New Roman"/>
        </w:rPr>
        <w:t xml:space="preserve">s planning images with dose distribution and DVH-OAR data </w:t>
      </w:r>
      <w:r w:rsidR="00021C15">
        <w:rPr>
          <w:rFonts w:ascii="Times New Roman" w:hAnsi="Times New Roman" w:cs="Times New Roman"/>
        </w:rPr>
        <w:t xml:space="preserve">are </w:t>
      </w:r>
      <w:r w:rsidR="00C5329D">
        <w:rPr>
          <w:rFonts w:ascii="Times New Roman" w:hAnsi="Times New Roman" w:cs="Times New Roman"/>
        </w:rPr>
        <w:t>shown in fig 1</w:t>
      </w:r>
      <w:r w:rsidR="00B70284">
        <w:rPr>
          <w:rFonts w:ascii="Times New Roman" w:hAnsi="Times New Roman" w:cs="Times New Roman"/>
        </w:rPr>
        <w:t>/ table 1</w:t>
      </w:r>
      <w:r w:rsidR="00C5329D">
        <w:rPr>
          <w:rFonts w:ascii="Times New Roman" w:hAnsi="Times New Roman" w:cs="Times New Roman"/>
        </w:rPr>
        <w:t>.</w:t>
      </w:r>
      <w:r w:rsidR="0005311D">
        <w:rPr>
          <w:rFonts w:ascii="Times New Roman" w:hAnsi="Times New Roman" w:cs="Times New Roman"/>
        </w:rPr>
        <w:t xml:space="preserve"> Patient experienced good pain relief post SBRT and was started on systemic therapy with Sorafenib.</w:t>
      </w:r>
      <w:r w:rsidR="00021C15">
        <w:rPr>
          <w:rFonts w:ascii="Times New Roman" w:hAnsi="Times New Roman" w:cs="Times New Roman"/>
        </w:rPr>
        <w:t xml:space="preserve"> </w:t>
      </w:r>
      <w:r w:rsidR="0005311D">
        <w:rPr>
          <w:rFonts w:ascii="Times New Roman" w:hAnsi="Times New Roman" w:cs="Times New Roman"/>
          <w:color w:val="FF0000"/>
        </w:rPr>
        <w:t xml:space="preserve"> </w:t>
      </w:r>
    </w:p>
    <w:p w14:paraId="7FAE8FA4" w14:textId="77777777" w:rsidR="00B81F03" w:rsidRDefault="00021C15" w:rsidP="00CE2F95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In December-2019 patient complained of resurgence of pain in the back. </w:t>
      </w:r>
      <w:r w:rsidR="0005311D">
        <w:rPr>
          <w:rFonts w:ascii="Times New Roman" w:hAnsi="Times New Roman" w:cs="Times New Roman"/>
        </w:rPr>
        <w:t xml:space="preserve">Evaluation by </w:t>
      </w:r>
      <w:r>
        <w:rPr>
          <w:rFonts w:ascii="Times New Roman" w:hAnsi="Times New Roman" w:cs="Times New Roman"/>
        </w:rPr>
        <w:t>MRI and PET CT imaging were done which</w:t>
      </w:r>
      <w:r w:rsidR="0005311D">
        <w:rPr>
          <w:rFonts w:ascii="Times New Roman" w:hAnsi="Times New Roman" w:cs="Times New Roman"/>
        </w:rPr>
        <w:t xml:space="preserve"> revealed an</w:t>
      </w:r>
      <w:r>
        <w:rPr>
          <w:rFonts w:ascii="Times New Roman" w:hAnsi="Times New Roman" w:cs="Times New Roman"/>
        </w:rPr>
        <w:t xml:space="preserve"> osseous lysis with appearance of enhancing lytic </w:t>
      </w:r>
      <w:r w:rsidR="00726542">
        <w:rPr>
          <w:rFonts w:ascii="Times New Roman" w:hAnsi="Times New Roman" w:cs="Times New Roman"/>
        </w:rPr>
        <w:t xml:space="preserve">soft tissue lesion </w:t>
      </w:r>
      <w:r w:rsidR="00A50930">
        <w:rPr>
          <w:rFonts w:ascii="Times New Roman" w:hAnsi="Times New Roman" w:cs="Times New Roman"/>
        </w:rPr>
        <w:t>involving the body of D11 vertebra</w:t>
      </w:r>
      <w:r w:rsidR="0005311D">
        <w:rPr>
          <w:rFonts w:ascii="Times New Roman" w:hAnsi="Times New Roman" w:cs="Times New Roman"/>
        </w:rPr>
        <w:t>. In addition to the vertebral lesion an enhancing</w:t>
      </w:r>
      <w:r w:rsidR="00A20213">
        <w:rPr>
          <w:rFonts w:ascii="Times New Roman" w:hAnsi="Times New Roman" w:cs="Times New Roman"/>
        </w:rPr>
        <w:t xml:space="preserve"> </w:t>
      </w:r>
      <w:r w:rsidR="0005311D">
        <w:rPr>
          <w:rFonts w:ascii="Times New Roman" w:hAnsi="Times New Roman" w:cs="Times New Roman"/>
        </w:rPr>
        <w:t>FDG avid nodule in the Right Adrenal</w:t>
      </w:r>
      <w:r w:rsidR="00B81F03">
        <w:rPr>
          <w:rFonts w:ascii="Times New Roman" w:hAnsi="Times New Roman" w:cs="Times New Roman"/>
        </w:rPr>
        <w:t xml:space="preserve"> with enhancement was seen suggestive of disease progression. </w:t>
      </w:r>
      <w:r w:rsidR="008B7AC7">
        <w:rPr>
          <w:rFonts w:ascii="Times New Roman" w:hAnsi="Times New Roman" w:cs="Times New Roman"/>
        </w:rPr>
        <w:t>In our</w:t>
      </w:r>
      <w:r w:rsidR="0041713D">
        <w:rPr>
          <w:rFonts w:ascii="Times New Roman" w:hAnsi="Times New Roman" w:cs="Times New Roman"/>
        </w:rPr>
        <w:t xml:space="preserve"> patient considering a gap of 15</w:t>
      </w:r>
      <w:r w:rsidR="008B7AC7">
        <w:rPr>
          <w:rFonts w:ascii="Times New Roman" w:hAnsi="Times New Roman" w:cs="Times New Roman"/>
        </w:rPr>
        <w:t xml:space="preserve"> months elapsed since last radiation</w:t>
      </w:r>
      <w:r w:rsidR="00B30A59">
        <w:rPr>
          <w:rFonts w:ascii="Times New Roman" w:hAnsi="Times New Roman" w:cs="Times New Roman"/>
        </w:rPr>
        <w:t xml:space="preserve"> and low volume oligometastatic disease</w:t>
      </w:r>
      <w:r w:rsidR="008B7AC7">
        <w:rPr>
          <w:rFonts w:ascii="Times New Roman" w:hAnsi="Times New Roman" w:cs="Times New Roman"/>
        </w:rPr>
        <w:t xml:space="preserve"> </w:t>
      </w:r>
      <w:r w:rsidR="008B7AC7" w:rsidRPr="00B30A59">
        <w:rPr>
          <w:rFonts w:ascii="Times New Roman" w:hAnsi="Times New Roman" w:cs="Times New Roman"/>
        </w:rPr>
        <w:t xml:space="preserve">it was decided in </w:t>
      </w:r>
      <w:r w:rsidR="00B81F03" w:rsidRPr="00B30A59">
        <w:rPr>
          <w:rFonts w:ascii="Times New Roman" w:hAnsi="Times New Roman" w:cs="Times New Roman"/>
        </w:rPr>
        <w:t>an</w:t>
      </w:r>
      <w:r w:rsidR="008B7AC7" w:rsidRPr="00B30A59">
        <w:rPr>
          <w:rFonts w:ascii="Times New Roman" w:hAnsi="Times New Roman" w:cs="Times New Roman"/>
        </w:rPr>
        <w:t xml:space="preserve"> MDT to offer</w:t>
      </w:r>
      <w:r w:rsidR="008B7AC7" w:rsidRPr="008B7AC7">
        <w:rPr>
          <w:rFonts w:ascii="Times New Roman" w:hAnsi="Times New Roman" w:cs="Times New Roman"/>
          <w:color w:val="FF0000"/>
        </w:rPr>
        <w:t xml:space="preserve"> </w:t>
      </w:r>
      <w:r w:rsidR="008B7AC7">
        <w:rPr>
          <w:rFonts w:ascii="Times New Roman" w:hAnsi="Times New Roman" w:cs="Times New Roman"/>
        </w:rPr>
        <w:t xml:space="preserve">reirradiation </w:t>
      </w:r>
      <w:r w:rsidR="00B30A59">
        <w:rPr>
          <w:rFonts w:ascii="Times New Roman" w:hAnsi="Times New Roman" w:cs="Times New Roman"/>
        </w:rPr>
        <w:t xml:space="preserve">SBRT. </w:t>
      </w:r>
      <w:r w:rsidR="00B70284" w:rsidRPr="00CF6907">
        <w:rPr>
          <w:rFonts w:ascii="Times New Roman" w:hAnsi="Times New Roman" w:cs="Times New Roman"/>
        </w:rPr>
        <w:t xml:space="preserve">Currently there are no </w:t>
      </w:r>
      <w:r w:rsidR="00B93D43" w:rsidRPr="00CF6907">
        <w:rPr>
          <w:rFonts w:ascii="Times New Roman" w:hAnsi="Times New Roman" w:cs="Times New Roman"/>
        </w:rPr>
        <w:t>validated models taking</w:t>
      </w:r>
      <w:r w:rsidR="00B70284" w:rsidRPr="00CF6907">
        <w:rPr>
          <w:rFonts w:ascii="Times New Roman" w:hAnsi="Times New Roman" w:cs="Times New Roman"/>
        </w:rPr>
        <w:t xml:space="preserve"> time interval between two courses of radiation into account</w:t>
      </w:r>
      <w:r w:rsidR="00B81F03">
        <w:rPr>
          <w:rFonts w:ascii="Times New Roman" w:hAnsi="Times New Roman" w:cs="Times New Roman"/>
        </w:rPr>
        <w:t>.</w:t>
      </w:r>
      <w:r w:rsidR="00CF6907" w:rsidRPr="00CF6907">
        <w:rPr>
          <w:rFonts w:ascii="Times New Roman" w:hAnsi="Times New Roman" w:cs="Times New Roman"/>
        </w:rPr>
        <w:t xml:space="preserve"> </w:t>
      </w:r>
      <w:r w:rsidR="00B81F03" w:rsidRPr="00CF6907">
        <w:rPr>
          <w:rFonts w:ascii="Times New Roman" w:hAnsi="Times New Roman" w:cs="Times New Roman"/>
        </w:rPr>
        <w:t>consequently,</w:t>
      </w:r>
      <w:r w:rsidR="00B70284" w:rsidRPr="00CF6907">
        <w:rPr>
          <w:rFonts w:ascii="Times New Roman" w:hAnsi="Times New Roman" w:cs="Times New Roman"/>
        </w:rPr>
        <w:t xml:space="preserve"> the time -dependent neurological function recovery</w:t>
      </w:r>
      <w:r w:rsidR="00CF6907" w:rsidRPr="00CF6907">
        <w:rPr>
          <w:rFonts w:ascii="Times New Roman" w:hAnsi="Times New Roman" w:cs="Times New Roman"/>
        </w:rPr>
        <w:t xml:space="preserve"> </w:t>
      </w:r>
      <w:r w:rsidR="00B70284" w:rsidRPr="00CF6907">
        <w:rPr>
          <w:rFonts w:ascii="Times New Roman" w:hAnsi="Times New Roman" w:cs="Times New Roman"/>
        </w:rPr>
        <w:t>largely remains speculative.</w:t>
      </w:r>
      <w:r w:rsidR="00B70284">
        <w:rPr>
          <w:rFonts w:ascii="Times New Roman" w:hAnsi="Times New Roman" w:cs="Times New Roman"/>
          <w:color w:val="FF0000"/>
        </w:rPr>
        <w:t xml:space="preserve"> </w:t>
      </w:r>
    </w:p>
    <w:p w14:paraId="028067C7" w14:textId="77777777" w:rsidR="00B81F03" w:rsidRDefault="002E57E0" w:rsidP="00CE2F95">
      <w:pPr>
        <w:jc w:val="both"/>
        <w:rPr>
          <w:rFonts w:ascii="Times New Roman" w:hAnsi="Times New Roman" w:cs="Times New Roman"/>
          <w:color w:val="FF0000"/>
        </w:rPr>
      </w:pPr>
      <w:r w:rsidRPr="001C34A0">
        <w:rPr>
          <w:rFonts w:ascii="Times New Roman" w:hAnsi="Times New Roman" w:cs="Times New Roman"/>
        </w:rPr>
        <w:t xml:space="preserve">Proximity of the </w:t>
      </w:r>
      <w:r w:rsidR="00CF3037">
        <w:rPr>
          <w:rFonts w:ascii="Times New Roman" w:hAnsi="Times New Roman" w:cs="Times New Roman"/>
        </w:rPr>
        <w:t xml:space="preserve">Right </w:t>
      </w:r>
      <w:r w:rsidRPr="001C34A0">
        <w:rPr>
          <w:rFonts w:ascii="Times New Roman" w:hAnsi="Times New Roman" w:cs="Times New Roman"/>
        </w:rPr>
        <w:t>adrenal gland</w:t>
      </w:r>
      <w:r w:rsidR="008D54EF">
        <w:rPr>
          <w:rFonts w:ascii="Times New Roman" w:hAnsi="Times New Roman" w:cs="Times New Roman"/>
        </w:rPr>
        <w:t xml:space="preserve"> lesion</w:t>
      </w:r>
      <w:r w:rsidR="00CF3037">
        <w:rPr>
          <w:rFonts w:ascii="Times New Roman" w:hAnsi="Times New Roman" w:cs="Times New Roman"/>
        </w:rPr>
        <w:t>, Right Kidney</w:t>
      </w:r>
      <w:r w:rsidRPr="001C34A0">
        <w:rPr>
          <w:rFonts w:ascii="Times New Roman" w:hAnsi="Times New Roman" w:cs="Times New Roman"/>
        </w:rPr>
        <w:t xml:space="preserve"> and the </w:t>
      </w:r>
      <w:r>
        <w:rPr>
          <w:rFonts w:ascii="Times New Roman" w:hAnsi="Times New Roman" w:cs="Times New Roman"/>
        </w:rPr>
        <w:t xml:space="preserve">irradiated </w:t>
      </w:r>
      <w:r w:rsidRPr="001C34A0">
        <w:rPr>
          <w:rFonts w:ascii="Times New Roman" w:hAnsi="Times New Roman" w:cs="Times New Roman"/>
        </w:rPr>
        <w:t>D11 spine to the transplanted Liver posed a challenge to deliver radiation safely to the target</w:t>
      </w:r>
      <w:r>
        <w:rPr>
          <w:rFonts w:ascii="Times New Roman" w:hAnsi="Times New Roman" w:cs="Times New Roman"/>
        </w:rPr>
        <w:t xml:space="preserve"> (D11 body and Right Adrenal gland)</w:t>
      </w:r>
      <w:r w:rsidRPr="00CE2F95">
        <w:rPr>
          <w:rFonts w:ascii="Times New Roman" w:hAnsi="Times New Roman" w:cs="Times New Roman"/>
        </w:rPr>
        <w:t>.</w:t>
      </w:r>
      <w:r w:rsidR="007A2AE8">
        <w:rPr>
          <w:rFonts w:ascii="Times New Roman" w:hAnsi="Times New Roman" w:cs="Times New Roman"/>
        </w:rPr>
        <w:t xml:space="preserve"> </w:t>
      </w:r>
      <w:r w:rsidR="00163009">
        <w:rPr>
          <w:rFonts w:ascii="Times New Roman" w:hAnsi="Times New Roman" w:cs="Times New Roman"/>
        </w:rPr>
        <w:t>On account of the fact that it was a second course of radiation, target volume was limited to the body of the D11-vertebral body (Non donut shaped)</w:t>
      </w:r>
      <w:r w:rsidR="00CF6907">
        <w:rPr>
          <w:rFonts w:ascii="Times New Roman" w:hAnsi="Times New Roman" w:cs="Times New Roman"/>
        </w:rPr>
        <w:t xml:space="preserve"> to reduce toxicity</w:t>
      </w:r>
      <w:r w:rsidR="001630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</w:t>
      </w:r>
      <w:r w:rsidR="008B7AC7">
        <w:rPr>
          <w:rFonts w:ascii="Times New Roman" w:hAnsi="Times New Roman" w:cs="Times New Roman"/>
        </w:rPr>
        <w:t xml:space="preserve"> dose of 30 Gy in 5 fractions was planned for the second course</w:t>
      </w:r>
      <w:r w:rsidR="00CF3037">
        <w:rPr>
          <w:rFonts w:ascii="Times New Roman" w:hAnsi="Times New Roman" w:cs="Times New Roman"/>
        </w:rPr>
        <w:t xml:space="preserve"> of SBRT</w:t>
      </w:r>
      <w:r w:rsidR="008B7AC7">
        <w:rPr>
          <w:rFonts w:ascii="Times New Roman" w:hAnsi="Times New Roman" w:cs="Times New Roman"/>
        </w:rPr>
        <w:t xml:space="preserve">.  </w:t>
      </w:r>
      <w:r w:rsidR="00CF3037">
        <w:rPr>
          <w:rFonts w:ascii="Times New Roman" w:hAnsi="Times New Roman" w:cs="Times New Roman"/>
        </w:rPr>
        <w:t xml:space="preserve">Reirradiation recommendations suggested by </w:t>
      </w:r>
      <w:r w:rsidR="007A2AE8">
        <w:rPr>
          <w:rFonts w:ascii="Times New Roman" w:hAnsi="Times New Roman" w:cs="Times New Roman"/>
        </w:rPr>
        <w:t>(</w:t>
      </w:r>
      <w:r w:rsidR="00C7632E">
        <w:rPr>
          <w:rFonts w:ascii="Times New Roman" w:hAnsi="Times New Roman" w:cs="Times New Roman"/>
        </w:rPr>
        <w:t>9-</w:t>
      </w:r>
      <w:r w:rsidR="00CF3037">
        <w:rPr>
          <w:rFonts w:ascii="Times New Roman" w:hAnsi="Times New Roman" w:cs="Times New Roman"/>
        </w:rPr>
        <w:t>Sahgal et al</w:t>
      </w:r>
      <w:r w:rsidR="007A2AE8">
        <w:rPr>
          <w:rFonts w:ascii="Times New Roman" w:hAnsi="Times New Roman" w:cs="Times New Roman"/>
        </w:rPr>
        <w:t>)</w:t>
      </w:r>
      <w:r w:rsidR="00CF3037">
        <w:rPr>
          <w:rFonts w:ascii="Times New Roman" w:hAnsi="Times New Roman" w:cs="Times New Roman"/>
        </w:rPr>
        <w:t xml:space="preserve"> were</w:t>
      </w:r>
      <w:r w:rsidR="00C46558">
        <w:rPr>
          <w:rFonts w:ascii="Times New Roman" w:hAnsi="Times New Roman" w:cs="Times New Roman"/>
        </w:rPr>
        <w:t xml:space="preserve"> used as a guide to decide on d</w:t>
      </w:r>
      <w:r w:rsidR="00CF6907">
        <w:rPr>
          <w:rFonts w:ascii="Times New Roman" w:hAnsi="Times New Roman" w:cs="Times New Roman"/>
        </w:rPr>
        <w:t>ose limits to the critical neural tissues (</w:t>
      </w:r>
      <w:r w:rsidR="00C46558">
        <w:rPr>
          <w:rFonts w:ascii="Times New Roman" w:hAnsi="Times New Roman" w:cs="Times New Roman"/>
        </w:rPr>
        <w:t>CNT</w:t>
      </w:r>
      <w:r w:rsidR="00CF6907">
        <w:rPr>
          <w:rFonts w:ascii="Times New Roman" w:hAnsi="Times New Roman" w:cs="Times New Roman"/>
        </w:rPr>
        <w:t>)</w:t>
      </w:r>
      <w:r w:rsidR="00C46558">
        <w:rPr>
          <w:rFonts w:ascii="Times New Roman" w:hAnsi="Times New Roman" w:cs="Times New Roman"/>
        </w:rPr>
        <w:t>.</w:t>
      </w:r>
      <w:r w:rsidR="00B30A59">
        <w:rPr>
          <w:rFonts w:ascii="Times New Roman" w:hAnsi="Times New Roman" w:cs="Times New Roman"/>
        </w:rPr>
        <w:t xml:space="preserve"> </w:t>
      </w:r>
      <w:r w:rsidR="00E05596">
        <w:rPr>
          <w:rFonts w:ascii="Times New Roman" w:hAnsi="Times New Roman" w:cs="Times New Roman"/>
        </w:rPr>
        <w:t>For the remaining OAR we followed the AAPM_TG-101 protocol as reference</w:t>
      </w:r>
      <w:r w:rsidR="00C7632E">
        <w:rPr>
          <w:rFonts w:ascii="Times New Roman" w:hAnsi="Times New Roman" w:cs="Times New Roman"/>
        </w:rPr>
        <w:t xml:space="preserve"> (10-Benedict et al)</w:t>
      </w:r>
      <w:r w:rsidR="00E05596">
        <w:rPr>
          <w:rFonts w:ascii="Times New Roman" w:hAnsi="Times New Roman" w:cs="Times New Roman"/>
        </w:rPr>
        <w:t xml:space="preserve">. Dose to the transplanted Liver was kept as low as </w:t>
      </w:r>
      <w:r w:rsidR="008D54EF">
        <w:rPr>
          <w:rFonts w:ascii="Times New Roman" w:hAnsi="Times New Roman" w:cs="Times New Roman"/>
        </w:rPr>
        <w:t>possible</w:t>
      </w:r>
      <w:r w:rsidR="00E05596">
        <w:rPr>
          <w:rFonts w:ascii="Times New Roman" w:hAnsi="Times New Roman" w:cs="Times New Roman"/>
        </w:rPr>
        <w:t>.   Table1</w:t>
      </w:r>
      <w:r w:rsidR="007A2AE8">
        <w:rPr>
          <w:rFonts w:ascii="Times New Roman" w:hAnsi="Times New Roman" w:cs="Times New Roman"/>
        </w:rPr>
        <w:t xml:space="preserve"> / fig-2</w:t>
      </w:r>
      <w:r w:rsidR="00B30A59">
        <w:rPr>
          <w:rFonts w:ascii="Times New Roman" w:hAnsi="Times New Roman" w:cs="Times New Roman"/>
        </w:rPr>
        <w:t xml:space="preserve"> show</w:t>
      </w:r>
      <w:r w:rsidR="00E05596">
        <w:rPr>
          <w:rFonts w:ascii="Times New Roman" w:hAnsi="Times New Roman" w:cs="Times New Roman"/>
        </w:rPr>
        <w:t xml:space="preserve"> the </w:t>
      </w:r>
      <w:r w:rsidR="00B30A59">
        <w:rPr>
          <w:rFonts w:ascii="Times New Roman" w:hAnsi="Times New Roman" w:cs="Times New Roman"/>
        </w:rPr>
        <w:t xml:space="preserve">technical characteristics of plans and </w:t>
      </w:r>
      <w:r w:rsidR="00E05596">
        <w:rPr>
          <w:rFonts w:ascii="Times New Roman" w:hAnsi="Times New Roman" w:cs="Times New Roman"/>
        </w:rPr>
        <w:t xml:space="preserve">dose parameters for both the SBRT courses. </w:t>
      </w:r>
      <w:r w:rsidR="00B81F03">
        <w:rPr>
          <w:rFonts w:ascii="Times New Roman" w:hAnsi="Times New Roman" w:cs="Times New Roman"/>
        </w:rPr>
        <w:t>Patient completed reirradiation SBRT without any acute side effects and continues to remain pain free without any analgesics at 8 months follow up after treatment.</w:t>
      </w:r>
      <w:r w:rsidR="00E05596">
        <w:rPr>
          <w:rFonts w:ascii="Times New Roman" w:hAnsi="Times New Roman" w:cs="Times New Roman"/>
        </w:rPr>
        <w:t xml:space="preserve"> </w:t>
      </w:r>
      <w:r w:rsidR="00CF6907" w:rsidRPr="00C90919">
        <w:rPr>
          <w:rFonts w:ascii="Times New Roman" w:hAnsi="Times New Roman" w:cs="Times New Roman"/>
        </w:rPr>
        <w:t>In consideration of the fact that patient progressed on Sorafenib</w:t>
      </w:r>
      <w:r w:rsidR="00C90919" w:rsidRPr="00D803B0">
        <w:rPr>
          <w:rFonts w:ascii="Times New Roman" w:hAnsi="Times New Roman" w:cs="Times New Roman"/>
          <w:color w:val="FF0000"/>
        </w:rPr>
        <w:t xml:space="preserve">, </w:t>
      </w:r>
      <w:r w:rsidR="00C90919" w:rsidRPr="00B81F03">
        <w:rPr>
          <w:rFonts w:ascii="Times New Roman" w:hAnsi="Times New Roman" w:cs="Times New Roman"/>
        </w:rPr>
        <w:t xml:space="preserve">he was started on Lenvatinib after the second course of SBRT. </w:t>
      </w:r>
      <w:r w:rsidR="00C90919" w:rsidRPr="00D803B0">
        <w:rPr>
          <w:rFonts w:ascii="Times New Roman" w:hAnsi="Times New Roman" w:cs="Times New Roman"/>
          <w:color w:val="FF0000"/>
        </w:rPr>
        <w:t xml:space="preserve"> </w:t>
      </w:r>
    </w:p>
    <w:p w14:paraId="6A974836" w14:textId="560B4EFD" w:rsidR="004A1991" w:rsidRPr="00C92A32" w:rsidRDefault="00B81F03" w:rsidP="00CE2F95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How to talk about liver function being unaffected ? </w:t>
      </w:r>
      <w:r w:rsidR="00C90919" w:rsidRPr="00CF6907">
        <w:rPr>
          <w:rFonts w:ascii="Times New Roman" w:hAnsi="Times New Roman" w:cs="Times New Roman"/>
          <w:color w:val="FF0000"/>
        </w:rPr>
        <w:t>Labs /LFT –Normal</w:t>
      </w:r>
      <w:r>
        <w:rPr>
          <w:rFonts w:ascii="Times New Roman" w:hAnsi="Times New Roman" w:cs="Times New Roman"/>
          <w:color w:val="FF0000"/>
        </w:rPr>
        <w:t xml:space="preserve"> ?</w:t>
      </w:r>
      <w:r w:rsidR="00C90919" w:rsidRPr="00CF6907">
        <w:rPr>
          <w:rFonts w:ascii="Times New Roman" w:hAnsi="Times New Roman" w:cs="Times New Roman"/>
          <w:color w:val="FF0000"/>
        </w:rPr>
        <w:t xml:space="preserve"> / CT scan abdomen done mid of August 2020 shows stable disease. FINDINGS; Fig 3</w:t>
      </w:r>
    </w:p>
    <w:p w14:paraId="48BA33FB" w14:textId="77777777" w:rsidR="00B30A59" w:rsidRDefault="006C04A3" w:rsidP="00CE2F95">
      <w:pPr>
        <w:jc w:val="both"/>
        <w:rPr>
          <w:rFonts w:ascii="Times New Roman" w:hAnsi="Times New Roman" w:cs="Times New Roman"/>
          <w:b/>
          <w:bCs/>
        </w:rPr>
      </w:pPr>
      <w:r w:rsidRPr="006C04A3">
        <w:rPr>
          <w:rFonts w:ascii="Times New Roman" w:hAnsi="Times New Roman" w:cs="Times New Roman"/>
          <w:b/>
          <w:bCs/>
        </w:rPr>
        <w:lastRenderedPageBreak/>
        <w:t>Discussion</w:t>
      </w:r>
    </w:p>
    <w:p w14:paraId="2A690165" w14:textId="77777777" w:rsidR="000D20EC" w:rsidRPr="000D20EC" w:rsidRDefault="000D20EC" w:rsidP="00CE2F95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Extrahepatic </w:t>
      </w:r>
      <w:r w:rsidR="002B2E45">
        <w:rPr>
          <w:rFonts w:ascii="Times New Roman" w:hAnsi="Times New Roman" w:cs="Times New Roman"/>
          <w:bCs/>
        </w:rPr>
        <w:t>metastases from HCC are</w:t>
      </w:r>
      <w:r>
        <w:rPr>
          <w:rFonts w:ascii="Times New Roman" w:hAnsi="Times New Roman" w:cs="Times New Roman"/>
          <w:bCs/>
        </w:rPr>
        <w:t xml:space="preserve"> estimated to be around 35 %</w:t>
      </w:r>
      <w:r w:rsidR="00757998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with </w:t>
      </w:r>
      <w:r w:rsidR="00757998">
        <w:rPr>
          <w:rFonts w:ascii="Times New Roman" w:hAnsi="Times New Roman" w:cs="Times New Roman"/>
          <w:bCs/>
        </w:rPr>
        <w:t>Lung and the nodes being the commonest sites followed by bones</w:t>
      </w:r>
      <w:r w:rsidR="00CE433A">
        <w:rPr>
          <w:rFonts w:ascii="Times New Roman" w:hAnsi="Times New Roman" w:cs="Times New Roman"/>
          <w:bCs/>
        </w:rPr>
        <w:t xml:space="preserve"> (</w:t>
      </w:r>
      <w:r w:rsidR="003008D6">
        <w:rPr>
          <w:rFonts w:ascii="Times New Roman" w:hAnsi="Times New Roman" w:cs="Times New Roman"/>
          <w:bCs/>
        </w:rPr>
        <w:t>11-</w:t>
      </w:r>
      <w:r w:rsidR="00CE433A">
        <w:rPr>
          <w:rFonts w:ascii="Times New Roman" w:hAnsi="Times New Roman" w:cs="Times New Roman"/>
          <w:bCs/>
        </w:rPr>
        <w:t>Katyal s et al 3.</w:t>
      </w:r>
      <w:r w:rsidR="003008D6" w:rsidRPr="003008D6">
        <w:t xml:space="preserve"> </w:t>
      </w:r>
      <w:hyperlink r:id="rId6" w:history="1">
        <w:r w:rsidR="003008D6">
          <w:rPr>
            <w:rStyle w:val="Hyperlink"/>
            <w:rFonts w:ascii="Arial" w:hAnsi="Arial" w:cs="Arial"/>
            <w:color w:val="47828F"/>
            <w:sz w:val="18"/>
            <w:szCs w:val="18"/>
            <w:shd w:val="clear" w:color="auto" w:fill="FFFFFF"/>
          </w:rPr>
          <w:t>doi.org/10.1148/radiology.216.3.r00se24698</w:t>
        </w:r>
      </w:hyperlink>
      <w:r w:rsidR="00CE433A">
        <w:rPr>
          <w:rFonts w:ascii="Times New Roman" w:hAnsi="Times New Roman" w:cs="Times New Roman"/>
          <w:bCs/>
        </w:rPr>
        <w:t>)</w:t>
      </w:r>
      <w:r w:rsidR="00757998">
        <w:rPr>
          <w:rFonts w:ascii="Times New Roman" w:hAnsi="Times New Roman" w:cs="Times New Roman"/>
          <w:bCs/>
        </w:rPr>
        <w:t xml:space="preserve">. </w:t>
      </w:r>
      <w:r w:rsidR="002B2E45">
        <w:rPr>
          <w:rFonts w:ascii="Times New Roman" w:hAnsi="Times New Roman" w:cs="Times New Roman"/>
          <w:bCs/>
        </w:rPr>
        <w:t>Although, t</w:t>
      </w:r>
      <w:r w:rsidRPr="000D20EC">
        <w:rPr>
          <w:rFonts w:ascii="Times New Roman" w:hAnsi="Times New Roman" w:cs="Times New Roman"/>
          <w:bCs/>
        </w:rPr>
        <w:t xml:space="preserve">he </w:t>
      </w:r>
      <w:r>
        <w:rPr>
          <w:rFonts w:ascii="Times New Roman" w:hAnsi="Times New Roman" w:cs="Times New Roman"/>
          <w:bCs/>
        </w:rPr>
        <w:t xml:space="preserve">incidence </w:t>
      </w:r>
      <w:r w:rsidR="00757998">
        <w:rPr>
          <w:rFonts w:ascii="Times New Roman" w:hAnsi="Times New Roman" w:cs="Times New Roman"/>
          <w:bCs/>
        </w:rPr>
        <w:t>of bone</w:t>
      </w:r>
      <w:r>
        <w:rPr>
          <w:rFonts w:ascii="Times New Roman" w:hAnsi="Times New Roman" w:cs="Times New Roman"/>
          <w:bCs/>
        </w:rPr>
        <w:t xml:space="preserve"> metastases in hepatocellular carcinoma is relatively low with st</w:t>
      </w:r>
      <w:r w:rsidR="00757998">
        <w:rPr>
          <w:rFonts w:ascii="Times New Roman" w:hAnsi="Times New Roman" w:cs="Times New Roman"/>
          <w:bCs/>
        </w:rPr>
        <w:t xml:space="preserve">udies estimating it to be </w:t>
      </w:r>
      <w:r w:rsidR="002B2E45">
        <w:rPr>
          <w:rFonts w:ascii="Times New Roman" w:hAnsi="Times New Roman" w:cs="Times New Roman"/>
          <w:bCs/>
        </w:rPr>
        <w:t xml:space="preserve">8 -18%, Isolated bone metastasis is not as uncommon as previously believed which in turn could be attributable to the better functional PET-CT imaging </w:t>
      </w:r>
      <w:r w:rsidR="005E57C3">
        <w:rPr>
          <w:rFonts w:ascii="Times New Roman" w:hAnsi="Times New Roman" w:cs="Times New Roman"/>
          <w:bCs/>
        </w:rPr>
        <w:t xml:space="preserve">available widely </w:t>
      </w:r>
      <w:r w:rsidR="002B2E45">
        <w:rPr>
          <w:rFonts w:ascii="Times New Roman" w:hAnsi="Times New Roman" w:cs="Times New Roman"/>
          <w:bCs/>
        </w:rPr>
        <w:t xml:space="preserve">over the last decade. </w:t>
      </w:r>
      <w:r w:rsidR="003008D6">
        <w:rPr>
          <w:rFonts w:ascii="Times New Roman" w:hAnsi="Times New Roman" w:cs="Times New Roman"/>
          <w:bCs/>
        </w:rPr>
        <w:t>S</w:t>
      </w:r>
      <w:r w:rsidR="00CE433A">
        <w:rPr>
          <w:rFonts w:ascii="Times New Roman" w:hAnsi="Times New Roman" w:cs="Times New Roman"/>
          <w:bCs/>
        </w:rPr>
        <w:t>tudies suggest that isolated bone metastasis patients have better outcomes while compared to those having metastases to other organs</w:t>
      </w:r>
      <w:r w:rsidR="005E57C3">
        <w:rPr>
          <w:rFonts w:ascii="Times New Roman" w:hAnsi="Times New Roman" w:cs="Times New Roman"/>
          <w:bCs/>
        </w:rPr>
        <w:t xml:space="preserve"> (12-Ho et al </w:t>
      </w:r>
      <w:r w:rsidR="005E57C3">
        <w:rPr>
          <w:rFonts w:ascii="HelveticaNeue-Condensed" w:hAnsi="HelveticaNeue-Condensed" w:cs="HelveticaNeue-Condensed"/>
          <w:sz w:val="14"/>
          <w:szCs w:val="14"/>
        </w:rPr>
        <w:t>10.1148/radiol.10100672</w:t>
      </w:r>
      <w:r w:rsidR="005E57C3">
        <w:rPr>
          <w:rFonts w:ascii="Times New Roman" w:hAnsi="Times New Roman" w:cs="Times New Roman"/>
          <w:bCs/>
        </w:rPr>
        <w:t>)</w:t>
      </w:r>
      <w:r w:rsidR="00CE433A">
        <w:rPr>
          <w:rFonts w:ascii="Times New Roman" w:hAnsi="Times New Roman" w:cs="Times New Roman"/>
          <w:bCs/>
        </w:rPr>
        <w:t>.</w:t>
      </w:r>
      <w:r w:rsidR="00966F07">
        <w:rPr>
          <w:rFonts w:ascii="Times New Roman" w:hAnsi="Times New Roman" w:cs="Times New Roman"/>
          <w:bCs/>
        </w:rPr>
        <w:t xml:space="preserve"> </w:t>
      </w:r>
    </w:p>
    <w:p w14:paraId="19675809" w14:textId="35CFE216" w:rsidR="00467DF3" w:rsidRDefault="003008D6" w:rsidP="00467DF3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concept of oligometastatic sta</w:t>
      </w:r>
      <w:r w:rsidR="00731660">
        <w:rPr>
          <w:rFonts w:ascii="Times New Roman" w:hAnsi="Times New Roman" w:cs="Times New Roman"/>
          <w:bCs/>
        </w:rPr>
        <w:t xml:space="preserve">te was proposed by Hellman and </w:t>
      </w:r>
      <w:r w:rsidR="00D35BA9">
        <w:rPr>
          <w:rFonts w:ascii="Times New Roman" w:hAnsi="Times New Roman" w:cs="Times New Roman"/>
          <w:bCs/>
        </w:rPr>
        <w:t>Weichsel Baum</w:t>
      </w:r>
      <w:r>
        <w:rPr>
          <w:rFonts w:ascii="Times New Roman" w:hAnsi="Times New Roman" w:cs="Times New Roman"/>
          <w:bCs/>
        </w:rPr>
        <w:t xml:space="preserve">, which </w:t>
      </w:r>
      <w:r w:rsidR="00D35BA9">
        <w:rPr>
          <w:rFonts w:ascii="Times New Roman" w:hAnsi="Times New Roman" w:cs="Times New Roman"/>
          <w:bCs/>
        </w:rPr>
        <w:t>e</w:t>
      </w:r>
      <w:r w:rsidR="00731660">
        <w:rPr>
          <w:rFonts w:ascii="Times New Roman" w:hAnsi="Times New Roman" w:cs="Times New Roman"/>
          <w:bCs/>
        </w:rPr>
        <w:t>xemplif</w:t>
      </w:r>
      <w:r w:rsidR="00D35BA9">
        <w:rPr>
          <w:rFonts w:ascii="Times New Roman" w:hAnsi="Times New Roman" w:cs="Times New Roman"/>
          <w:bCs/>
        </w:rPr>
        <w:t>ies</w:t>
      </w:r>
      <w:r w:rsidR="00731660">
        <w:rPr>
          <w:rFonts w:ascii="Times New Roman" w:hAnsi="Times New Roman" w:cs="Times New Roman"/>
          <w:bCs/>
        </w:rPr>
        <w:t xml:space="preserve"> an intermediary state of cancer between widely metastatic and curable, localized disease</w:t>
      </w:r>
      <w:r w:rsidR="00211BC3">
        <w:rPr>
          <w:rFonts w:ascii="Times New Roman" w:hAnsi="Times New Roman" w:cs="Times New Roman"/>
          <w:bCs/>
        </w:rPr>
        <w:t xml:space="preserve"> (13-</w:t>
      </w:r>
      <w:hyperlink r:id="rId7" w:tgtFrame="_blank" w:history="1">
        <w:r w:rsidR="00211BC3" w:rsidRPr="00211BC3">
          <w:rPr>
            <w:rFonts w:ascii="Segoe UI" w:eastAsia="Times New Roman" w:hAnsi="Segoe UI" w:cs="Segoe UI"/>
            <w:color w:val="0071BC"/>
            <w:sz w:val="20"/>
            <w:lang w:eastAsia="en-IN"/>
          </w:rPr>
          <w:t>10.1200/JCO.1995.13.1.8</w:t>
        </w:r>
      </w:hyperlink>
      <w:r w:rsidR="00211BC3" w:rsidRPr="00211BC3">
        <w:rPr>
          <w:rFonts w:ascii="Times New Roman" w:hAnsi="Times New Roman" w:cs="Times New Roman"/>
          <w:bCs/>
        </w:rPr>
        <w:t>)</w:t>
      </w:r>
      <w:r w:rsidR="00731660" w:rsidRPr="00211BC3">
        <w:rPr>
          <w:rFonts w:ascii="Times New Roman" w:hAnsi="Times New Roman" w:cs="Times New Roman"/>
          <w:bCs/>
        </w:rPr>
        <w:t xml:space="preserve">. </w:t>
      </w:r>
      <w:r w:rsidR="00C7316A">
        <w:rPr>
          <w:rFonts w:ascii="Times New Roman" w:hAnsi="Times New Roman" w:cs="Times New Roman"/>
          <w:bCs/>
        </w:rPr>
        <w:t>Recently, a randomised, phase</w:t>
      </w:r>
      <w:r w:rsidR="000A75A3">
        <w:rPr>
          <w:rFonts w:ascii="Times New Roman" w:hAnsi="Times New Roman" w:cs="Times New Roman"/>
          <w:bCs/>
        </w:rPr>
        <w:t>-</w:t>
      </w:r>
      <w:r w:rsidR="00C7316A">
        <w:rPr>
          <w:rFonts w:ascii="Times New Roman" w:hAnsi="Times New Roman" w:cs="Times New Roman"/>
          <w:bCs/>
        </w:rPr>
        <w:t xml:space="preserve">2 clinical trial demonstrated </w:t>
      </w:r>
      <w:r w:rsidR="00111033">
        <w:rPr>
          <w:rFonts w:ascii="Times New Roman" w:hAnsi="Times New Roman" w:cs="Times New Roman"/>
          <w:bCs/>
        </w:rPr>
        <w:t xml:space="preserve"> a 13-month </w:t>
      </w:r>
      <w:r w:rsidR="00C7316A">
        <w:rPr>
          <w:rFonts w:ascii="Times New Roman" w:hAnsi="Times New Roman" w:cs="Times New Roman"/>
          <w:bCs/>
        </w:rPr>
        <w:t xml:space="preserve">overall and </w:t>
      </w:r>
      <w:r w:rsidR="00111033">
        <w:rPr>
          <w:rFonts w:ascii="Times New Roman" w:hAnsi="Times New Roman" w:cs="Times New Roman"/>
          <w:bCs/>
        </w:rPr>
        <w:t xml:space="preserve">a doubling of </w:t>
      </w:r>
      <w:r w:rsidR="00C7316A">
        <w:rPr>
          <w:rFonts w:ascii="Times New Roman" w:hAnsi="Times New Roman" w:cs="Times New Roman"/>
          <w:bCs/>
        </w:rPr>
        <w:t>progress</w:t>
      </w:r>
      <w:r w:rsidR="00111033">
        <w:rPr>
          <w:rFonts w:ascii="Times New Roman" w:hAnsi="Times New Roman" w:cs="Times New Roman"/>
          <w:bCs/>
        </w:rPr>
        <w:t>ion free survival benefit</w:t>
      </w:r>
      <w:r w:rsidR="00C7316A">
        <w:rPr>
          <w:rFonts w:ascii="Times New Roman" w:hAnsi="Times New Roman" w:cs="Times New Roman"/>
          <w:bCs/>
        </w:rPr>
        <w:t xml:space="preserve"> after SBRT </w:t>
      </w:r>
      <w:r w:rsidR="00111033">
        <w:rPr>
          <w:rFonts w:ascii="Times New Roman" w:hAnsi="Times New Roman" w:cs="Times New Roman"/>
          <w:bCs/>
        </w:rPr>
        <w:t>in patients with controlled primary and one to five oligometastases</w:t>
      </w:r>
      <w:r w:rsidR="00467DF3">
        <w:rPr>
          <w:rFonts w:ascii="Times New Roman" w:hAnsi="Times New Roman" w:cs="Times New Roman"/>
          <w:bCs/>
        </w:rPr>
        <w:t xml:space="preserve"> </w:t>
      </w:r>
      <w:r w:rsidR="000A75A3">
        <w:rPr>
          <w:rFonts w:ascii="Times New Roman" w:hAnsi="Times New Roman" w:cs="Times New Roman"/>
          <w:bCs/>
        </w:rPr>
        <w:t>(5-</w:t>
      </w:r>
      <w:r w:rsidR="000A75A3">
        <w:rPr>
          <w:rStyle w:val="article-headerdoilabel"/>
          <w:rFonts w:ascii="Arial" w:hAnsi="Arial" w:cs="Arial"/>
          <w:color w:val="FFFFFF"/>
          <w:sz w:val="20"/>
          <w:szCs w:val="20"/>
          <w:shd w:val="clear" w:color="auto" w:fill="4D6A75"/>
        </w:rPr>
        <w:t>:</w:t>
      </w:r>
      <w:hyperlink r:id="rId8" w:history="1">
        <w:r w:rsidR="000A75A3">
          <w:rPr>
            <w:rStyle w:val="Hyperlink"/>
            <w:rFonts w:ascii="Arial" w:hAnsi="Arial" w:cs="Arial"/>
            <w:color w:val="FFFFFF"/>
            <w:sz w:val="20"/>
            <w:szCs w:val="20"/>
            <w:shd w:val="clear" w:color="auto" w:fill="4D6A75"/>
          </w:rPr>
          <w:t>https://doi.org/10.1016/S0140-6736(18)32487-5</w:t>
        </w:r>
      </w:hyperlink>
      <w:r w:rsidR="00467DF3">
        <w:rPr>
          <w:rFonts w:ascii="Times New Roman" w:hAnsi="Times New Roman" w:cs="Times New Roman"/>
          <w:bCs/>
        </w:rPr>
        <w:t xml:space="preserve">). </w:t>
      </w:r>
    </w:p>
    <w:p w14:paraId="2CA90AAB" w14:textId="12F6F574" w:rsidR="00296B30" w:rsidRDefault="007F02D3" w:rsidP="00467D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Prospective clinical studies </w:t>
      </w:r>
      <w:r w:rsidR="00496AC5">
        <w:rPr>
          <w:rFonts w:ascii="Times New Roman" w:hAnsi="Times New Roman" w:cs="Times New Roman"/>
          <w:bCs/>
        </w:rPr>
        <w:t xml:space="preserve">on reirradiation SBRT spine are meagre, </w:t>
      </w:r>
      <w:r>
        <w:rPr>
          <w:rFonts w:ascii="Times New Roman" w:hAnsi="Times New Roman" w:cs="Times New Roman"/>
          <w:bCs/>
        </w:rPr>
        <w:t xml:space="preserve">with </w:t>
      </w:r>
      <w:r w:rsidR="00496AC5">
        <w:rPr>
          <w:rFonts w:ascii="Times New Roman" w:hAnsi="Times New Roman" w:cs="Times New Roman"/>
          <w:bCs/>
        </w:rPr>
        <w:t>only one phase I /II</w:t>
      </w:r>
      <w:r w:rsidR="00D53F9D">
        <w:rPr>
          <w:rFonts w:ascii="Times New Roman" w:hAnsi="Times New Roman" w:cs="Times New Roman"/>
          <w:bCs/>
        </w:rPr>
        <w:t xml:space="preserve"> </w:t>
      </w:r>
      <w:r w:rsidR="00496AC5">
        <w:rPr>
          <w:rFonts w:ascii="Times New Roman" w:hAnsi="Times New Roman" w:cs="Times New Roman"/>
          <w:bCs/>
        </w:rPr>
        <w:t>single institutional study (14-Garg et al).</w:t>
      </w:r>
      <w:r>
        <w:rPr>
          <w:rFonts w:ascii="Times New Roman" w:hAnsi="Times New Roman" w:cs="Times New Roman"/>
          <w:bCs/>
        </w:rPr>
        <w:t xml:space="preserve"> Predominantly, most of the published studies on spine</w:t>
      </w:r>
      <w:r w:rsidR="00496AC5">
        <w:rPr>
          <w:rFonts w:ascii="Times New Roman" w:hAnsi="Times New Roman" w:cs="Times New Roman"/>
          <w:bCs/>
        </w:rPr>
        <w:t xml:space="preserve"> Reirradiation SBRT</w:t>
      </w:r>
      <w:r>
        <w:rPr>
          <w:rFonts w:ascii="Times New Roman" w:hAnsi="Times New Roman" w:cs="Times New Roman"/>
          <w:bCs/>
        </w:rPr>
        <w:t xml:space="preserve"> </w:t>
      </w:r>
      <w:r w:rsidR="00496AC5">
        <w:rPr>
          <w:rFonts w:ascii="Times New Roman" w:hAnsi="Times New Roman" w:cs="Times New Roman"/>
          <w:bCs/>
        </w:rPr>
        <w:t>are retrospective. However, outcomes in most of these studies were consistent with respect to diu</w:t>
      </w:r>
      <w:r w:rsidR="00D53F9D">
        <w:rPr>
          <w:rFonts w:ascii="Times New Roman" w:hAnsi="Times New Roman" w:cs="Times New Roman"/>
          <w:bCs/>
        </w:rPr>
        <w:t xml:space="preserve">turnal local control and pain relief </w:t>
      </w:r>
      <w:r w:rsidR="00D53F9D">
        <w:rPr>
          <w:rFonts w:ascii="Times New Roman" w:hAnsi="Times New Roman" w:cs="Times New Roman"/>
        </w:rPr>
        <w:t>(6-Myrehaug et al).</w:t>
      </w:r>
      <w:r w:rsidR="00BA4C36">
        <w:rPr>
          <w:rFonts w:ascii="Times New Roman" w:hAnsi="Times New Roman" w:cs="Times New Roman"/>
        </w:rPr>
        <w:t xml:space="preserve"> Thibault et al in their retrospective  report on</w:t>
      </w:r>
      <w:r w:rsidR="005E4393">
        <w:rPr>
          <w:rFonts w:ascii="Times New Roman" w:hAnsi="Times New Roman" w:cs="Times New Roman"/>
        </w:rPr>
        <w:t xml:space="preserve"> salvage spine SBRT following in-field failure of initial SBRT for spinal metastases</w:t>
      </w:r>
      <w:r w:rsidR="00BA4C36">
        <w:rPr>
          <w:rFonts w:ascii="Times New Roman" w:hAnsi="Times New Roman" w:cs="Times New Roman"/>
        </w:rPr>
        <w:t xml:space="preserve"> </w:t>
      </w:r>
      <w:r w:rsidR="00C13CFF">
        <w:rPr>
          <w:rFonts w:ascii="Times New Roman" w:hAnsi="Times New Roman" w:cs="Times New Roman"/>
        </w:rPr>
        <w:t>with a median time to failure of 11.7 months following first course of SBRT</w:t>
      </w:r>
      <w:r w:rsidR="00BA4C36">
        <w:rPr>
          <w:rFonts w:ascii="Times New Roman" w:hAnsi="Times New Roman" w:cs="Times New Roman"/>
        </w:rPr>
        <w:t xml:space="preserve">, </w:t>
      </w:r>
      <w:r w:rsidR="005E4393">
        <w:rPr>
          <w:rFonts w:ascii="Times New Roman" w:hAnsi="Times New Roman" w:cs="Times New Roman"/>
        </w:rPr>
        <w:t>conclude</w:t>
      </w:r>
      <w:r w:rsidR="0041713D">
        <w:rPr>
          <w:rFonts w:ascii="Times New Roman" w:hAnsi="Times New Roman" w:cs="Times New Roman"/>
        </w:rPr>
        <w:t>d</w:t>
      </w:r>
      <w:r w:rsidR="005E4393">
        <w:rPr>
          <w:rFonts w:ascii="Times New Roman" w:hAnsi="Times New Roman" w:cs="Times New Roman"/>
        </w:rPr>
        <w:t xml:space="preserve"> that</w:t>
      </w:r>
      <w:r w:rsidR="000F029D">
        <w:rPr>
          <w:rFonts w:ascii="Times New Roman" w:hAnsi="Times New Roman" w:cs="Times New Roman"/>
        </w:rPr>
        <w:t xml:space="preserve"> </w:t>
      </w:r>
      <w:r w:rsidR="0041713D">
        <w:rPr>
          <w:rFonts w:ascii="Times New Roman" w:hAnsi="Times New Roman" w:cs="Times New Roman"/>
        </w:rPr>
        <w:t>salvage second course of spine SBRT is feasible and efficacious. In our patient time from the first SBRT course to local progression was 15 months</w:t>
      </w:r>
      <w:r w:rsidR="00C13CFF">
        <w:rPr>
          <w:rFonts w:ascii="Times New Roman" w:hAnsi="Times New Roman" w:cs="Times New Roman"/>
        </w:rPr>
        <w:t xml:space="preserve">, with a diffuse pattern of failure rather than the more common epidural disease progression. Possible explanation </w:t>
      </w:r>
      <w:r w:rsidR="00BB01F7">
        <w:rPr>
          <w:rFonts w:ascii="Times New Roman" w:hAnsi="Times New Roman" w:cs="Times New Roman"/>
        </w:rPr>
        <w:t>for this failure could be due to</w:t>
      </w:r>
      <w:r w:rsidR="00C13CFF">
        <w:rPr>
          <w:rFonts w:ascii="Times New Roman" w:hAnsi="Times New Roman" w:cs="Times New Roman"/>
        </w:rPr>
        <w:t xml:space="preserve"> inherent</w:t>
      </w:r>
      <w:r w:rsidR="00D35BA9">
        <w:rPr>
          <w:rFonts w:ascii="Times New Roman" w:hAnsi="Times New Roman" w:cs="Times New Roman"/>
        </w:rPr>
        <w:t xml:space="preserve"> tumour</w:t>
      </w:r>
      <w:r w:rsidR="00C13CFF">
        <w:rPr>
          <w:rFonts w:ascii="Times New Roman" w:hAnsi="Times New Roman" w:cs="Times New Roman"/>
        </w:rPr>
        <w:t xml:space="preserve"> radioresistance</w:t>
      </w:r>
      <w:r w:rsidR="00BB01F7">
        <w:rPr>
          <w:rFonts w:ascii="Times New Roman" w:hAnsi="Times New Roman" w:cs="Times New Roman"/>
        </w:rPr>
        <w:t>.</w:t>
      </w:r>
      <w:r w:rsidR="00296B30">
        <w:rPr>
          <w:rFonts w:ascii="Times New Roman" w:hAnsi="Times New Roman" w:cs="Times New Roman"/>
        </w:rPr>
        <w:t xml:space="preserve"> </w:t>
      </w:r>
      <w:r w:rsidR="00296B30" w:rsidRPr="001C34A0">
        <w:rPr>
          <w:rFonts w:ascii="Times New Roman" w:hAnsi="Times New Roman" w:cs="Times New Roman"/>
        </w:rPr>
        <w:t>Ad</w:t>
      </w:r>
      <w:r w:rsidR="00296B30">
        <w:rPr>
          <w:rFonts w:ascii="Times New Roman" w:hAnsi="Times New Roman" w:cs="Times New Roman"/>
        </w:rPr>
        <w:t xml:space="preserve">ding on to the Gordian knot, </w:t>
      </w:r>
      <w:r w:rsidR="00296B30" w:rsidRPr="001C34A0">
        <w:rPr>
          <w:rFonts w:ascii="Times New Roman" w:hAnsi="Times New Roman" w:cs="Times New Roman"/>
        </w:rPr>
        <w:t>patient was a post living donor liver transplant survivor who experienced progression</w:t>
      </w:r>
      <w:r w:rsidR="00296B30">
        <w:rPr>
          <w:rFonts w:ascii="Times New Roman" w:hAnsi="Times New Roman" w:cs="Times New Roman"/>
        </w:rPr>
        <w:t xml:space="preserve"> with interval appearance of a new right adrenal lesion and progression</w:t>
      </w:r>
      <w:r w:rsidR="00296B30" w:rsidRPr="001C34A0">
        <w:rPr>
          <w:rFonts w:ascii="Times New Roman" w:hAnsi="Times New Roman" w:cs="Times New Roman"/>
        </w:rPr>
        <w:t xml:space="preserve"> in the D11 spi</w:t>
      </w:r>
      <w:r w:rsidR="00296B30">
        <w:rPr>
          <w:rFonts w:ascii="Times New Roman" w:hAnsi="Times New Roman" w:cs="Times New Roman"/>
        </w:rPr>
        <w:t>ne</w:t>
      </w:r>
      <w:r w:rsidR="00296B30" w:rsidRPr="001C34A0">
        <w:rPr>
          <w:rFonts w:ascii="Times New Roman" w:hAnsi="Times New Roman" w:cs="Times New Roman"/>
        </w:rPr>
        <w:t xml:space="preserve">. Proximity of the </w:t>
      </w:r>
      <w:r w:rsidR="00296B30">
        <w:rPr>
          <w:rFonts w:ascii="Times New Roman" w:hAnsi="Times New Roman" w:cs="Times New Roman"/>
        </w:rPr>
        <w:t>Right A</w:t>
      </w:r>
      <w:r w:rsidR="00296B30" w:rsidRPr="001C34A0">
        <w:rPr>
          <w:rFonts w:ascii="Times New Roman" w:hAnsi="Times New Roman" w:cs="Times New Roman"/>
        </w:rPr>
        <w:t xml:space="preserve">drenal gland </w:t>
      </w:r>
      <w:r w:rsidR="00296B30">
        <w:rPr>
          <w:rFonts w:ascii="Times New Roman" w:hAnsi="Times New Roman" w:cs="Times New Roman"/>
        </w:rPr>
        <w:t xml:space="preserve">lesion </w:t>
      </w:r>
      <w:r w:rsidR="00296B30" w:rsidRPr="001C34A0">
        <w:rPr>
          <w:rFonts w:ascii="Times New Roman" w:hAnsi="Times New Roman" w:cs="Times New Roman"/>
        </w:rPr>
        <w:t>and the irradiated</w:t>
      </w:r>
      <w:r w:rsidR="00296B30">
        <w:rPr>
          <w:rFonts w:ascii="Times New Roman" w:hAnsi="Times New Roman" w:cs="Times New Roman"/>
        </w:rPr>
        <w:t xml:space="preserve"> </w:t>
      </w:r>
      <w:r w:rsidR="00296B30" w:rsidRPr="001C34A0">
        <w:rPr>
          <w:rFonts w:ascii="Times New Roman" w:hAnsi="Times New Roman" w:cs="Times New Roman"/>
        </w:rPr>
        <w:t xml:space="preserve">D11 spine to the transplanted Liver posed a challenge to deliver radiation safely to the </w:t>
      </w:r>
      <w:r w:rsidR="00296B30">
        <w:rPr>
          <w:rFonts w:ascii="Times New Roman" w:hAnsi="Times New Roman" w:cs="Times New Roman"/>
        </w:rPr>
        <w:t xml:space="preserve">complex </w:t>
      </w:r>
      <w:r w:rsidR="00296B30" w:rsidRPr="001C34A0">
        <w:rPr>
          <w:rFonts w:ascii="Times New Roman" w:hAnsi="Times New Roman" w:cs="Times New Roman"/>
        </w:rPr>
        <w:t>target</w:t>
      </w:r>
      <w:r w:rsidR="00296B30">
        <w:rPr>
          <w:rFonts w:ascii="Times New Roman" w:hAnsi="Times New Roman" w:cs="Times New Roman"/>
        </w:rPr>
        <w:t xml:space="preserve"> volume</w:t>
      </w:r>
      <w:r w:rsidR="00296B30" w:rsidRPr="001C34A0">
        <w:rPr>
          <w:rFonts w:ascii="Times New Roman" w:hAnsi="Times New Roman" w:cs="Times New Roman"/>
        </w:rPr>
        <w:t xml:space="preserve"> while avoiding critical organs at risk </w:t>
      </w:r>
      <w:r w:rsidR="00296B30">
        <w:rPr>
          <w:rFonts w:ascii="Times New Roman" w:hAnsi="Times New Roman" w:cs="Times New Roman"/>
        </w:rPr>
        <w:t>(transplanted Liver &amp; cord</w:t>
      </w:r>
      <w:r w:rsidR="00296B30" w:rsidRPr="001C34A0">
        <w:rPr>
          <w:rFonts w:ascii="Times New Roman" w:hAnsi="Times New Roman" w:cs="Times New Roman"/>
        </w:rPr>
        <w:t>).</w:t>
      </w:r>
      <w:r w:rsidR="00296B30">
        <w:rPr>
          <w:rFonts w:ascii="Times New Roman" w:hAnsi="Times New Roman" w:cs="Times New Roman"/>
        </w:rPr>
        <w:t xml:space="preserve"> </w:t>
      </w:r>
    </w:p>
    <w:p w14:paraId="6C0AFAD7" w14:textId="257008B8" w:rsidR="00DB1789" w:rsidRPr="000729DA" w:rsidRDefault="00DB1789" w:rsidP="00467DF3">
      <w:pPr>
        <w:jc w:val="both"/>
        <w:rPr>
          <w:rFonts w:ascii="Times New Roman" w:hAnsi="Times New Roman" w:cs="Times New Roman"/>
        </w:rPr>
      </w:pPr>
      <w:r w:rsidRPr="000729DA">
        <w:rPr>
          <w:rFonts w:ascii="Times New Roman" w:hAnsi="Times New Roman" w:cs="Times New Roman"/>
        </w:rPr>
        <w:t>In addition to having limited metastatic</w:t>
      </w:r>
      <w:r w:rsidR="001B1E25" w:rsidRPr="000729DA">
        <w:rPr>
          <w:rFonts w:ascii="Times New Roman" w:hAnsi="Times New Roman" w:cs="Times New Roman"/>
        </w:rPr>
        <w:t xml:space="preserve"> burden</w:t>
      </w:r>
      <w:r w:rsidRPr="000729DA">
        <w:rPr>
          <w:rFonts w:ascii="Times New Roman" w:hAnsi="Times New Roman" w:cs="Times New Roman"/>
        </w:rPr>
        <w:t xml:space="preserve"> </w:t>
      </w:r>
      <w:r w:rsidR="00D35BA9">
        <w:rPr>
          <w:rFonts w:ascii="Times New Roman" w:hAnsi="Times New Roman" w:cs="Times New Roman"/>
        </w:rPr>
        <w:t xml:space="preserve">our </w:t>
      </w:r>
      <w:r w:rsidR="0089787E" w:rsidRPr="000729DA">
        <w:rPr>
          <w:rFonts w:ascii="Times New Roman" w:hAnsi="Times New Roman" w:cs="Times New Roman"/>
        </w:rPr>
        <w:t xml:space="preserve">patient was </w:t>
      </w:r>
      <w:r w:rsidR="00D803B0" w:rsidRPr="000729DA">
        <w:rPr>
          <w:rFonts w:ascii="Times New Roman" w:hAnsi="Times New Roman" w:cs="Times New Roman"/>
        </w:rPr>
        <w:t>an</w:t>
      </w:r>
      <w:r w:rsidR="0089787E" w:rsidRPr="000729DA">
        <w:rPr>
          <w:rFonts w:ascii="Times New Roman" w:hAnsi="Times New Roman" w:cs="Times New Roman"/>
        </w:rPr>
        <w:t xml:space="preserve"> AFP non secretor. </w:t>
      </w:r>
      <w:r w:rsidR="000114DF" w:rsidRPr="000729DA">
        <w:rPr>
          <w:rFonts w:ascii="Times New Roman" w:hAnsi="Times New Roman" w:cs="Times New Roman"/>
        </w:rPr>
        <w:t xml:space="preserve"> Non secretion of AFP at diagnosis has shown to be an important determinant for overall survival </w:t>
      </w:r>
      <w:r w:rsidR="00207536">
        <w:rPr>
          <w:rFonts w:ascii="Times New Roman" w:hAnsi="Times New Roman" w:cs="Times New Roman"/>
        </w:rPr>
        <w:t xml:space="preserve">in post-transplant patients in a study utilizing the scientific registry of transplant </w:t>
      </w:r>
      <w:r w:rsidR="00C92A32">
        <w:rPr>
          <w:rFonts w:ascii="Times New Roman" w:hAnsi="Times New Roman" w:cs="Times New Roman"/>
        </w:rPr>
        <w:t>recipients</w:t>
      </w:r>
      <w:r w:rsidR="00207536">
        <w:rPr>
          <w:rFonts w:ascii="Times New Roman" w:hAnsi="Times New Roman" w:cs="Times New Roman"/>
        </w:rPr>
        <w:t xml:space="preserve"> database and </w:t>
      </w:r>
      <w:r w:rsidR="000114DF" w:rsidRPr="000729DA">
        <w:rPr>
          <w:rFonts w:ascii="Times New Roman" w:hAnsi="Times New Roman" w:cs="Times New Roman"/>
        </w:rPr>
        <w:t xml:space="preserve">in </w:t>
      </w:r>
      <w:r w:rsidR="00D35BA9">
        <w:rPr>
          <w:rFonts w:ascii="Times New Roman" w:hAnsi="Times New Roman" w:cs="Times New Roman"/>
        </w:rPr>
        <w:t xml:space="preserve">locally advanced HCC </w:t>
      </w:r>
      <w:r w:rsidR="000114DF" w:rsidRPr="000729DA">
        <w:rPr>
          <w:rFonts w:ascii="Times New Roman" w:hAnsi="Times New Roman" w:cs="Times New Roman"/>
        </w:rPr>
        <w:t>patients treated with Sorafenib</w:t>
      </w:r>
      <w:r w:rsidR="001B1E25" w:rsidRPr="000729DA">
        <w:rPr>
          <w:rFonts w:ascii="Times New Roman" w:hAnsi="Times New Roman" w:cs="Times New Roman"/>
        </w:rPr>
        <w:t xml:space="preserve"> in a retrospective study (15</w:t>
      </w:r>
      <w:r w:rsidR="00EC76DC" w:rsidRPr="000729DA">
        <w:rPr>
          <w:rFonts w:ascii="Times New Roman" w:hAnsi="Times New Roman" w:cs="Times New Roman"/>
        </w:rPr>
        <w:t>-Toso et al</w:t>
      </w:r>
      <w:r w:rsidR="00A31377" w:rsidRPr="000729DA">
        <w:rPr>
          <w:rFonts w:ascii="Times New Roman" w:hAnsi="Times New Roman" w:cs="Times New Roman"/>
        </w:rPr>
        <w:t>, 16</w:t>
      </w:r>
      <w:r w:rsidR="00EC76DC" w:rsidRPr="000729DA">
        <w:rPr>
          <w:rFonts w:ascii="Times New Roman" w:hAnsi="Times New Roman" w:cs="Times New Roman"/>
        </w:rPr>
        <w:t>-Afshar et al</w:t>
      </w:r>
      <w:r w:rsidR="00A31377" w:rsidRPr="000729DA">
        <w:rPr>
          <w:rFonts w:ascii="Times New Roman" w:hAnsi="Times New Roman" w:cs="Times New Roman"/>
        </w:rPr>
        <w:t>)</w:t>
      </w:r>
      <w:r w:rsidR="000114DF" w:rsidRPr="000729DA">
        <w:rPr>
          <w:rFonts w:ascii="Times New Roman" w:hAnsi="Times New Roman" w:cs="Times New Roman"/>
        </w:rPr>
        <w:t xml:space="preserve">. </w:t>
      </w:r>
      <w:r w:rsidR="001B1E25" w:rsidRPr="000729DA">
        <w:rPr>
          <w:rFonts w:ascii="Times New Roman" w:hAnsi="Times New Roman" w:cs="Times New Roman"/>
        </w:rPr>
        <w:t>An improved outcome due to better clinical care and favourable disease characteristics eventually leads</w:t>
      </w:r>
      <w:r w:rsidR="000114DF" w:rsidRPr="000729DA">
        <w:rPr>
          <w:rFonts w:ascii="Times New Roman" w:hAnsi="Times New Roman" w:cs="Times New Roman"/>
        </w:rPr>
        <w:t xml:space="preserve"> to more number of patients presenting with vertebral metastases</w:t>
      </w:r>
      <w:r w:rsidR="008F1F49" w:rsidRPr="000729DA">
        <w:rPr>
          <w:rFonts w:ascii="Times New Roman" w:hAnsi="Times New Roman" w:cs="Times New Roman"/>
        </w:rPr>
        <w:t>.</w:t>
      </w:r>
      <w:r w:rsidR="00A31377" w:rsidRPr="000729DA">
        <w:rPr>
          <w:rFonts w:ascii="Times New Roman" w:hAnsi="Times New Roman" w:cs="Times New Roman"/>
        </w:rPr>
        <w:t xml:space="preserve"> </w:t>
      </w:r>
      <w:r w:rsidR="000729DA" w:rsidRPr="000729DA">
        <w:rPr>
          <w:rFonts w:ascii="Times New Roman" w:hAnsi="Times New Roman" w:cs="Times New Roman"/>
        </w:rPr>
        <w:t xml:space="preserve">Furthermore, long term survivors will experience not just pain but also local tumour progression </w:t>
      </w:r>
      <w:r w:rsidR="00F80CF4">
        <w:rPr>
          <w:rFonts w:ascii="Times New Roman" w:hAnsi="Times New Roman" w:cs="Times New Roman"/>
        </w:rPr>
        <w:t xml:space="preserve">and consequently </w:t>
      </w:r>
      <w:r w:rsidR="003A420F">
        <w:rPr>
          <w:rFonts w:ascii="Times New Roman" w:hAnsi="Times New Roman" w:cs="Times New Roman"/>
        </w:rPr>
        <w:t xml:space="preserve">need </w:t>
      </w:r>
      <w:r w:rsidR="003A420F" w:rsidRPr="000729DA">
        <w:rPr>
          <w:rFonts w:ascii="Times New Roman" w:hAnsi="Times New Roman" w:cs="Times New Roman"/>
        </w:rPr>
        <w:t>reirradiation</w:t>
      </w:r>
      <w:r w:rsidR="00F80CF4">
        <w:rPr>
          <w:rFonts w:ascii="Times New Roman" w:hAnsi="Times New Roman" w:cs="Times New Roman"/>
        </w:rPr>
        <w:t xml:space="preserve"> to salvage the bones</w:t>
      </w:r>
      <w:r w:rsidR="000729DA" w:rsidRPr="000729DA">
        <w:rPr>
          <w:rFonts w:ascii="Times New Roman" w:hAnsi="Times New Roman" w:cs="Times New Roman"/>
        </w:rPr>
        <w:t>.</w:t>
      </w:r>
      <w:r w:rsidR="000114DF" w:rsidRPr="000729DA">
        <w:rPr>
          <w:rFonts w:ascii="Times New Roman" w:hAnsi="Times New Roman" w:cs="Times New Roman"/>
        </w:rPr>
        <w:t xml:space="preserve"> </w:t>
      </w:r>
      <w:r w:rsidR="00A31377" w:rsidRPr="000729DA">
        <w:rPr>
          <w:rFonts w:ascii="Times New Roman" w:hAnsi="Times New Roman" w:cs="Times New Roman"/>
        </w:rPr>
        <w:t xml:space="preserve"> </w:t>
      </w:r>
    </w:p>
    <w:p w14:paraId="23294B5A" w14:textId="088F9CBD" w:rsidR="00296B30" w:rsidRPr="00D30627" w:rsidRDefault="00296B30" w:rsidP="00296B3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Recently, a single institution retrospective study reported that proton-ablative radiation therapy</w:t>
      </w:r>
      <w:r w:rsidR="00D30627">
        <w:rPr>
          <w:rFonts w:ascii="Times New Roman" w:hAnsi="Times New Roman" w:cs="Times New Roman"/>
        </w:rPr>
        <w:t xml:space="preserve"> to primary HCC</w:t>
      </w:r>
      <w:r>
        <w:rPr>
          <w:rFonts w:ascii="Times New Roman" w:hAnsi="Times New Roman" w:cs="Times New Roman"/>
        </w:rPr>
        <w:t xml:space="preserve"> was associated with better survival, probably due to decreased incidence of posttreatment Liver decompensation (</w:t>
      </w:r>
      <w:r w:rsidR="000729DA">
        <w:rPr>
          <w:rFonts w:ascii="Times New Roman" w:hAnsi="Times New Roman" w:cs="Times New Roman"/>
        </w:rPr>
        <w:t>17-</w:t>
      </w:r>
      <w:r>
        <w:rPr>
          <w:rFonts w:ascii="Times New Roman" w:hAnsi="Times New Roman" w:cs="Times New Roman"/>
        </w:rPr>
        <w:t>Sanford et al.). They hypothesize that Bragg peak phenomenon a distinctive feature of proton therapy reduces the low dose bath distal to the target beam path associated with photons.  The figure</w:t>
      </w:r>
      <w:r w:rsidR="00D30627">
        <w:rPr>
          <w:rFonts w:ascii="Times New Roman" w:hAnsi="Times New Roman" w:cs="Times New Roman"/>
        </w:rPr>
        <w:t>-x</w:t>
      </w:r>
      <w:r>
        <w:rPr>
          <w:rFonts w:ascii="Times New Roman" w:hAnsi="Times New Roman" w:cs="Times New Roman"/>
        </w:rPr>
        <w:t xml:space="preserve"> shows how we placed Four partial arcs with avoidance sector to reduce low dose bath to the transplanted liver</w:t>
      </w:r>
      <w:r w:rsidR="00BA4C36">
        <w:rPr>
          <w:rFonts w:ascii="Times New Roman" w:hAnsi="Times New Roman" w:cs="Times New Roman"/>
        </w:rPr>
        <w:t xml:space="preserve"> for both the spine SBRT courses</w:t>
      </w:r>
      <w:r>
        <w:rPr>
          <w:rFonts w:ascii="Times New Roman" w:hAnsi="Times New Roman" w:cs="Times New Roman"/>
        </w:rPr>
        <w:t>.</w:t>
      </w:r>
      <w:r w:rsidR="00D30627">
        <w:rPr>
          <w:rFonts w:ascii="Times New Roman" w:hAnsi="Times New Roman" w:cs="Times New Roman"/>
        </w:rPr>
        <w:t xml:space="preserve"> </w:t>
      </w:r>
      <w:r w:rsidRPr="009B5244">
        <w:rPr>
          <w:rFonts w:ascii="Times New Roman" w:hAnsi="Times New Roman" w:cs="Times New Roman"/>
        </w:rPr>
        <w:t>To our knowledge this is the first published case report on reirradiation SBRT to spine in a living donor liver transplant patient from the Indian subcontinent</w:t>
      </w:r>
      <w:r>
        <w:rPr>
          <w:rFonts w:ascii="Times New Roman" w:hAnsi="Times New Roman" w:cs="Times New Roman"/>
        </w:rPr>
        <w:t>.</w:t>
      </w:r>
    </w:p>
    <w:p w14:paraId="65B5234E" w14:textId="49328915" w:rsidR="003C28B6" w:rsidRDefault="00467A9C" w:rsidP="00A8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Conclusion</w:t>
      </w:r>
      <w:r w:rsidR="000B1242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The present case report suggests that reirradiation </w:t>
      </w:r>
      <w:r w:rsidR="001D36B9">
        <w:rPr>
          <w:rFonts w:ascii="Times New Roman" w:hAnsi="Times New Roman" w:cs="Times New Roman"/>
        </w:rPr>
        <w:t xml:space="preserve">spine </w:t>
      </w:r>
      <w:r>
        <w:rPr>
          <w:rFonts w:ascii="Times New Roman" w:hAnsi="Times New Roman" w:cs="Times New Roman"/>
        </w:rPr>
        <w:t xml:space="preserve">SBRT </w:t>
      </w:r>
      <w:r w:rsidR="00B30A59">
        <w:rPr>
          <w:rFonts w:ascii="Times New Roman" w:hAnsi="Times New Roman" w:cs="Times New Roman"/>
        </w:rPr>
        <w:t xml:space="preserve">is feasible and </w:t>
      </w:r>
      <w:r>
        <w:rPr>
          <w:rFonts w:ascii="Times New Roman" w:hAnsi="Times New Roman" w:cs="Times New Roman"/>
        </w:rPr>
        <w:t xml:space="preserve">may be a reasonable option </w:t>
      </w:r>
      <w:r w:rsidR="007B49CB">
        <w:rPr>
          <w:rFonts w:ascii="Times New Roman" w:hAnsi="Times New Roman" w:cs="Times New Roman"/>
        </w:rPr>
        <w:t xml:space="preserve">if used judiciously in a </w:t>
      </w:r>
      <w:r>
        <w:rPr>
          <w:rFonts w:ascii="Times New Roman" w:hAnsi="Times New Roman" w:cs="Times New Roman"/>
        </w:rPr>
        <w:t>select</w:t>
      </w:r>
      <w:r w:rsidR="007B49CB">
        <w:rPr>
          <w:rFonts w:ascii="Times New Roman" w:hAnsi="Times New Roman" w:cs="Times New Roman"/>
        </w:rPr>
        <w:t xml:space="preserve"> group of patient</w:t>
      </w:r>
      <w:r w:rsidR="004770E6">
        <w:rPr>
          <w:rFonts w:ascii="Times New Roman" w:hAnsi="Times New Roman" w:cs="Times New Roman"/>
        </w:rPr>
        <w:t>s</w:t>
      </w:r>
      <w:r w:rsidR="005B7A37">
        <w:rPr>
          <w:rFonts w:ascii="Times New Roman" w:hAnsi="Times New Roman" w:cs="Times New Roman"/>
        </w:rPr>
        <w:t xml:space="preserve"> </w:t>
      </w:r>
      <w:r w:rsidR="007B49CB">
        <w:rPr>
          <w:rFonts w:ascii="Times New Roman" w:hAnsi="Times New Roman" w:cs="Times New Roman"/>
        </w:rPr>
        <w:t xml:space="preserve">wherein one is able to deliver an adequate dose to the target while respecting the CNT tolerance. Moreover, with </w:t>
      </w:r>
      <w:r w:rsidR="00317E17">
        <w:rPr>
          <w:rFonts w:ascii="Times New Roman" w:hAnsi="Times New Roman" w:cs="Times New Roman"/>
        </w:rPr>
        <w:t xml:space="preserve">ever increasing </w:t>
      </w:r>
      <w:r w:rsidR="00A96F2E">
        <w:rPr>
          <w:rFonts w:ascii="Times New Roman" w:hAnsi="Times New Roman" w:cs="Times New Roman"/>
        </w:rPr>
        <w:t>armamentarium of</w:t>
      </w:r>
      <w:r w:rsidR="00B30A59">
        <w:rPr>
          <w:rFonts w:ascii="Times New Roman" w:hAnsi="Times New Roman" w:cs="Times New Roman"/>
        </w:rPr>
        <w:t xml:space="preserve"> </w:t>
      </w:r>
      <w:r w:rsidR="007B49CB">
        <w:rPr>
          <w:rFonts w:ascii="Times New Roman" w:hAnsi="Times New Roman" w:cs="Times New Roman"/>
        </w:rPr>
        <w:t>effective systemic therapies</w:t>
      </w:r>
      <w:r w:rsidR="001D36B9">
        <w:rPr>
          <w:rFonts w:ascii="Times New Roman" w:hAnsi="Times New Roman" w:cs="Times New Roman"/>
        </w:rPr>
        <w:t>,</w:t>
      </w:r>
      <w:r w:rsidR="007B49CB">
        <w:rPr>
          <w:rFonts w:ascii="Times New Roman" w:hAnsi="Times New Roman" w:cs="Times New Roman"/>
        </w:rPr>
        <w:t xml:space="preserve"> local </w:t>
      </w:r>
      <w:r w:rsidR="00B30A59">
        <w:rPr>
          <w:rFonts w:ascii="Times New Roman" w:hAnsi="Times New Roman" w:cs="Times New Roman"/>
        </w:rPr>
        <w:t>control of limited metastatic sites has</w:t>
      </w:r>
      <w:r w:rsidR="007A74B5">
        <w:rPr>
          <w:rFonts w:ascii="Times New Roman" w:hAnsi="Times New Roman" w:cs="Times New Roman"/>
        </w:rPr>
        <w:t xml:space="preserve"> </w:t>
      </w:r>
      <w:r w:rsidR="00B30A59">
        <w:rPr>
          <w:rFonts w:ascii="Times New Roman" w:hAnsi="Times New Roman" w:cs="Times New Roman"/>
        </w:rPr>
        <w:t xml:space="preserve">a </w:t>
      </w:r>
      <w:r w:rsidR="00B30A59" w:rsidRPr="00B30A59">
        <w:rPr>
          <w:rFonts w:ascii="Times New Roman" w:hAnsi="Times New Roman" w:cs="Times New Roman"/>
        </w:rPr>
        <w:t>potential</w:t>
      </w:r>
      <w:r w:rsidR="007A74B5" w:rsidRPr="00B30A59">
        <w:rPr>
          <w:rFonts w:ascii="Times New Roman" w:hAnsi="Times New Roman" w:cs="Times New Roman"/>
        </w:rPr>
        <w:t xml:space="preserve"> to </w:t>
      </w:r>
      <w:r w:rsidR="0043128C">
        <w:rPr>
          <w:rFonts w:ascii="Times New Roman" w:hAnsi="Times New Roman" w:cs="Times New Roman"/>
        </w:rPr>
        <w:t xml:space="preserve">positively </w:t>
      </w:r>
      <w:r w:rsidR="007A74B5" w:rsidRPr="00B30A59">
        <w:rPr>
          <w:rFonts w:ascii="Times New Roman" w:hAnsi="Times New Roman" w:cs="Times New Roman"/>
        </w:rPr>
        <w:t xml:space="preserve">influence </w:t>
      </w:r>
      <w:r w:rsidR="00B30A59">
        <w:rPr>
          <w:rFonts w:ascii="Times New Roman" w:hAnsi="Times New Roman" w:cs="Times New Roman"/>
        </w:rPr>
        <w:t xml:space="preserve">long term </w:t>
      </w:r>
      <w:r w:rsidR="001D36B9" w:rsidRPr="00B30A59">
        <w:rPr>
          <w:rFonts w:ascii="Times New Roman" w:hAnsi="Times New Roman" w:cs="Times New Roman"/>
        </w:rPr>
        <w:t>clinical outcomes.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240"/>
        <w:gridCol w:w="2268"/>
      </w:tblGrid>
      <w:tr w:rsidR="003C28B6" w14:paraId="3F689B2B" w14:textId="77777777" w:rsidTr="00B50917">
        <w:trPr>
          <w:jc w:val="center"/>
        </w:trPr>
        <w:tc>
          <w:tcPr>
            <w:tcW w:w="2830" w:type="dxa"/>
          </w:tcPr>
          <w:p w14:paraId="711864FE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40" w:type="dxa"/>
          </w:tcPr>
          <w:p w14:paraId="4FE74634" w14:textId="77777777" w:rsidR="00B50917" w:rsidRDefault="003C28B6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63B19">
              <w:rPr>
                <w:rFonts w:ascii="Times New Roman" w:hAnsi="Times New Roman" w:cs="Times New Roman"/>
                <w:b/>
              </w:rPr>
              <w:t xml:space="preserve">SBRT </w:t>
            </w:r>
          </w:p>
          <w:p w14:paraId="767D2250" w14:textId="77777777" w:rsidR="003C28B6" w:rsidRPr="00B63B19" w:rsidRDefault="003C28B6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63B19">
              <w:rPr>
                <w:rFonts w:ascii="Times New Roman" w:hAnsi="Times New Roman" w:cs="Times New Roman"/>
                <w:b/>
              </w:rPr>
              <w:t>(1</w:t>
            </w:r>
            <w:r w:rsidRPr="00B63B19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B63B19">
              <w:rPr>
                <w:rFonts w:ascii="Times New Roman" w:hAnsi="Times New Roman" w:cs="Times New Roman"/>
                <w:b/>
              </w:rPr>
              <w:t xml:space="preserve"> - Course)</w:t>
            </w:r>
          </w:p>
        </w:tc>
        <w:tc>
          <w:tcPr>
            <w:tcW w:w="2268" w:type="dxa"/>
          </w:tcPr>
          <w:p w14:paraId="399A46B5" w14:textId="77777777" w:rsidR="00B50917" w:rsidRDefault="003C28B6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63B19">
              <w:rPr>
                <w:rFonts w:ascii="Times New Roman" w:hAnsi="Times New Roman" w:cs="Times New Roman"/>
                <w:b/>
              </w:rPr>
              <w:t xml:space="preserve">Reirradiation-SBRT </w:t>
            </w:r>
          </w:p>
          <w:p w14:paraId="6E975A1A" w14:textId="77777777" w:rsidR="003C28B6" w:rsidRPr="00B63B19" w:rsidRDefault="003C28B6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63B19">
              <w:rPr>
                <w:rFonts w:ascii="Times New Roman" w:hAnsi="Times New Roman" w:cs="Times New Roman"/>
                <w:b/>
              </w:rPr>
              <w:t>(2</w:t>
            </w:r>
            <w:r w:rsidRPr="00B63B19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B63B19">
              <w:rPr>
                <w:rFonts w:ascii="Times New Roman" w:hAnsi="Times New Roman" w:cs="Times New Roman"/>
                <w:b/>
              </w:rPr>
              <w:t xml:space="preserve"> - Course)</w:t>
            </w:r>
          </w:p>
        </w:tc>
      </w:tr>
      <w:tr w:rsidR="00B63B19" w14:paraId="0F9C120C" w14:textId="77777777" w:rsidTr="00B50917">
        <w:trPr>
          <w:jc w:val="center"/>
        </w:trPr>
        <w:tc>
          <w:tcPr>
            <w:tcW w:w="2830" w:type="dxa"/>
          </w:tcPr>
          <w:p w14:paraId="2B15A70D" w14:textId="77777777" w:rsidR="00B63B19" w:rsidRPr="00B63B19" w:rsidRDefault="00B63B19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63B19">
              <w:rPr>
                <w:rFonts w:ascii="Times New Roman" w:hAnsi="Times New Roman" w:cs="Times New Roman"/>
                <w:b/>
              </w:rPr>
              <w:t>Target Parameters</w:t>
            </w:r>
          </w:p>
        </w:tc>
        <w:tc>
          <w:tcPr>
            <w:tcW w:w="2240" w:type="dxa"/>
          </w:tcPr>
          <w:p w14:paraId="78B65CCF" w14:textId="77777777" w:rsidR="00B63B19" w:rsidRDefault="00B63B19" w:rsidP="00A85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7136F28" w14:textId="77777777" w:rsidR="00B63B19" w:rsidRDefault="00B63B19" w:rsidP="00A8547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C28B6" w14:paraId="4AFF918E" w14:textId="77777777" w:rsidTr="00B50917">
        <w:trPr>
          <w:jc w:val="center"/>
        </w:trPr>
        <w:tc>
          <w:tcPr>
            <w:tcW w:w="2830" w:type="dxa"/>
          </w:tcPr>
          <w:p w14:paraId="716D18E5" w14:textId="77777777" w:rsidR="003C28B6" w:rsidRPr="00B50917" w:rsidRDefault="003C28B6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CTV</w:t>
            </w:r>
          </w:p>
          <w:p w14:paraId="0160EE6C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Shape</w:t>
            </w:r>
          </w:p>
          <w:p w14:paraId="7EA767FE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 (cc)</w:t>
            </w:r>
          </w:p>
        </w:tc>
        <w:tc>
          <w:tcPr>
            <w:tcW w:w="2240" w:type="dxa"/>
          </w:tcPr>
          <w:p w14:paraId="774D7568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719DFF01" w14:textId="77777777" w:rsidR="003C28B6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Donut</w:t>
            </w:r>
          </w:p>
          <w:p w14:paraId="554CBCAD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103.8 </w:t>
            </w:r>
          </w:p>
        </w:tc>
        <w:tc>
          <w:tcPr>
            <w:tcW w:w="2268" w:type="dxa"/>
          </w:tcPr>
          <w:p w14:paraId="7BEF27AA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20D19766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Non-Donut</w:t>
            </w:r>
          </w:p>
          <w:p w14:paraId="23A9FA99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52.5</w:t>
            </w:r>
          </w:p>
        </w:tc>
      </w:tr>
      <w:tr w:rsidR="003C28B6" w14:paraId="19D50A37" w14:textId="77777777" w:rsidTr="00B50917">
        <w:trPr>
          <w:jc w:val="center"/>
        </w:trPr>
        <w:tc>
          <w:tcPr>
            <w:tcW w:w="2830" w:type="dxa"/>
          </w:tcPr>
          <w:p w14:paraId="497FC37C" w14:textId="77777777" w:rsidR="003C28B6" w:rsidRPr="00B50917" w:rsidRDefault="003C28B6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PTV</w:t>
            </w:r>
          </w:p>
          <w:p w14:paraId="457B5027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 (cc)</w:t>
            </w:r>
          </w:p>
        </w:tc>
        <w:tc>
          <w:tcPr>
            <w:tcW w:w="2240" w:type="dxa"/>
          </w:tcPr>
          <w:p w14:paraId="26BEB56C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7D42AE1F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152.3 cc</w:t>
            </w:r>
          </w:p>
        </w:tc>
        <w:tc>
          <w:tcPr>
            <w:tcW w:w="2268" w:type="dxa"/>
          </w:tcPr>
          <w:p w14:paraId="021EDCD1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7509F3A5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cc</w:t>
            </w:r>
          </w:p>
        </w:tc>
      </w:tr>
      <w:tr w:rsidR="003C28B6" w14:paraId="3A3D8FC5" w14:textId="77777777" w:rsidTr="00B50917">
        <w:trPr>
          <w:jc w:val="center"/>
        </w:trPr>
        <w:tc>
          <w:tcPr>
            <w:tcW w:w="2830" w:type="dxa"/>
          </w:tcPr>
          <w:p w14:paraId="1CF5A18C" w14:textId="77777777" w:rsidR="003C28B6" w:rsidRPr="00B50917" w:rsidRDefault="003C28B6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Planning Technique</w:t>
            </w:r>
          </w:p>
          <w:p w14:paraId="164328DE" w14:textId="77777777" w:rsidR="00B50917" w:rsidRPr="00B50917" w:rsidRDefault="00B50917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No. of arcs</w:t>
            </w:r>
          </w:p>
          <w:p w14:paraId="2983782F" w14:textId="77777777" w:rsidR="00B50917" w:rsidRPr="00B50917" w:rsidRDefault="00B50917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Arc Geometry</w:t>
            </w:r>
          </w:p>
          <w:p w14:paraId="33A66B02" w14:textId="77777777" w:rsidR="00B50917" w:rsidRPr="00B50917" w:rsidRDefault="00B50917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Avoidance sector</w:t>
            </w:r>
          </w:p>
          <w:p w14:paraId="1263ED97" w14:textId="77777777" w:rsidR="00B63B19" w:rsidRPr="00B50917" w:rsidRDefault="00B63B19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Dose fractionation</w:t>
            </w:r>
          </w:p>
          <w:p w14:paraId="1E9E86BC" w14:textId="77777777" w:rsidR="003C28B6" w:rsidRPr="00B50917" w:rsidRDefault="005F66ED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D1%</w:t>
            </w:r>
          </w:p>
          <w:p w14:paraId="42A39BB6" w14:textId="77777777" w:rsidR="003C28B6" w:rsidRPr="00B50917" w:rsidRDefault="003C28B6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D95 %</w:t>
            </w:r>
          </w:p>
          <w:p w14:paraId="19995E8D" w14:textId="77777777" w:rsidR="00026C29" w:rsidRDefault="001A761B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Conformity</w:t>
            </w:r>
            <w:r w:rsidRPr="00B50917">
              <w:rPr>
                <w:rFonts w:ascii="Times New Roman" w:hAnsi="Times New Roman" w:cs="Times New Roman"/>
                <w:b/>
              </w:rPr>
              <w:t xml:space="preserve"> Index</w:t>
            </w:r>
            <w:r w:rsidR="005F66ED">
              <w:rPr>
                <w:rFonts w:ascii="Times New Roman" w:hAnsi="Times New Roman" w:cs="Times New Roman"/>
              </w:rPr>
              <w:t xml:space="preserve"> </w:t>
            </w:r>
            <w:r w:rsidR="003C28B6" w:rsidRPr="00B50917">
              <w:rPr>
                <w:rFonts w:ascii="Times New Roman" w:hAnsi="Times New Roman" w:cs="Times New Roman"/>
                <w:b/>
              </w:rPr>
              <w:t>CI)</w:t>
            </w:r>
          </w:p>
          <w:p w14:paraId="2BCCFB00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  <w:r w:rsidRPr="003C28B6">
              <w:rPr>
                <w:rFonts w:ascii="Times New Roman" w:hAnsi="Times New Roman" w:cs="Times New Roman"/>
                <w:sz w:val="16"/>
                <w:szCs w:val="16"/>
              </w:rPr>
              <w:t>Volume of prescription Isodose/ Volume of PTV</w:t>
            </w:r>
          </w:p>
          <w:p w14:paraId="71C5F62E" w14:textId="77777777" w:rsidR="005F66ED" w:rsidRDefault="003C28B6" w:rsidP="005F66ED">
            <w:pPr>
              <w:rPr>
                <w:rFonts w:ascii="Times New Roman" w:hAnsi="Times New Roman" w:cs="Times New Roman"/>
              </w:rPr>
            </w:pPr>
            <w:r w:rsidRPr="00B50917">
              <w:rPr>
                <w:rFonts w:ascii="Times New Roman" w:hAnsi="Times New Roman" w:cs="Times New Roman"/>
                <w:b/>
              </w:rPr>
              <w:t>Homogeneity index (HI)</w:t>
            </w:r>
          </w:p>
          <w:p w14:paraId="528231FB" w14:textId="77777777" w:rsidR="00026C29" w:rsidRPr="005F66ED" w:rsidRDefault="005F66ED" w:rsidP="005F6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(D2</w:t>
            </w:r>
            <w:r w:rsidR="003C28B6" w:rsidRPr="003C28B6">
              <w:rPr>
                <w:rFonts w:ascii="Times New Roman" w:hAnsi="Times New Roman" w:cs="Times New Roman"/>
                <w:sz w:val="16"/>
                <w:szCs w:val="16"/>
              </w:rPr>
              <w:t xml:space="preserve"> /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D98)</w:t>
            </w:r>
          </w:p>
          <w:p w14:paraId="67C439FB" w14:textId="77777777" w:rsidR="005F66ED" w:rsidRDefault="003C28B6" w:rsidP="005F66ED">
            <w:pPr>
              <w:jc w:val="both"/>
              <w:rPr>
                <w:rFonts w:ascii="Times New Roman" w:hAnsi="Times New Roman" w:cs="Times New Roman"/>
              </w:rPr>
            </w:pPr>
            <w:r w:rsidRPr="00B50917">
              <w:rPr>
                <w:rFonts w:ascii="Times New Roman" w:hAnsi="Times New Roman" w:cs="Times New Roman"/>
                <w:b/>
              </w:rPr>
              <w:t>Gradient Index</w:t>
            </w:r>
            <w:r w:rsidR="00026C29">
              <w:rPr>
                <w:rFonts w:ascii="Times New Roman" w:hAnsi="Times New Roman" w:cs="Times New Roman"/>
              </w:rPr>
              <w:t xml:space="preserve"> </w:t>
            </w:r>
          </w:p>
          <w:p w14:paraId="6DF13D2E" w14:textId="77777777" w:rsidR="005F66ED" w:rsidRPr="005F66ED" w:rsidRDefault="005F66ED" w:rsidP="005F66E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F66ED">
              <w:rPr>
                <w:rFonts w:ascii="Times New Roman" w:hAnsi="Times New Roman" w:cs="Times New Roman"/>
                <w:sz w:val="16"/>
                <w:szCs w:val="16"/>
              </w:rPr>
              <w:t>PTV/V50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AC4F63C" w14:textId="77777777" w:rsidR="003C28B6" w:rsidRPr="00026C29" w:rsidRDefault="003C28B6" w:rsidP="00A8547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127449F" w14:textId="77777777" w:rsidR="003C28B6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VMAT</w:t>
            </w:r>
          </w:p>
          <w:p w14:paraId="6A806605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5AD6BAFC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</w:t>
            </w:r>
          </w:p>
          <w:p w14:paraId="7AD04855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20°-210°</w:t>
            </w:r>
          </w:p>
          <w:p w14:paraId="2373EF93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Gy in 3 Fractions</w:t>
            </w:r>
          </w:p>
          <w:p w14:paraId="31BA9645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5E23B3ED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</w:t>
            </w:r>
          </w:p>
          <w:p w14:paraId="1ABA634A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7B7FDFB4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</w:t>
            </w:r>
          </w:p>
          <w:p w14:paraId="73B5E3B7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23EDCFE7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</w:t>
            </w:r>
          </w:p>
          <w:p w14:paraId="754DA476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3EAB3103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2268" w:type="dxa"/>
          </w:tcPr>
          <w:p w14:paraId="48841A87" w14:textId="77777777" w:rsidR="003C28B6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VMAT</w:t>
            </w:r>
          </w:p>
          <w:p w14:paraId="0EFA901A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3D76EDDE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</w:t>
            </w:r>
          </w:p>
          <w:p w14:paraId="16902EE0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20°-210°</w:t>
            </w:r>
          </w:p>
          <w:p w14:paraId="3462F6F5" w14:textId="77777777" w:rsidR="00B50917" w:rsidRDefault="00B50917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Gy in 5 Fractions</w:t>
            </w:r>
          </w:p>
          <w:p w14:paraId="53A8D597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0F16F1BA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</w:t>
            </w:r>
          </w:p>
          <w:p w14:paraId="7E442750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17A5117D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1.23</w:t>
            </w:r>
          </w:p>
          <w:p w14:paraId="329CB1C4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405C7F60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</w:t>
            </w:r>
          </w:p>
          <w:p w14:paraId="378F512E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102A1A3F" w14:textId="77777777" w:rsidR="005F66ED" w:rsidRDefault="005F66ED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3.89</w:t>
            </w:r>
          </w:p>
        </w:tc>
      </w:tr>
      <w:tr w:rsidR="003C28B6" w14:paraId="5EF17327" w14:textId="77777777" w:rsidTr="00B50917">
        <w:trPr>
          <w:jc w:val="center"/>
        </w:trPr>
        <w:tc>
          <w:tcPr>
            <w:tcW w:w="2830" w:type="dxa"/>
          </w:tcPr>
          <w:p w14:paraId="66C14AD6" w14:textId="77777777" w:rsidR="003C28B6" w:rsidRPr="00B63B19" w:rsidRDefault="00B63B19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Organs at Risk </w:t>
            </w:r>
            <w:r w:rsidRPr="00B63B19">
              <w:rPr>
                <w:rFonts w:ascii="Times New Roman" w:hAnsi="Times New Roman" w:cs="Times New Roman"/>
                <w:b/>
              </w:rPr>
              <w:t>OAR</w:t>
            </w:r>
          </w:p>
        </w:tc>
        <w:tc>
          <w:tcPr>
            <w:tcW w:w="2240" w:type="dxa"/>
          </w:tcPr>
          <w:p w14:paraId="2060DE84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F454193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C28B6" w14:paraId="726CF07E" w14:textId="77777777" w:rsidTr="00B50917">
        <w:trPr>
          <w:jc w:val="center"/>
        </w:trPr>
        <w:tc>
          <w:tcPr>
            <w:tcW w:w="2830" w:type="dxa"/>
          </w:tcPr>
          <w:p w14:paraId="6FDB7555" w14:textId="77777777" w:rsidR="003C28B6" w:rsidRPr="00B50917" w:rsidRDefault="00B63B19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Cord</w:t>
            </w:r>
          </w:p>
          <w:p w14:paraId="513139BC" w14:textId="77777777" w:rsidR="00EC5C36" w:rsidRDefault="00EC5C36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&lt;0.35 cc</w:t>
            </w:r>
          </w:p>
          <w:p w14:paraId="6880C4E0" w14:textId="77777777" w:rsidR="00EC5C36" w:rsidRDefault="00EC5C36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1.2 cc</w:t>
            </w:r>
          </w:p>
        </w:tc>
        <w:tc>
          <w:tcPr>
            <w:tcW w:w="2240" w:type="dxa"/>
          </w:tcPr>
          <w:p w14:paraId="2F0DAE93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3AEF1824" w14:textId="77777777" w:rsidR="00BD001E" w:rsidRDefault="00BD001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24.6</w:t>
            </w:r>
          </w:p>
          <w:p w14:paraId="017DF5A6" w14:textId="77777777" w:rsidR="00BD001E" w:rsidRDefault="00BD001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2268" w:type="dxa"/>
          </w:tcPr>
          <w:p w14:paraId="5845893E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7EAEE23E" w14:textId="77777777" w:rsidR="00BD001E" w:rsidRDefault="00BD001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162A5E36" w14:textId="77777777" w:rsidR="00BD001E" w:rsidRDefault="00BD001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</w:t>
            </w:r>
          </w:p>
        </w:tc>
      </w:tr>
      <w:tr w:rsidR="003C28B6" w14:paraId="3609571C" w14:textId="77777777" w:rsidTr="00B50917">
        <w:trPr>
          <w:jc w:val="center"/>
        </w:trPr>
        <w:tc>
          <w:tcPr>
            <w:tcW w:w="2830" w:type="dxa"/>
          </w:tcPr>
          <w:p w14:paraId="5852F86D" w14:textId="77777777" w:rsidR="003C28B6" w:rsidRPr="00B50917" w:rsidRDefault="00B63B19" w:rsidP="00B50917">
            <w:pPr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C</w:t>
            </w:r>
            <w:r w:rsidR="00B30A59" w:rsidRPr="00B50917">
              <w:rPr>
                <w:rFonts w:ascii="Times New Roman" w:hAnsi="Times New Roman" w:cs="Times New Roman"/>
                <w:b/>
              </w:rPr>
              <w:t xml:space="preserve">ritical </w:t>
            </w:r>
            <w:r w:rsidRPr="00B50917">
              <w:rPr>
                <w:rFonts w:ascii="Times New Roman" w:hAnsi="Times New Roman" w:cs="Times New Roman"/>
                <w:b/>
              </w:rPr>
              <w:t>N</w:t>
            </w:r>
            <w:r w:rsidR="00B30A59" w:rsidRPr="00B50917">
              <w:rPr>
                <w:rFonts w:ascii="Times New Roman" w:hAnsi="Times New Roman" w:cs="Times New Roman"/>
                <w:b/>
              </w:rPr>
              <w:t xml:space="preserve">eural </w:t>
            </w:r>
            <w:r w:rsidRPr="00B50917">
              <w:rPr>
                <w:rFonts w:ascii="Times New Roman" w:hAnsi="Times New Roman" w:cs="Times New Roman"/>
                <w:b/>
              </w:rPr>
              <w:t>T</w:t>
            </w:r>
            <w:r w:rsidR="00B30A59" w:rsidRPr="00B50917">
              <w:rPr>
                <w:rFonts w:ascii="Times New Roman" w:hAnsi="Times New Roman" w:cs="Times New Roman"/>
                <w:b/>
              </w:rPr>
              <w:t>issue</w:t>
            </w:r>
            <w:r w:rsidR="00EC5C36" w:rsidRPr="00B50917">
              <w:rPr>
                <w:rFonts w:ascii="Times New Roman" w:hAnsi="Times New Roman" w:cs="Times New Roman"/>
                <w:b/>
              </w:rPr>
              <w:t>_nBED</w:t>
            </w:r>
          </w:p>
          <w:p w14:paraId="021141BF" w14:textId="77777777" w:rsidR="00EC5C36" w:rsidRDefault="00EC5C36" w:rsidP="00B30A5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40" w:type="dxa"/>
          </w:tcPr>
          <w:p w14:paraId="6B13EF30" w14:textId="77777777" w:rsidR="00B30A59" w:rsidRDefault="00B30A59" w:rsidP="00BD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Gy (</w:t>
            </w:r>
            <w:r w:rsidR="00BD001E">
              <w:rPr>
                <w:rFonts w:ascii="Times New Roman" w:hAnsi="Times New Roman" w:cs="Times New Roman"/>
              </w:rPr>
              <w:t>nBED-</w:t>
            </w:r>
            <w:r>
              <w:rPr>
                <w:rFonts w:ascii="Times New Roman" w:hAnsi="Times New Roman" w:cs="Times New Roman"/>
              </w:rPr>
              <w:t>From 1</w:t>
            </w:r>
            <w:r w:rsidRPr="00EC5C36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SBRT)</w:t>
            </w:r>
          </w:p>
          <w:p w14:paraId="76CBE41F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6FB6862" w14:textId="77777777" w:rsidR="00B30A59" w:rsidRDefault="00B30A59" w:rsidP="00B30A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cord dose was kept &lt;16 Gy in 5 fraction regimen</w:t>
            </w:r>
          </w:p>
          <w:p w14:paraId="75E03976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C28B6" w14:paraId="52D62AD0" w14:textId="77777777" w:rsidTr="00B50917">
        <w:trPr>
          <w:jc w:val="center"/>
        </w:trPr>
        <w:tc>
          <w:tcPr>
            <w:tcW w:w="2830" w:type="dxa"/>
          </w:tcPr>
          <w:p w14:paraId="1F5F8EBD" w14:textId="77777777" w:rsidR="003C28B6" w:rsidRDefault="00BD001E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Transplanted-</w:t>
            </w:r>
            <w:r w:rsidR="00B63B19" w:rsidRPr="00B50917">
              <w:rPr>
                <w:rFonts w:ascii="Times New Roman" w:hAnsi="Times New Roman" w:cs="Times New Roman"/>
                <w:b/>
              </w:rPr>
              <w:t>Liver</w:t>
            </w:r>
          </w:p>
          <w:p w14:paraId="2FF399AA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Volume</w:t>
            </w:r>
          </w:p>
          <w:p w14:paraId="2F5AE0A8" w14:textId="77777777" w:rsidR="00DF2B0C" w:rsidRPr="00B50917" w:rsidRDefault="00DF2B0C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D1cc</w:t>
            </w:r>
          </w:p>
          <w:p w14:paraId="4C6954F6" w14:textId="77777777" w:rsidR="00EC5C36" w:rsidRPr="00B50917" w:rsidRDefault="00EC5C36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V5</w:t>
            </w:r>
          </w:p>
          <w:p w14:paraId="7FED4997" w14:textId="77777777" w:rsidR="00EC5C36" w:rsidRDefault="00EC5C36" w:rsidP="00A85479">
            <w:pPr>
              <w:jc w:val="both"/>
              <w:rPr>
                <w:rFonts w:ascii="Times New Roman" w:hAnsi="Times New Roman" w:cs="Times New Roman"/>
              </w:rPr>
            </w:pPr>
            <w:r w:rsidRPr="00B50917">
              <w:rPr>
                <w:rFonts w:ascii="Times New Roman" w:hAnsi="Times New Roman" w:cs="Times New Roman"/>
                <w:b/>
              </w:rPr>
              <w:t>V21</w:t>
            </w:r>
          </w:p>
        </w:tc>
        <w:tc>
          <w:tcPr>
            <w:tcW w:w="2240" w:type="dxa"/>
          </w:tcPr>
          <w:p w14:paraId="4D2D1918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562895A5" w14:textId="77777777" w:rsidR="003C28B6" w:rsidRDefault="00BD001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1230 cc</w:t>
            </w:r>
          </w:p>
          <w:p w14:paraId="6E01B24E" w14:textId="77777777" w:rsidR="00DF2B0C" w:rsidRDefault="00DF2B0C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</w:t>
            </w:r>
          </w:p>
          <w:p w14:paraId="52225298" w14:textId="77777777" w:rsidR="00BD001E" w:rsidRDefault="00BD001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350.6 cc</w:t>
            </w:r>
          </w:p>
          <w:p w14:paraId="09C77F97" w14:textId="77777777" w:rsidR="00BD001E" w:rsidRDefault="00BD001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45768CB0" w14:textId="77777777" w:rsidR="003C28B6" w:rsidRDefault="003C28B6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700004B1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4BC0E273" w14:textId="77777777" w:rsidR="00DF2B0C" w:rsidRDefault="00DF2B0C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</w:t>
            </w:r>
          </w:p>
          <w:p w14:paraId="41BC4233" w14:textId="77777777" w:rsidR="00BD001E" w:rsidRDefault="00BD001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181.7 cc</w:t>
            </w:r>
          </w:p>
          <w:p w14:paraId="6E4471FF" w14:textId="77777777" w:rsidR="00BD001E" w:rsidRDefault="00BD001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 cc</w:t>
            </w:r>
          </w:p>
        </w:tc>
      </w:tr>
      <w:tr w:rsidR="00B63B19" w14:paraId="3AA999C5" w14:textId="77777777" w:rsidTr="00B50917">
        <w:trPr>
          <w:jc w:val="center"/>
        </w:trPr>
        <w:tc>
          <w:tcPr>
            <w:tcW w:w="2830" w:type="dxa"/>
          </w:tcPr>
          <w:p w14:paraId="7D354C0B" w14:textId="77777777" w:rsidR="00DF2B0C" w:rsidRDefault="00DF2B0C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Esophagus D1cc</w:t>
            </w:r>
          </w:p>
          <w:p w14:paraId="00B34413" w14:textId="77777777" w:rsidR="00B63B19" w:rsidRDefault="00B63B19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Stomach</w:t>
            </w:r>
          </w:p>
          <w:p w14:paraId="78474CF7" w14:textId="77777777" w:rsidR="00BD001E" w:rsidRPr="00B50917" w:rsidRDefault="00BD001E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Dmax</w:t>
            </w:r>
          </w:p>
          <w:p w14:paraId="6260852F" w14:textId="77777777" w:rsidR="00EC5C36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16 Gy</w:t>
            </w:r>
            <w:r w:rsidR="00EC5C36" w:rsidRPr="00B50917">
              <w:rPr>
                <w:rFonts w:ascii="Times New Roman" w:hAnsi="Times New Roman" w:cs="Times New Roman"/>
                <w:b/>
              </w:rPr>
              <w:t>&lt; 10 cc</w:t>
            </w:r>
          </w:p>
        </w:tc>
        <w:tc>
          <w:tcPr>
            <w:tcW w:w="2240" w:type="dxa"/>
          </w:tcPr>
          <w:p w14:paraId="2BE23F35" w14:textId="77777777" w:rsidR="00B63B19" w:rsidRDefault="00B63B19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219F93A5" w14:textId="77777777" w:rsidR="00DF2B0C" w:rsidRDefault="00DF2B0C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01EFEE0C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16.6 Gy</w:t>
            </w:r>
          </w:p>
          <w:p w14:paraId="6C8BF250" w14:textId="77777777" w:rsidR="00BD001E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Gy&lt;10cc</w:t>
            </w:r>
          </w:p>
        </w:tc>
        <w:tc>
          <w:tcPr>
            <w:tcW w:w="2268" w:type="dxa"/>
          </w:tcPr>
          <w:p w14:paraId="4FDBCA7E" w14:textId="77777777" w:rsidR="00B63B19" w:rsidRDefault="00B63B19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3DF4360A" w14:textId="77777777" w:rsidR="00DF2B0C" w:rsidRDefault="00DF2B0C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5CC9F78C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18.2 Gy</w:t>
            </w:r>
          </w:p>
          <w:p w14:paraId="4B2A8E80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Gy &lt;7cc</w:t>
            </w:r>
          </w:p>
        </w:tc>
      </w:tr>
      <w:tr w:rsidR="00B63B19" w14:paraId="5887F008" w14:textId="77777777" w:rsidTr="00B50917">
        <w:trPr>
          <w:jc w:val="center"/>
        </w:trPr>
        <w:tc>
          <w:tcPr>
            <w:tcW w:w="2830" w:type="dxa"/>
          </w:tcPr>
          <w:p w14:paraId="177CE92B" w14:textId="77777777" w:rsidR="00B63B19" w:rsidRDefault="00B63B19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50917">
              <w:rPr>
                <w:rFonts w:ascii="Times New Roman" w:hAnsi="Times New Roman" w:cs="Times New Roman"/>
                <w:b/>
              </w:rPr>
              <w:t>Right Kidney</w:t>
            </w:r>
          </w:p>
          <w:p w14:paraId="2E09DEDA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Volume</w:t>
            </w:r>
          </w:p>
          <w:p w14:paraId="4BB72EEE" w14:textId="77777777" w:rsidR="000B1242" w:rsidRPr="00DF2B0C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 w:rsidRPr="00DF2B0C">
              <w:rPr>
                <w:rFonts w:ascii="Times New Roman" w:hAnsi="Times New Roman" w:cs="Times New Roman"/>
              </w:rPr>
              <w:t>Dmax</w:t>
            </w:r>
          </w:p>
          <w:p w14:paraId="4D904337" w14:textId="77777777" w:rsidR="00EC5C36" w:rsidRPr="00DF2B0C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 w:rsidRPr="00DF2B0C">
              <w:rPr>
                <w:rFonts w:ascii="Times New Roman" w:hAnsi="Times New Roman" w:cs="Times New Roman"/>
              </w:rPr>
              <w:t>&gt;</w:t>
            </w:r>
            <w:r w:rsidR="00EC5C36" w:rsidRPr="00DF2B0C">
              <w:rPr>
                <w:rFonts w:ascii="Times New Roman" w:hAnsi="Times New Roman" w:cs="Times New Roman"/>
              </w:rPr>
              <w:t>200 cc</w:t>
            </w:r>
          </w:p>
          <w:p w14:paraId="326F7E42" w14:textId="77777777" w:rsidR="00DF2B0C" w:rsidRPr="00DF2B0C" w:rsidRDefault="00DF2B0C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2B0C">
              <w:rPr>
                <w:rFonts w:ascii="Times New Roman" w:hAnsi="Times New Roman" w:cs="Times New Roman"/>
                <w:b/>
              </w:rPr>
              <w:t>Dmean</w:t>
            </w:r>
          </w:p>
        </w:tc>
        <w:tc>
          <w:tcPr>
            <w:tcW w:w="2240" w:type="dxa"/>
          </w:tcPr>
          <w:p w14:paraId="7A4B6551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397ACF3C" w14:textId="77777777" w:rsidR="00B63B19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216.9 cc</w:t>
            </w:r>
          </w:p>
          <w:p w14:paraId="376CFF8C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6B947406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</w:p>
          <w:p w14:paraId="39340609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BD86ADA" w14:textId="77777777" w:rsidR="00B63B19" w:rsidRDefault="00B63B19" w:rsidP="00A8547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40DE" w14:paraId="6CFA2594" w14:textId="77777777" w:rsidTr="00B50917">
        <w:trPr>
          <w:jc w:val="center"/>
        </w:trPr>
        <w:tc>
          <w:tcPr>
            <w:tcW w:w="2830" w:type="dxa"/>
          </w:tcPr>
          <w:p w14:paraId="72103DA4" w14:textId="77777777" w:rsidR="00ED40DE" w:rsidRDefault="00ED40DE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Beam Energy</w:t>
            </w:r>
          </w:p>
        </w:tc>
        <w:tc>
          <w:tcPr>
            <w:tcW w:w="2240" w:type="dxa"/>
          </w:tcPr>
          <w:p w14:paraId="7419BB81" w14:textId="77777777" w:rsidR="00ED40DE" w:rsidRDefault="00ED40D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MV-FFF</w:t>
            </w:r>
          </w:p>
        </w:tc>
        <w:tc>
          <w:tcPr>
            <w:tcW w:w="2268" w:type="dxa"/>
          </w:tcPr>
          <w:p w14:paraId="1A3B38AE" w14:textId="77777777" w:rsidR="00ED40DE" w:rsidRDefault="00ED40DE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MV-FFF</w:t>
            </w:r>
          </w:p>
        </w:tc>
      </w:tr>
      <w:tr w:rsidR="000B1242" w14:paraId="273A661E" w14:textId="77777777" w:rsidTr="00B50917">
        <w:trPr>
          <w:jc w:val="center"/>
        </w:trPr>
        <w:tc>
          <w:tcPr>
            <w:tcW w:w="2830" w:type="dxa"/>
          </w:tcPr>
          <w:p w14:paraId="53808BB6" w14:textId="77777777" w:rsidR="000B1242" w:rsidRPr="00B50917" w:rsidRDefault="000B1242" w:rsidP="00A8547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MU(Monitor Units)</w:t>
            </w:r>
          </w:p>
        </w:tc>
        <w:tc>
          <w:tcPr>
            <w:tcW w:w="2240" w:type="dxa"/>
          </w:tcPr>
          <w:p w14:paraId="057CA328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2297</w:t>
            </w:r>
          </w:p>
        </w:tc>
        <w:tc>
          <w:tcPr>
            <w:tcW w:w="2268" w:type="dxa"/>
          </w:tcPr>
          <w:p w14:paraId="198BE770" w14:textId="77777777" w:rsidR="000B1242" w:rsidRDefault="000B1242" w:rsidP="00A85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2205</w:t>
            </w:r>
          </w:p>
        </w:tc>
      </w:tr>
    </w:tbl>
    <w:p w14:paraId="066C49BE" w14:textId="77777777" w:rsidR="003C28B6" w:rsidRPr="005E1939" w:rsidRDefault="003C28B6" w:rsidP="00A85479">
      <w:pPr>
        <w:jc w:val="both"/>
        <w:rPr>
          <w:rFonts w:ascii="Times New Roman" w:hAnsi="Times New Roman" w:cs="Times New Roman"/>
        </w:rPr>
      </w:pPr>
    </w:p>
    <w:sectPr w:rsidR="003C28B6" w:rsidRPr="005E1939" w:rsidSect="00DB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5ED2"/>
    <w:multiLevelType w:val="multilevel"/>
    <w:tmpl w:val="EC08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D3E5C"/>
    <w:multiLevelType w:val="hybridMultilevel"/>
    <w:tmpl w:val="2CC86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B43FA"/>
    <w:multiLevelType w:val="hybridMultilevel"/>
    <w:tmpl w:val="265C1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BC"/>
    <w:rsid w:val="000114DF"/>
    <w:rsid w:val="00021C15"/>
    <w:rsid w:val="00026B68"/>
    <w:rsid w:val="00026C29"/>
    <w:rsid w:val="0005311D"/>
    <w:rsid w:val="00056D02"/>
    <w:rsid w:val="000729DA"/>
    <w:rsid w:val="00084BB4"/>
    <w:rsid w:val="00086059"/>
    <w:rsid w:val="000A75A3"/>
    <w:rsid w:val="000B1242"/>
    <w:rsid w:val="000D20EC"/>
    <w:rsid w:val="000D7412"/>
    <w:rsid w:val="000F029D"/>
    <w:rsid w:val="000F0A3C"/>
    <w:rsid w:val="00111033"/>
    <w:rsid w:val="00111DD0"/>
    <w:rsid w:val="001418AE"/>
    <w:rsid w:val="00160007"/>
    <w:rsid w:val="00162869"/>
    <w:rsid w:val="00163009"/>
    <w:rsid w:val="00173B6F"/>
    <w:rsid w:val="00186172"/>
    <w:rsid w:val="001A6B3A"/>
    <w:rsid w:val="001A761B"/>
    <w:rsid w:val="001B1E25"/>
    <w:rsid w:val="001B2546"/>
    <w:rsid w:val="001D1A6A"/>
    <w:rsid w:val="001D36B9"/>
    <w:rsid w:val="00207536"/>
    <w:rsid w:val="00211BC3"/>
    <w:rsid w:val="00212588"/>
    <w:rsid w:val="00235450"/>
    <w:rsid w:val="002362A6"/>
    <w:rsid w:val="00254166"/>
    <w:rsid w:val="00254C06"/>
    <w:rsid w:val="00296B30"/>
    <w:rsid w:val="002A530F"/>
    <w:rsid w:val="002B2E45"/>
    <w:rsid w:val="002E57E0"/>
    <w:rsid w:val="003008D6"/>
    <w:rsid w:val="00317E17"/>
    <w:rsid w:val="00324CA9"/>
    <w:rsid w:val="003267E6"/>
    <w:rsid w:val="00346032"/>
    <w:rsid w:val="003550C4"/>
    <w:rsid w:val="00383E9E"/>
    <w:rsid w:val="00385B6B"/>
    <w:rsid w:val="00391844"/>
    <w:rsid w:val="003979DD"/>
    <w:rsid w:val="003A2BB5"/>
    <w:rsid w:val="003A420F"/>
    <w:rsid w:val="003C28B6"/>
    <w:rsid w:val="003C2FEF"/>
    <w:rsid w:val="003F5665"/>
    <w:rsid w:val="0040350D"/>
    <w:rsid w:val="00411495"/>
    <w:rsid w:val="0041713D"/>
    <w:rsid w:val="0043128C"/>
    <w:rsid w:val="00433E6F"/>
    <w:rsid w:val="004525F0"/>
    <w:rsid w:val="00467A9C"/>
    <w:rsid w:val="00467DF3"/>
    <w:rsid w:val="004770E6"/>
    <w:rsid w:val="00485B70"/>
    <w:rsid w:val="00496AC5"/>
    <w:rsid w:val="004A1991"/>
    <w:rsid w:val="004D16AC"/>
    <w:rsid w:val="004E5B0C"/>
    <w:rsid w:val="004F5BC6"/>
    <w:rsid w:val="00507B8C"/>
    <w:rsid w:val="00547A66"/>
    <w:rsid w:val="0055456B"/>
    <w:rsid w:val="00555AC5"/>
    <w:rsid w:val="005776EB"/>
    <w:rsid w:val="0059702F"/>
    <w:rsid w:val="005B7A37"/>
    <w:rsid w:val="005C69D1"/>
    <w:rsid w:val="005E1939"/>
    <w:rsid w:val="005E4393"/>
    <w:rsid w:val="005E57C3"/>
    <w:rsid w:val="005F66ED"/>
    <w:rsid w:val="00605CBB"/>
    <w:rsid w:val="006255C5"/>
    <w:rsid w:val="00627EE8"/>
    <w:rsid w:val="006722FE"/>
    <w:rsid w:val="006A3F77"/>
    <w:rsid w:val="006C04A3"/>
    <w:rsid w:val="007034C2"/>
    <w:rsid w:val="00726542"/>
    <w:rsid w:val="00731660"/>
    <w:rsid w:val="00736773"/>
    <w:rsid w:val="00744F7F"/>
    <w:rsid w:val="00757998"/>
    <w:rsid w:val="007A2AE8"/>
    <w:rsid w:val="007A74B5"/>
    <w:rsid w:val="007B483D"/>
    <w:rsid w:val="007B49CB"/>
    <w:rsid w:val="007B590D"/>
    <w:rsid w:val="007C25F7"/>
    <w:rsid w:val="007F02D3"/>
    <w:rsid w:val="00806A18"/>
    <w:rsid w:val="008776B0"/>
    <w:rsid w:val="0089787E"/>
    <w:rsid w:val="008B7AC7"/>
    <w:rsid w:val="008D54EF"/>
    <w:rsid w:val="008D7298"/>
    <w:rsid w:val="008E7E64"/>
    <w:rsid w:val="008F1F49"/>
    <w:rsid w:val="008F7344"/>
    <w:rsid w:val="0091066C"/>
    <w:rsid w:val="00936105"/>
    <w:rsid w:val="00966F07"/>
    <w:rsid w:val="0097223D"/>
    <w:rsid w:val="00973F09"/>
    <w:rsid w:val="009D13EB"/>
    <w:rsid w:val="009D381E"/>
    <w:rsid w:val="009E35F8"/>
    <w:rsid w:val="00A20213"/>
    <w:rsid w:val="00A31377"/>
    <w:rsid w:val="00A50930"/>
    <w:rsid w:val="00A520E5"/>
    <w:rsid w:val="00A6704F"/>
    <w:rsid w:val="00A70D3F"/>
    <w:rsid w:val="00A777CD"/>
    <w:rsid w:val="00A85479"/>
    <w:rsid w:val="00A96F2E"/>
    <w:rsid w:val="00AB0B2A"/>
    <w:rsid w:val="00AB19BC"/>
    <w:rsid w:val="00AC19C0"/>
    <w:rsid w:val="00AE6D4C"/>
    <w:rsid w:val="00B105DE"/>
    <w:rsid w:val="00B26D73"/>
    <w:rsid w:val="00B30A59"/>
    <w:rsid w:val="00B50917"/>
    <w:rsid w:val="00B63B19"/>
    <w:rsid w:val="00B70284"/>
    <w:rsid w:val="00B81F03"/>
    <w:rsid w:val="00B93D43"/>
    <w:rsid w:val="00B94ADE"/>
    <w:rsid w:val="00BA4C36"/>
    <w:rsid w:val="00BB01F7"/>
    <w:rsid w:val="00BD001E"/>
    <w:rsid w:val="00BF617A"/>
    <w:rsid w:val="00C13CFF"/>
    <w:rsid w:val="00C46558"/>
    <w:rsid w:val="00C51F74"/>
    <w:rsid w:val="00C524A4"/>
    <w:rsid w:val="00C5329D"/>
    <w:rsid w:val="00C54556"/>
    <w:rsid w:val="00C65D73"/>
    <w:rsid w:val="00C70A0E"/>
    <w:rsid w:val="00C7316A"/>
    <w:rsid w:val="00C7632E"/>
    <w:rsid w:val="00C77FE2"/>
    <w:rsid w:val="00C90919"/>
    <w:rsid w:val="00C92A32"/>
    <w:rsid w:val="00C92C65"/>
    <w:rsid w:val="00C93617"/>
    <w:rsid w:val="00CA26B5"/>
    <w:rsid w:val="00CA3A54"/>
    <w:rsid w:val="00CB758D"/>
    <w:rsid w:val="00CE2F95"/>
    <w:rsid w:val="00CE433A"/>
    <w:rsid w:val="00CF3037"/>
    <w:rsid w:val="00CF6907"/>
    <w:rsid w:val="00D30627"/>
    <w:rsid w:val="00D35BA9"/>
    <w:rsid w:val="00D404FF"/>
    <w:rsid w:val="00D41AE6"/>
    <w:rsid w:val="00D53F9D"/>
    <w:rsid w:val="00D72683"/>
    <w:rsid w:val="00D803B0"/>
    <w:rsid w:val="00DB1789"/>
    <w:rsid w:val="00DB6788"/>
    <w:rsid w:val="00DF2B0C"/>
    <w:rsid w:val="00DF42B5"/>
    <w:rsid w:val="00E05596"/>
    <w:rsid w:val="00E214A3"/>
    <w:rsid w:val="00E2547D"/>
    <w:rsid w:val="00E31CE5"/>
    <w:rsid w:val="00EC4DBC"/>
    <w:rsid w:val="00EC5C36"/>
    <w:rsid w:val="00EC68D5"/>
    <w:rsid w:val="00EC76DC"/>
    <w:rsid w:val="00ED40DE"/>
    <w:rsid w:val="00F05960"/>
    <w:rsid w:val="00F46DF2"/>
    <w:rsid w:val="00F6342F"/>
    <w:rsid w:val="00F737F5"/>
    <w:rsid w:val="00F80CF4"/>
    <w:rsid w:val="00F9420A"/>
    <w:rsid w:val="00FB1D1B"/>
    <w:rsid w:val="00FC1BF7"/>
    <w:rsid w:val="00FD0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AC96"/>
  <w15:docId w15:val="{3D955373-93C8-43DB-8186-26A685EB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6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C28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008D6"/>
    <w:rPr>
      <w:color w:val="0000FF"/>
      <w:u w:val="single"/>
    </w:rPr>
  </w:style>
  <w:style w:type="character" w:customStyle="1" w:styleId="identifier">
    <w:name w:val="identifier"/>
    <w:basedOn w:val="DefaultParagraphFont"/>
    <w:rsid w:val="00211BC3"/>
  </w:style>
  <w:style w:type="character" w:customStyle="1" w:styleId="id-label">
    <w:name w:val="id-label"/>
    <w:basedOn w:val="DefaultParagraphFont"/>
    <w:rsid w:val="00211BC3"/>
  </w:style>
  <w:style w:type="character" w:customStyle="1" w:styleId="article-headerdoilabel">
    <w:name w:val="article-header__doi__label"/>
    <w:basedOn w:val="DefaultParagraphFont"/>
    <w:rsid w:val="000A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0140-6736(18)32487-5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200/jco.1995.13.1.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48/radiology.216.3.r00se2469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A8B4D-CA3E-44EF-9ED7-1315AD1D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BALAJI</dc:creator>
  <cp:lastModifiedBy>NANI PEEP</cp:lastModifiedBy>
  <cp:revision>2</cp:revision>
  <dcterms:created xsi:type="dcterms:W3CDTF">2020-08-31T08:16:00Z</dcterms:created>
  <dcterms:modified xsi:type="dcterms:W3CDTF">2020-08-31T08:16:00Z</dcterms:modified>
</cp:coreProperties>
</file>