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42"/>
        </w:rPr>
        <w:t>Jointly Optimised End-to-End PPO</w:t>
        <w:br/>
        <w:t>for Regime-Aware Portfolio Management</w:t>
      </w:r>
    </w:p>
    <w:p>
      <w:pPr>
        <w:jc w:val="center"/>
      </w:pPr>
      <w:r>
        <w:rPr>
          <w:i/>
          <w:sz w:val="25"/>
        </w:rPr>
        <w:t>Complete Process Walkthrough — Architecture, Input and Output Data of Every Model</w:t>
      </w:r>
    </w:p>
    <w:p>
      <w:pPr>
        <w:jc w:val="center"/>
      </w:pPr>
      <w:r>
        <w:rPr>
          <w:color w:val="555F69"/>
          <w:sz w:val="21"/>
        </w:rPr>
        <w:t>Colombo Stock Exchange (CSE) — Banking Sector, 2021–2025</w:t>
      </w:r>
    </w:p>
    <w:p/>
    <w:p>
      <w:r>
        <w:rPr>
          <w:b/>
          <w:i w:val="0"/>
          <w:sz w:val="22"/>
        </w:rPr>
        <w:t>Purpose of this document</w:t>
      </w:r>
    </w:p>
    <w:p>
      <w:r>
        <w:rPr>
          <w:b w:val="0"/>
          <w:i w:val="0"/>
        </w:rPr>
        <w:t>This document traces one single day of market data from the raw CSE CSV files all the way to a portfolio allocation and a gradient update. For every neural component it states exactly what goes in, what comes out, the tensor shape, and why that block exists. Section 12 gives a one-page end-to-end shape table that can be used as a summary slide. Section 13 lists the design points and known limitations that are worth raising explicitly in a supervision meeting.</w:t>
      </w:r>
    </w:p>
    <w:p>
      <w:r>
        <w:rPr>
          <w:b/>
          <w:i w:val="0"/>
          <w:sz w:val="22"/>
        </w:rPr>
        <w:t>Reference configuration used throughout</w:t>
      </w:r>
    </w:p>
    <w:p>
      <w:r>
        <w:rPr>
          <w:b w:val="0"/>
          <w:i w:val="0"/>
        </w:rPr>
        <w:t>All numbers in this document are the actual values produced by the current codebase with the configuration in src/config/config.py and the run settings in notebooks/CSE_PPO_Regime_Portfolio.ipynb. Symbols used:</w:t>
      </w:r>
    </w:p>
    <w:tbl>
      <w:tblPr>
        <w:tblStyle w:val="TableGrid"/>
        <w:tblW w:type="auto" w:w="0"/>
        <w:jc w:val="left"/>
        <w:tblLook w:firstColumn="1" w:firstRow="1" w:lastColumn="0" w:lastRow="0" w:noHBand="0" w:noVBand="1" w:val="04A0"/>
      </w:tblPr>
      <w:tblGrid>
        <w:gridCol w:w="3264"/>
        <w:gridCol w:w="3264"/>
        <w:gridCol w:w="3264"/>
      </w:tblGrid>
      <w:tr>
        <w:tc>
          <w:tcPr>
            <w:tcW w:type="dxa" w:w="1224"/>
            <w:shd w:val="clear" w:color="auto" w:fill="1F3B57"/>
          </w:tcPr>
          <w:p>
            <w:pPr>
              <w:spacing w:after="20" w:before="20"/>
            </w:pPr>
            <w:r/>
            <w:r>
              <w:rPr>
                <w:b/>
                <w:color w:val="FFFFFF"/>
                <w:sz w:val="18"/>
              </w:rPr>
              <w:t>Symbol</w:t>
            </w:r>
          </w:p>
        </w:tc>
        <w:tc>
          <w:tcPr>
            <w:tcW w:type="dxa" w:w="6048"/>
            <w:shd w:val="clear" w:color="auto" w:fill="1F3B57"/>
          </w:tcPr>
          <w:p>
            <w:pPr>
              <w:spacing w:after="20" w:before="20"/>
            </w:pPr>
            <w:r/>
            <w:r>
              <w:rPr>
                <w:b/>
                <w:color w:val="FFFFFF"/>
                <w:sz w:val="18"/>
              </w:rPr>
              <w:t>Meaning</w:t>
            </w:r>
          </w:p>
        </w:tc>
        <w:tc>
          <w:tcPr>
            <w:tcW w:type="dxa" w:w="2880"/>
            <w:shd w:val="clear" w:color="auto" w:fill="1F3B57"/>
          </w:tcPr>
          <w:p>
            <w:pPr>
              <w:spacing w:after="20" w:before="20"/>
            </w:pPr>
            <w:r/>
            <w:r>
              <w:rPr>
                <w:b/>
                <w:color w:val="FFFFFF"/>
                <w:sz w:val="18"/>
              </w:rPr>
              <w:t>Value</w:t>
            </w:r>
          </w:p>
        </w:tc>
      </w:tr>
      <w:tr>
        <w:tc>
          <w:tcPr>
            <w:tcW w:type="dxa" w:w="1224"/>
          </w:tcPr>
          <w:p>
            <w:pPr>
              <w:spacing w:after="20" w:before="20"/>
            </w:pPr>
            <w:r/>
            <w:r>
              <w:rPr>
                <w:rFonts w:ascii="Consolas" w:hAnsi="Consolas"/>
                <w:sz w:val="17"/>
              </w:rPr>
              <w:t>N</w:t>
            </w:r>
          </w:p>
        </w:tc>
        <w:tc>
          <w:tcPr>
            <w:tcW w:type="dxa" w:w="6048"/>
          </w:tcPr>
          <w:p>
            <w:pPr>
              <w:spacing w:after="20" w:before="20"/>
            </w:pPr>
            <w:r>
              <w:rPr>
                <w:sz w:val="18"/>
              </w:rPr>
            </w:r>
            <w:r>
              <w:rPr>
                <w:sz w:val="18"/>
              </w:rPr>
              <w:t>Number of assets (banking-sector tickers)</w:t>
            </w:r>
          </w:p>
        </w:tc>
        <w:tc>
          <w:tcPr>
            <w:tcW w:type="dxa" w:w="2880"/>
          </w:tcPr>
          <w:p>
            <w:pPr>
              <w:spacing w:after="20" w:before="20"/>
            </w:pPr>
            <w:r>
              <w:rPr>
                <w:sz w:val="18"/>
              </w:rPr>
            </w:r>
            <w:r>
              <w:rPr>
                <w:sz w:val="18"/>
              </w:rPr>
              <w:t>10</w:t>
            </w:r>
          </w:p>
        </w:tc>
      </w:tr>
      <w:tr>
        <w:tc>
          <w:tcPr>
            <w:tcW w:type="dxa" w:w="1224"/>
            <w:shd w:val="clear" w:color="auto" w:fill="F2F5F8"/>
          </w:tcPr>
          <w:p>
            <w:pPr>
              <w:spacing w:after="20" w:before="20"/>
            </w:pPr>
            <w:r/>
            <w:r>
              <w:rPr>
                <w:rFonts w:ascii="Consolas" w:hAnsi="Consolas"/>
                <w:sz w:val="17"/>
              </w:rPr>
              <w:t>F</w:t>
            </w:r>
          </w:p>
        </w:tc>
        <w:tc>
          <w:tcPr>
            <w:tcW w:type="dxa" w:w="6048"/>
            <w:shd w:val="clear" w:color="auto" w:fill="F2F5F8"/>
          </w:tcPr>
          <w:p>
            <w:pPr>
              <w:spacing w:after="20" w:before="20"/>
            </w:pPr>
            <w:r>
              <w:rPr>
                <w:sz w:val="18"/>
              </w:rPr>
            </w:r>
            <w:r>
              <w:rPr>
                <w:sz w:val="18"/>
              </w:rPr>
              <w:t>Engineered features per asset</w:t>
            </w:r>
          </w:p>
        </w:tc>
        <w:tc>
          <w:tcPr>
            <w:tcW w:type="dxa" w:w="2880"/>
            <w:shd w:val="clear" w:color="auto" w:fill="F2F5F8"/>
          </w:tcPr>
          <w:p>
            <w:pPr>
              <w:spacing w:after="20" w:before="20"/>
            </w:pPr>
            <w:r>
              <w:rPr>
                <w:sz w:val="18"/>
              </w:rPr>
            </w:r>
            <w:r>
              <w:rPr>
                <w:sz w:val="18"/>
              </w:rPr>
              <w:t>15</w:t>
            </w:r>
          </w:p>
        </w:tc>
      </w:tr>
      <w:tr>
        <w:tc>
          <w:tcPr>
            <w:tcW w:type="dxa" w:w="1224"/>
          </w:tcPr>
          <w:p>
            <w:pPr>
              <w:spacing w:after="20" w:before="20"/>
            </w:pPr>
            <w:r/>
            <w:r>
              <w:rPr>
                <w:rFonts w:ascii="Consolas" w:hAnsi="Consolas"/>
                <w:sz w:val="17"/>
              </w:rPr>
              <w:t>L</w:t>
            </w:r>
          </w:p>
        </w:tc>
        <w:tc>
          <w:tcPr>
            <w:tcW w:type="dxa" w:w="6048"/>
          </w:tcPr>
          <w:p>
            <w:pPr>
              <w:spacing w:after="20" w:before="20"/>
            </w:pPr>
            <w:r>
              <w:rPr>
                <w:sz w:val="18"/>
              </w:rPr>
            </w:r>
            <w:r>
              <w:rPr>
                <w:sz w:val="18"/>
              </w:rPr>
              <w:t>Look-back window length (</w:t>
            </w:r>
            <w:r>
              <w:rPr>
                <w:rFonts w:ascii="Consolas" w:hAnsi="Consolas"/>
                <w:sz w:val="18"/>
              </w:rPr>
              <w:t>window_size</w:t>
            </w:r>
            <w:r>
              <w:rPr>
                <w:sz w:val="18"/>
              </w:rPr>
              <w:t>)</w:t>
            </w:r>
          </w:p>
        </w:tc>
        <w:tc>
          <w:tcPr>
            <w:tcW w:type="dxa" w:w="2880"/>
          </w:tcPr>
          <w:p>
            <w:pPr>
              <w:spacing w:after="20" w:before="20"/>
            </w:pPr>
            <w:r>
              <w:rPr>
                <w:sz w:val="18"/>
              </w:rPr>
            </w:r>
            <w:r>
              <w:rPr>
                <w:sz w:val="18"/>
              </w:rPr>
              <w:t>30 trading days</w:t>
            </w:r>
          </w:p>
        </w:tc>
      </w:tr>
      <w:tr>
        <w:tc>
          <w:tcPr>
            <w:tcW w:type="dxa" w:w="1224"/>
            <w:shd w:val="clear" w:color="auto" w:fill="F2F5F8"/>
          </w:tcPr>
          <w:p>
            <w:pPr>
              <w:spacing w:after="20" w:before="20"/>
            </w:pPr>
            <w:r/>
            <w:r>
              <w:rPr>
                <w:rFonts w:ascii="Consolas" w:hAnsi="Consolas"/>
                <w:sz w:val="17"/>
              </w:rPr>
              <w:t>T</w:t>
            </w:r>
          </w:p>
        </w:tc>
        <w:tc>
          <w:tcPr>
            <w:tcW w:type="dxa" w:w="6048"/>
            <w:shd w:val="clear" w:color="auto" w:fill="F2F5F8"/>
          </w:tcPr>
          <w:p>
            <w:pPr>
              <w:spacing w:after="20" w:before="20"/>
            </w:pPr>
            <w:r>
              <w:rPr>
                <w:sz w:val="18"/>
              </w:rPr>
            </w:r>
            <w:r>
              <w:rPr>
                <w:sz w:val="18"/>
              </w:rPr>
              <w:t>Usable time steps after feature engineering</w:t>
            </w:r>
          </w:p>
        </w:tc>
        <w:tc>
          <w:tcPr>
            <w:tcW w:type="dxa" w:w="2880"/>
            <w:shd w:val="clear" w:color="auto" w:fill="F2F5F8"/>
          </w:tcPr>
          <w:p>
            <w:pPr>
              <w:spacing w:after="20" w:before="20"/>
            </w:pPr>
            <w:r>
              <w:rPr>
                <w:sz w:val="18"/>
              </w:rPr>
            </w:r>
            <w:r>
              <w:rPr>
                <w:sz w:val="18"/>
              </w:rPr>
              <w:t>816</w:t>
            </w:r>
          </w:p>
        </w:tc>
      </w:tr>
      <w:tr>
        <w:tc>
          <w:tcPr>
            <w:tcW w:type="dxa" w:w="1224"/>
          </w:tcPr>
          <w:p>
            <w:pPr>
              <w:spacing w:after="20" w:before="20"/>
            </w:pPr>
            <w:r/>
            <w:r>
              <w:rPr>
                <w:rFonts w:ascii="Consolas" w:hAnsi="Consolas"/>
                <w:sz w:val="17"/>
              </w:rPr>
              <w:t>d_lstm</w:t>
            </w:r>
          </w:p>
        </w:tc>
        <w:tc>
          <w:tcPr>
            <w:tcW w:type="dxa" w:w="6048"/>
          </w:tcPr>
          <w:p>
            <w:pPr>
              <w:spacing w:after="20" w:before="20"/>
            </w:pPr>
            <w:r>
              <w:rPr>
                <w:sz w:val="18"/>
              </w:rPr>
            </w:r>
            <w:r>
              <w:rPr>
                <w:sz w:val="18"/>
              </w:rPr>
              <w:t>LSTM / temporal-attention width</w:t>
            </w:r>
          </w:p>
        </w:tc>
        <w:tc>
          <w:tcPr>
            <w:tcW w:type="dxa" w:w="2880"/>
          </w:tcPr>
          <w:p>
            <w:pPr>
              <w:spacing w:after="20" w:before="20"/>
            </w:pPr>
            <w:r>
              <w:rPr>
                <w:sz w:val="18"/>
              </w:rPr>
            </w:r>
            <w:r>
              <w:rPr>
                <w:sz w:val="18"/>
              </w:rPr>
              <w:t>128</w:t>
            </w:r>
          </w:p>
        </w:tc>
      </w:tr>
      <w:tr>
        <w:tc>
          <w:tcPr>
            <w:tcW w:type="dxa" w:w="1224"/>
            <w:shd w:val="clear" w:color="auto" w:fill="F2F5F8"/>
          </w:tcPr>
          <w:p>
            <w:pPr>
              <w:spacing w:after="20" w:before="20"/>
            </w:pPr>
            <w:r/>
            <w:r>
              <w:rPr>
                <w:rFonts w:ascii="Consolas" w:hAnsi="Consolas"/>
                <w:sz w:val="17"/>
              </w:rPr>
              <w:t>d_gnn</w:t>
            </w:r>
          </w:p>
        </w:tc>
        <w:tc>
          <w:tcPr>
            <w:tcW w:type="dxa" w:w="6048"/>
            <w:shd w:val="clear" w:color="auto" w:fill="F2F5F8"/>
          </w:tcPr>
          <w:p>
            <w:pPr>
              <w:spacing w:after="20" w:before="20"/>
            </w:pPr>
            <w:r>
              <w:rPr>
                <w:sz w:val="18"/>
              </w:rPr>
            </w:r>
            <w:r>
              <w:rPr>
                <w:sz w:val="18"/>
              </w:rPr>
              <w:t>Graph-attention output width</w:t>
            </w:r>
          </w:p>
        </w:tc>
        <w:tc>
          <w:tcPr>
            <w:tcW w:type="dxa" w:w="2880"/>
            <w:shd w:val="clear" w:color="auto" w:fill="F2F5F8"/>
          </w:tcPr>
          <w:p>
            <w:pPr>
              <w:spacing w:after="20" w:before="20"/>
            </w:pPr>
            <w:r>
              <w:rPr>
                <w:sz w:val="18"/>
              </w:rPr>
            </w:r>
            <w:r>
              <w:rPr>
                <w:sz w:val="18"/>
              </w:rPr>
              <w:t>64</w:t>
            </w:r>
          </w:p>
        </w:tc>
      </w:tr>
      <w:tr>
        <w:tc>
          <w:tcPr>
            <w:tcW w:type="dxa" w:w="1224"/>
          </w:tcPr>
          <w:p>
            <w:pPr>
              <w:spacing w:after="20" w:before="20"/>
            </w:pPr>
            <w:r/>
            <w:r>
              <w:rPr>
                <w:rFonts w:ascii="Consolas" w:hAnsi="Consolas"/>
                <w:sz w:val="17"/>
              </w:rPr>
              <w:t>d_latent</w:t>
            </w:r>
          </w:p>
        </w:tc>
        <w:tc>
          <w:tcPr>
            <w:tcW w:type="dxa" w:w="6048"/>
          </w:tcPr>
          <w:p>
            <w:pPr>
              <w:spacing w:after="20" w:before="20"/>
            </w:pPr>
            <w:r>
              <w:rPr>
                <w:sz w:val="18"/>
              </w:rPr>
            </w:r>
            <w:r>
              <w:rPr>
                <w:sz w:val="18"/>
              </w:rPr>
              <w:t>Latent state dimension (</w:t>
            </w:r>
            <w:r>
              <w:rPr>
                <w:rFonts w:ascii="Consolas" w:hAnsi="Consolas"/>
                <w:sz w:val="18"/>
              </w:rPr>
              <w:t>latent_state_dim</w:t>
            </w:r>
            <w:r>
              <w:rPr>
                <w:sz w:val="18"/>
              </w:rPr>
              <w:t>)</w:t>
            </w:r>
          </w:p>
        </w:tc>
        <w:tc>
          <w:tcPr>
            <w:tcW w:type="dxa" w:w="2880"/>
          </w:tcPr>
          <w:p>
            <w:pPr>
              <w:spacing w:after="20" w:before="20"/>
            </w:pPr>
            <w:r>
              <w:rPr>
                <w:sz w:val="18"/>
              </w:rPr>
            </w:r>
            <w:r>
              <w:rPr>
                <w:sz w:val="18"/>
              </w:rPr>
              <w:t>128</w:t>
            </w:r>
          </w:p>
        </w:tc>
      </w:tr>
      <w:tr>
        <w:tc>
          <w:tcPr>
            <w:tcW w:type="dxa" w:w="1224"/>
            <w:shd w:val="clear" w:color="auto" w:fill="F2F5F8"/>
          </w:tcPr>
          <w:p>
            <w:pPr>
              <w:spacing w:after="20" w:before="20"/>
            </w:pPr>
            <w:r/>
            <w:r>
              <w:rPr>
                <w:rFonts w:ascii="Consolas" w:hAnsi="Consolas"/>
                <w:sz w:val="17"/>
              </w:rPr>
              <w:t>K</w:t>
            </w:r>
          </w:p>
        </w:tc>
        <w:tc>
          <w:tcPr>
            <w:tcW w:type="dxa" w:w="6048"/>
            <w:shd w:val="clear" w:color="auto" w:fill="F2F5F8"/>
          </w:tcPr>
          <w:p>
            <w:pPr>
              <w:spacing w:after="20" w:before="20"/>
            </w:pPr>
            <w:r>
              <w:rPr>
                <w:sz w:val="18"/>
              </w:rPr>
            </w:r>
            <w:r>
              <w:rPr>
                <w:sz w:val="18"/>
              </w:rPr>
              <w:t>Number of latent regimes</w:t>
            </w:r>
          </w:p>
        </w:tc>
        <w:tc>
          <w:tcPr>
            <w:tcW w:type="dxa" w:w="2880"/>
            <w:shd w:val="clear" w:color="auto" w:fill="F2F5F8"/>
          </w:tcPr>
          <w:p>
            <w:pPr>
              <w:spacing w:after="20" w:before="20"/>
            </w:pPr>
            <w:r>
              <w:rPr>
                <w:sz w:val="18"/>
              </w:rPr>
            </w:r>
            <w:r>
              <w:rPr>
                <w:sz w:val="18"/>
              </w:rPr>
              <w:t>3 (Bull / Bear / Sideways)</w:t>
            </w:r>
          </w:p>
        </w:tc>
      </w:tr>
      <w:tr>
        <w:tc>
          <w:tcPr>
            <w:tcW w:type="dxa" w:w="1224"/>
          </w:tcPr>
          <w:p>
            <w:pPr>
              <w:spacing w:after="20" w:before="20"/>
            </w:pPr>
            <w:r/>
            <w:r>
              <w:rPr>
                <w:rFonts w:ascii="Consolas" w:hAnsi="Consolas"/>
                <w:sz w:val="17"/>
              </w:rPr>
              <w:t>B</w:t>
            </w:r>
          </w:p>
        </w:tc>
        <w:tc>
          <w:tcPr>
            <w:tcW w:type="dxa" w:w="6048"/>
          </w:tcPr>
          <w:p>
            <w:pPr>
              <w:spacing w:after="20" w:before="20"/>
            </w:pPr>
            <w:r>
              <w:rPr>
                <w:sz w:val="18"/>
              </w:rPr>
            </w:r>
            <w:r>
              <w:rPr>
                <w:sz w:val="18"/>
              </w:rPr>
              <w:t>Mini-batch size during the PPO update</w:t>
            </w:r>
          </w:p>
        </w:tc>
        <w:tc>
          <w:tcPr>
            <w:tcW w:type="dxa" w:w="2880"/>
          </w:tcPr>
          <w:p>
            <w:pPr>
              <w:spacing w:after="20" w:before="20"/>
            </w:pPr>
            <w:r>
              <w:rPr>
                <w:sz w:val="18"/>
              </w:rPr>
            </w:r>
            <w:r>
              <w:rPr>
                <w:sz w:val="18"/>
              </w:rPr>
              <w:t>64</w:t>
            </w:r>
          </w:p>
        </w:tc>
      </w:tr>
    </w:tbl>
    <w:p>
      <w:pPr>
        <w:spacing w:after="40"/>
      </w:pPr>
    </w:p>
    <w:p>
      <w:r>
        <w:rPr>
          <w:b w:val="0"/>
          <w:i w:val="0"/>
        </w:rPr>
        <w:t>Tickers in the universe: ABL, COMB, DFCC, HNB, NDB, NTB, PABC, SAMP, SEYB, UBC.</w:t>
      </w:r>
    </w:p>
    <w:p>
      <w:r>
        <w:br w:type="page"/>
      </w:r>
    </w:p>
    <w:p>
      <w:pPr>
        <w:pStyle w:val="Heading1"/>
      </w:pPr>
      <w:r>
        <w:t>1. The System in One Picture</w:t>
      </w:r>
    </w:p>
    <w:p>
      <w:r>
        <w:rPr>
          <w:b w:val="0"/>
          <w:i w:val="0"/>
        </w:rPr>
        <w:t>The system is a single differentiable computation graph. There is no separate regime-detection step that is trained first and frozen: the regime encoder, the actor and the critic are all updated by the same PPO loss in the same backward pass. This "joint end-to-end" property is the central methodological claim of the project.</w:t>
      </w:r>
    </w:p>
    <w:p>
      <w:pPr>
        <w:spacing w:after="160" w:before="80" w:line="240" w:lineRule="auto"/>
        <w:ind w:left="144"/>
      </w:pPr>
      <w:r>
        <w:rPr>
          <w:rFonts w:ascii="Consolas" w:hAnsi="Consolas"/>
          <w:sz w:val="14"/>
        </w:rPr>
        <w:br/>
        <w:t xml:space="preserve"> RAW DATA                    PREPROCESSING                     OBSERVATION</w:t>
        <w:br/>
        <w:t xml:space="preserve"> ─────────                   ─────────────                     ───────────</w:t>
        <w:br/>
        <w:t xml:space="preserve"> 5 x yearly CSE CSV   ──►  log-returns, volatility,    ──►  x_t : (N=10, L=30, F=15)</w:t>
        <w:br/>
        <w:t xml:space="preserve"> (banking sector)          momentum, RSI, MACD,             one 30-day window</w:t>
        <w:br/>
        <w:t xml:space="preserve"> COMPANY ID, DATE,         Bollinger %B, volume              per asset</w:t>
        <w:br/>
        <w:t xml:space="preserve"> CLOSE PRICE, VOLUME       ratios  →  15 feats/asset</w:t>
        <w:br/>
        <w:t xml:space="preserve">                           z-score (train-fitted)</w:t>
        <w:br/>
        <w:t xml:space="preserve">                           30-day sliding windows</w:t>
        <w:br/>
        <w:br/>
        <w:t xml:space="preserve">                                     │</w:t>
        <w:br/>
        <w:t xml:space="preserve">                                     ▼</w:t>
        <w:br/>
        <w:t xml:space="preserve"> ╔═══════════════════════════════════════════════════════════════════════════════╗</w:t>
        <w:br/>
        <w:t xml:space="preserve"> ║               DIFFERENTIABLE REGIME ENCODER   (505,989 params)                 ║</w:t>
        <w:br/>
        <w:t xml:space="preserve"> ║                                                                               ║</w:t>
        <w:br/>
        <w:t xml:space="preserve"> ║   x_t (10,30,15)                                                              ║</w:t>
        <w:br/>
        <w:t xml:space="preserve"> ║       │  fold assets into the batch  →  (10, 30, 15)                          ║</w:t>
        <w:br/>
        <w:t xml:space="preserve"> ║       ▼                                                                       ║</w:t>
        <w:br/>
        <w:t xml:space="preserve"> ║   [1] V-VSN          soft feature selection, per time step   → (10,30,64)      ║</w:t>
        <w:br/>
        <w:t xml:space="preserve"> ║       ▼                                                                       ║</w:t>
        <w:br/>
        <w:t xml:space="preserve"> ║   [2] LSTM x2        temporal memory along the 30 days       → (10,30,128)     ║</w:t>
        <w:br/>
        <w:t xml:space="preserve"> ║       ▼                                                                       ║</w:t>
        <w:br/>
        <w:t xml:space="preserve"> ║   [3] Temporal MHA   4 heads, which days matter most         → (10,30,128)     ║</w:t>
        <w:br/>
        <w:t xml:space="preserve"> ║       ▼              take last time step                                      ║</w:t>
        <w:br/>
        <w:t xml:space="preserve"> ║       H              per-asset temporal embedding            → (10,128)        ║</w:t>
        <w:br/>
        <w:t xml:space="preserve"> ║       ▼                                                                       ║</w:t>
        <w:br/>
        <w:t xml:space="preserve"> ║   [4] Macro Graph    GAT, 2 layers x 2 heads,                                  ║</w:t>
        <w:br/>
        <w:t xml:space="preserve"> ║       Prior (GAT)    assets exchange information             → (10,64)         ║</w:t>
        <w:br/>
        <w:t xml:space="preserve"> ║       ▼                                                                       ║</w:t>
        <w:br/>
        <w:t xml:space="preserve"> ║   [5] Fusion MLP     concat(H, graph) = 192  →  per-asset latent               ║</w:t>
        <w:br/>
        <w:t xml:space="preserve"> ║       ▼                                                                       ║</w:t>
        <w:br/>
        <w:t xml:space="preserve"> ║     h_asset          per-asset latent state                  → (10,128)       ║</w:t>
        <w:br/>
        <w:t xml:space="preserve"> ║       │                                                                       ║</w:t>
        <w:br/>
        <w:t xml:space="preserve"> ║       ├──── mean over assets ────►  h_market  → (128)                          ║</w:t>
        <w:br/>
        <w:t xml:space="preserve"> ║       │                                │                                      ║</w:t>
        <w:br/>
        <w:t xml:space="preserve"> ║       │                                ▼                                      ║</w:t>
        <w:br/>
        <w:t xml:space="preserve"> ║       │                       [6] Regime Classifier  → regime_probs (3)       ║</w:t>
        <w:br/>
        <w:t xml:space="preserve"> ╚═══════╪════════════════════════════════╪══════════════════════════════════════╝</w:t>
        <w:br/>
        <w:t xml:space="preserve">         │                                │</w:t>
        <w:br/>
        <w:t xml:space="preserve">         ▼ h_asset (10,128)               ▼ h_market (128)</w:t>
        <w:br/>
        <w:t xml:space="preserve">  ┌──────────────────────┐         ┌──────────────────────┐</w:t>
        <w:br/>
        <w:t xml:space="preserve">  │ [7] ACTOR   π(a|s)   │         │ [8] CRITIC   V(s)    │</w:t>
        <w:br/>
        <w:t xml:space="preserve">  │ shared per-asset MLP │         │ MLP 128→256→128→1    │</w:t>
        <w:br/>
        <w:t xml:space="preserve">  │ 128→256→128→1        │         │ + regime conditioning│</w:t>
        <w:br/>
        <w:t xml:space="preserve">  │ + regime conditioning│         │                      │</w:t>
        <w:br/>
        <w:t xml:space="preserve">  │ → 10 logits          │         │ → scalar value       │</w:t>
        <w:br/>
        <w:t xml:space="preserve">  │ → Gaussian sample    │         └──────────┬───────────┘</w:t>
        <w:br/>
        <w:t xml:space="preserve">  │ → softmax (long-only)│                    │</w:t>
        <w:br/>
        <w:t xml:space="preserve">  └──────────┬───────────┘                    │</w:t>
        <w:br/>
        <w:t xml:space="preserve">             │ weights a_t (10)               │ V(s_t)</w:t>
        <w:br/>
        <w:t xml:space="preserve">             ▼                                │</w:t>
        <w:br/>
        <w:t xml:space="preserve">  ┌────────────────────────────────┐          │</w:t>
        <w:br/>
        <w:t xml:space="preserve">  │ [9] MARKET ENVIRONMENT         │          │</w:t>
        <w:br/>
        <w:t xml:space="preserve">  │  cap 30% / asset, renormalise  │          │</w:t>
        <w:br/>
        <w:t xml:space="preserve">  │  transaction cost 0.10%        │          │</w:t>
        <w:br/>
        <w:t xml:space="preserve">  │  slippage 0.05%                │          │</w:t>
        <w:br/>
        <w:t xml:space="preserve">  │  → realised portfolio return   │          │</w:t>
        <w:br/>
        <w:t xml:space="preserve">  └──────────┬─────────────────────┘          │</w:t>
        <w:br/>
        <w:t xml:space="preserve">             ▼                                │</w:t>
        <w:br/>
        <w:t xml:space="preserve">  ┌────────────────────────────────┐          │</w:t>
        <w:br/>
        <w:t xml:space="preserve">  │ [10] REWARD MODULE             │          │</w:t>
        <w:br/>
        <w:t xml:space="preserve">  │  rolling 20-day Sharpe          │          │</w:t>
        <w:br/>
        <w:t xml:space="preserve">  │  − cost &amp; turnover penalty      │          │</w:t>
        <w:br/>
        <w:t xml:space="preserve">  │  − EVaR tail-risk penalty       │          │</w:t>
        <w:br/>
        <w:t xml:space="preserve">  └──────────┬─────────────────────┘          │</w:t>
        <w:br/>
        <w:t xml:space="preserve">             │ r_t                            │</w:t>
        <w:br/>
        <w:t xml:space="preserve">             ▼                                ▼</w:t>
        <w:br/>
        <w:t xml:space="preserve">  ┌──────────────────────────────────────────────────────────┐</w:t>
        <w:br/>
        <w:t xml:space="preserve">  │ [11] GAE(γ=0.99, λ=0.95)  →  advantages A_t , returns R_t │</w:t>
        <w:br/>
        <w:t xml:space="preserve">  └──────────────────────┬───────────────────────────────────┘</w:t>
        <w:br/>
        <w:t xml:space="preserve">                         ▼</w:t>
        <w:br/>
        <w:t xml:space="preserve">  ┌──────────────────────────────────────────────────────────┐</w:t>
        <w:br/>
        <w:t xml:space="preserve">  │ [12] PPO LOSS = clipped policy + 0.5·value − 0.01·entropy │</w:t>
        <w:br/>
        <w:t xml:space="preserve">  │      one AdamW step updates ENCODER + ACTOR + CRITIC      │</w:t>
        <w:br/>
        <w:t xml:space="preserve">  │      simultaneously  (gradients flow all the way back)    │</w:t>
        <w:br/>
        <w:t xml:space="preserve">  └──────────────────────────────────────────────────────────┘</w:t>
        <w:br/>
      </w:r>
    </w:p>
    <w:p>
      <w:pPr>
        <w:spacing w:before="0" w:after="200"/>
      </w:pPr>
      <w:r>
        <w:rPr>
          <w:i/>
          <w:color w:val="555F69"/>
          <w:sz w:val="17"/>
        </w:rPr>
        <w:t>Figure 1 — End-to-end data flow. Shapes are shown for a single observation (batch dimension omitted). The dashed boundary of the encoder is not a training boundary: the PPO gradient passes straight through it.</w:t>
      </w:r>
    </w:p>
    <w:p>
      <w:r>
        <w:rPr>
          <w:b/>
          <w:i w:val="0"/>
          <w:sz w:val="22"/>
        </w:rPr>
        <w:t>Parameter budget</w:t>
      </w:r>
    </w:p>
    <w:tbl>
      <w:tblPr>
        <w:tblStyle w:val="TableGrid"/>
        <w:tblW w:type="auto" w:w="0"/>
        <w:jc w:val="left"/>
        <w:tblLook w:firstColumn="1" w:firstRow="1" w:lastColumn="0" w:lastRow="0" w:noHBand="0" w:noVBand="1" w:val="04A0"/>
      </w:tblPr>
      <w:tblGrid>
        <w:gridCol w:w="3264"/>
        <w:gridCol w:w="3264"/>
        <w:gridCol w:w="3264"/>
      </w:tblGrid>
      <w:tr>
        <w:tc>
          <w:tcPr>
            <w:tcW w:type="dxa" w:w="4896"/>
            <w:shd w:val="clear" w:color="auto" w:fill="1F3B57"/>
          </w:tcPr>
          <w:p>
            <w:pPr>
              <w:spacing w:after="20" w:before="20"/>
            </w:pPr>
            <w:r/>
            <w:r>
              <w:rPr>
                <w:b/>
                <w:color w:val="FFFFFF"/>
                <w:sz w:val="18"/>
              </w:rPr>
              <w:t>Component</w:t>
            </w:r>
          </w:p>
        </w:tc>
        <w:tc>
          <w:tcPr>
            <w:tcW w:type="dxa" w:w="2880"/>
            <w:shd w:val="clear" w:color="auto" w:fill="1F3B57"/>
          </w:tcPr>
          <w:p>
            <w:pPr>
              <w:spacing w:after="20" w:before="20"/>
            </w:pPr>
            <w:r/>
            <w:r>
              <w:rPr>
                <w:b/>
                <w:color w:val="FFFFFF"/>
                <w:sz w:val="18"/>
              </w:rPr>
              <w:t>Trainable parameters</w:t>
            </w:r>
          </w:p>
        </w:tc>
        <w:tc>
          <w:tcPr>
            <w:tcW w:type="dxa" w:w="1728"/>
            <w:shd w:val="clear" w:color="auto" w:fill="1F3B57"/>
          </w:tcPr>
          <w:p>
            <w:pPr>
              <w:spacing w:after="20" w:before="20"/>
            </w:pPr>
            <w:r/>
            <w:r>
              <w:rPr>
                <w:b/>
                <w:color w:val="FFFFFF"/>
                <w:sz w:val="18"/>
              </w:rPr>
              <w:t>Share</w:t>
            </w:r>
          </w:p>
        </w:tc>
      </w:tr>
      <w:tr>
        <w:tc>
          <w:tcPr>
            <w:tcW w:type="dxa" w:w="4896"/>
          </w:tcPr>
          <w:p>
            <w:pPr>
              <w:spacing w:after="20" w:before="20"/>
            </w:pPr>
            <w:r>
              <w:rPr>
                <w:sz w:val="18"/>
              </w:rPr>
            </w:r>
            <w:r>
              <w:rPr>
                <w:sz w:val="18"/>
              </w:rPr>
              <w:t>Differentiable Regime Encoder</w:t>
            </w:r>
          </w:p>
        </w:tc>
        <w:tc>
          <w:tcPr>
            <w:tcW w:type="dxa" w:w="2880"/>
          </w:tcPr>
          <w:p>
            <w:pPr>
              <w:spacing w:after="20" w:before="20"/>
            </w:pPr>
            <w:r>
              <w:rPr>
                <w:sz w:val="18"/>
              </w:rPr>
            </w:r>
            <w:r>
              <w:rPr>
                <w:sz w:val="18"/>
              </w:rPr>
              <w:t>505,989</w:t>
            </w:r>
          </w:p>
        </w:tc>
        <w:tc>
          <w:tcPr>
            <w:tcW w:type="dxa" w:w="1728"/>
          </w:tcPr>
          <w:p>
            <w:pPr>
              <w:spacing w:after="20" w:before="20"/>
            </w:pPr>
            <w:r>
              <w:rPr>
                <w:sz w:val="18"/>
              </w:rPr>
            </w:r>
            <w:r>
              <w:rPr>
                <w:sz w:val="18"/>
              </w:rPr>
              <w:t>79.0%</w:t>
            </w:r>
          </w:p>
        </w:tc>
      </w:tr>
      <w:tr>
        <w:tc>
          <w:tcPr>
            <w:tcW w:type="dxa" w:w="4896"/>
            <w:shd w:val="clear" w:color="auto" w:fill="F2F5F8"/>
          </w:tcPr>
          <w:p>
            <w:pPr>
              <w:spacing w:after="20" w:before="20"/>
            </w:pPr>
            <w:r>
              <w:rPr>
                <w:sz w:val="18"/>
              </w:rPr>
            </w:r>
            <w:r>
              <w:rPr>
                <w:sz w:val="18"/>
              </w:rPr>
              <w:t>Actor network (policy π)</w:t>
            </w:r>
          </w:p>
        </w:tc>
        <w:tc>
          <w:tcPr>
            <w:tcW w:type="dxa" w:w="2880"/>
            <w:shd w:val="clear" w:color="auto" w:fill="F2F5F8"/>
          </w:tcPr>
          <w:p>
            <w:pPr>
              <w:spacing w:after="20" w:before="20"/>
            </w:pPr>
            <w:r>
              <w:rPr>
                <w:sz w:val="18"/>
              </w:rPr>
            </w:r>
            <w:r>
              <w:rPr>
                <w:sz w:val="18"/>
              </w:rPr>
              <w:t>67,339</w:t>
            </w:r>
          </w:p>
        </w:tc>
        <w:tc>
          <w:tcPr>
            <w:tcW w:type="dxa" w:w="1728"/>
            <w:shd w:val="clear" w:color="auto" w:fill="F2F5F8"/>
          </w:tcPr>
          <w:p>
            <w:pPr>
              <w:spacing w:after="20" w:before="20"/>
            </w:pPr>
            <w:r>
              <w:rPr>
                <w:sz w:val="18"/>
              </w:rPr>
            </w:r>
            <w:r>
              <w:rPr>
                <w:sz w:val="18"/>
              </w:rPr>
              <w:t>10.5%</w:t>
            </w:r>
          </w:p>
        </w:tc>
      </w:tr>
      <w:tr>
        <w:tc>
          <w:tcPr>
            <w:tcW w:type="dxa" w:w="4896"/>
          </w:tcPr>
          <w:p>
            <w:pPr>
              <w:spacing w:after="20" w:before="20"/>
            </w:pPr>
            <w:r>
              <w:rPr>
                <w:sz w:val="18"/>
              </w:rPr>
            </w:r>
            <w:r>
              <w:rPr>
                <w:sz w:val="18"/>
              </w:rPr>
              <w:t>Critic network (value V)</w:t>
            </w:r>
          </w:p>
        </w:tc>
        <w:tc>
          <w:tcPr>
            <w:tcW w:type="dxa" w:w="2880"/>
          </w:tcPr>
          <w:p>
            <w:pPr>
              <w:spacing w:after="20" w:before="20"/>
            </w:pPr>
            <w:r>
              <w:rPr>
                <w:sz w:val="18"/>
              </w:rPr>
            </w:r>
            <w:r>
              <w:rPr>
                <w:sz w:val="18"/>
              </w:rPr>
              <w:t>67,329</w:t>
            </w:r>
          </w:p>
        </w:tc>
        <w:tc>
          <w:tcPr>
            <w:tcW w:type="dxa" w:w="1728"/>
          </w:tcPr>
          <w:p>
            <w:pPr>
              <w:spacing w:after="20" w:before="20"/>
            </w:pPr>
            <w:r>
              <w:rPr>
                <w:sz w:val="18"/>
              </w:rPr>
            </w:r>
            <w:r>
              <w:rPr>
                <w:sz w:val="18"/>
              </w:rPr>
              <w:t>10.5%</w:t>
            </w:r>
          </w:p>
        </w:tc>
      </w:tr>
      <w:tr>
        <w:tc>
          <w:tcPr>
            <w:tcW w:type="dxa" w:w="4896"/>
            <w:shd w:val="clear" w:color="auto" w:fill="F2F5F8"/>
          </w:tcPr>
          <w:p>
            <w:pPr>
              <w:spacing w:after="20" w:before="20"/>
            </w:pPr>
            <w:r>
              <w:rPr>
                <w:sz w:val="18"/>
              </w:rPr>
            </w:r>
            <w:r>
              <w:rPr>
                <w:b/>
                <w:sz w:val="18"/>
              </w:rPr>
              <w:t>Total</w:t>
            </w:r>
          </w:p>
        </w:tc>
        <w:tc>
          <w:tcPr>
            <w:tcW w:type="dxa" w:w="2880"/>
            <w:shd w:val="clear" w:color="auto" w:fill="F2F5F8"/>
          </w:tcPr>
          <w:p>
            <w:pPr>
              <w:spacing w:after="20" w:before="20"/>
            </w:pPr>
            <w:r>
              <w:rPr>
                <w:sz w:val="18"/>
              </w:rPr>
            </w:r>
            <w:r>
              <w:rPr>
                <w:b/>
                <w:sz w:val="18"/>
              </w:rPr>
              <w:t>640,657</w:t>
            </w:r>
          </w:p>
        </w:tc>
        <w:tc>
          <w:tcPr>
            <w:tcW w:type="dxa" w:w="1728"/>
            <w:shd w:val="clear" w:color="auto" w:fill="F2F5F8"/>
          </w:tcPr>
          <w:p>
            <w:pPr>
              <w:spacing w:after="20" w:before="20"/>
            </w:pPr>
            <w:r>
              <w:rPr>
                <w:sz w:val="18"/>
              </w:rPr>
            </w:r>
            <w:r>
              <w:rPr>
                <w:b/>
                <w:sz w:val="18"/>
              </w:rPr>
              <w:t>100%</w:t>
            </w:r>
          </w:p>
        </w:tc>
      </w:tr>
    </w:tbl>
    <w:p>
      <w:pPr>
        <w:spacing w:after="40"/>
      </w:pPr>
    </w:p>
    <w:p>
      <w:r>
        <w:br w:type="page"/>
      </w:r>
    </w:p>
    <w:p>
      <w:pPr>
        <w:pStyle w:val="Heading1"/>
      </w:pPr>
      <w:r>
        <w:t>2. Stage 1 — Data Acquisition</w:t>
      </w:r>
    </w:p>
    <w:p>
      <w:r>
        <w:rPr>
          <w:b w:val="0"/>
          <w:i/>
        </w:rPr>
        <w:t>Module: src/data/data_loader.py — class CSEDataLoader</w:t>
      </w:r>
    </w:p>
    <w:p>
      <w:r>
        <w:rPr>
          <w:b w:val="0"/>
          <w:i w:val="0"/>
        </w:rPr>
        <w:t>This stage converts five long-format yearly CSV exports into two rectangular matrices indexed by date, which is the layout every later stage assumes.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080"/>
            <w:shd w:val="clear" w:color="auto" w:fill="1F3B57"/>
          </w:tcPr>
          <w:p>
            <w:pPr>
              <w:spacing w:after="20" w:before="20"/>
            </w:pPr>
            <w:r/>
            <w:r>
              <w:rPr>
                <w:b/>
                <w:color w:val="FFFFFF"/>
                <w:sz w:val="17"/>
              </w:rPr>
              <w:t>Role</w:t>
            </w:r>
          </w:p>
        </w:tc>
        <w:tc>
          <w:tcPr>
            <w:tcW w:type="dxa" w:w="2088"/>
            <w:shd w:val="clear" w:color="auto" w:fill="1F3B57"/>
          </w:tcPr>
          <w:p>
            <w:pPr>
              <w:spacing w:after="20" w:before="20"/>
            </w:pPr>
            <w:r/>
            <w:r>
              <w:rPr>
                <w:b/>
                <w:color w:val="FFFFFF"/>
                <w:sz w:val="17"/>
              </w:rPr>
              <w:t>Tensor / object</w:t>
            </w:r>
          </w:p>
        </w:tc>
        <w:tc>
          <w:tcPr>
            <w:tcW w:type="dxa" w:w="2232"/>
            <w:shd w:val="clear" w:color="auto" w:fill="1F3B57"/>
          </w:tcPr>
          <w:p>
            <w:pPr>
              <w:spacing w:after="20" w:before="20"/>
            </w:pPr>
            <w:r/>
            <w:r>
              <w:rPr>
                <w:b/>
                <w:color w:val="FFFFFF"/>
                <w:sz w:val="17"/>
              </w:rPr>
              <w:t>Shape (concrete)</w:t>
            </w:r>
          </w:p>
        </w:tc>
        <w:tc>
          <w:tcPr>
            <w:tcW w:type="dxa" w:w="4824"/>
            <w:shd w:val="clear" w:color="auto" w:fill="1F3B57"/>
          </w:tcPr>
          <w:p>
            <w:pPr>
              <w:spacing w:after="20" w:before="20"/>
            </w:pPr>
            <w:r/>
            <w:r>
              <w:rPr>
                <w:b/>
                <w:color w:val="FFFFFF"/>
                <w:sz w:val="17"/>
              </w:rPr>
              <w:t>Meaning</w:t>
            </w:r>
          </w:p>
        </w:tc>
      </w:tr>
      <w:tr>
        <w:tc>
          <w:tcPr>
            <w:tcW w:type="dxa" w:w="1080"/>
          </w:tcPr>
          <w:p>
            <w:pPr>
              <w:spacing w:after="20" w:before="20"/>
            </w:pPr>
            <w:r>
              <w:rPr>
                <w:sz w:val="17"/>
              </w:rPr>
            </w:r>
            <w:r>
              <w:rPr>
                <w:sz w:val="17"/>
              </w:rPr>
              <w:t>INPUT</w:t>
            </w:r>
          </w:p>
        </w:tc>
        <w:tc>
          <w:tcPr>
            <w:tcW w:type="dxa" w:w="2088"/>
          </w:tcPr>
          <w:p>
            <w:pPr>
              <w:spacing w:after="20" w:before="20"/>
            </w:pPr>
            <w:r/>
            <w:r>
              <w:rPr>
                <w:rFonts w:ascii="Consolas" w:hAnsi="Consolas"/>
                <w:sz w:val="16"/>
              </w:rPr>
              <w:t>5 CSV files</w:t>
            </w:r>
          </w:p>
        </w:tc>
        <w:tc>
          <w:tcPr>
            <w:tcW w:type="dxa" w:w="2232"/>
          </w:tcPr>
          <w:p>
            <w:pPr>
              <w:spacing w:after="20" w:before="20"/>
            </w:pPr>
            <w:r/>
            <w:r>
              <w:rPr>
                <w:rFonts w:ascii="Consolas" w:hAnsi="Consolas"/>
                <w:sz w:val="16"/>
              </w:rPr>
              <w:t>long format, ~40k rows total</w:t>
            </w:r>
          </w:p>
        </w:tc>
        <w:tc>
          <w:tcPr>
            <w:tcW w:type="dxa" w:w="4824"/>
          </w:tcPr>
          <w:p>
            <w:pPr>
              <w:spacing w:after="20" w:before="20"/>
            </w:pPr>
            <w:r>
              <w:rPr>
                <w:sz w:val="17"/>
              </w:rPr>
            </w:r>
            <w:r>
              <w:rPr>
                <w:rFonts w:ascii="Consolas" w:hAnsi="Consolas"/>
                <w:sz w:val="17"/>
              </w:rPr>
              <w:t>2021_banking_sector.csv</w:t>
            </w:r>
            <w:r>
              <w:rPr>
                <w:sz w:val="17"/>
              </w:rPr>
              <w:t xml:space="preserve"> … </w:t>
            </w:r>
            <w:r>
              <w:rPr>
                <w:rFonts w:ascii="Consolas" w:hAnsi="Consolas"/>
                <w:sz w:val="17"/>
              </w:rPr>
              <w:t>2025_banking_sector.csv</w:t>
            </w:r>
            <w:r>
              <w:rPr>
                <w:sz w:val="17"/>
              </w:rPr>
              <w:t>. Columns used: COMPANY ID, TRADING DATE, CLOSE PRICE (Rs.), SHARE VOLUME (No.)</w:t>
            </w:r>
          </w:p>
        </w:tc>
      </w:tr>
      <w:tr>
        <w:tc>
          <w:tcPr>
            <w:tcW w:type="dxa" w:w="1080"/>
            <w:shd w:val="clear" w:color="auto" w:fill="F2F5F8"/>
          </w:tcPr>
          <w:p>
            <w:pPr>
              <w:spacing w:after="20" w:before="20"/>
            </w:pPr>
            <w:r>
              <w:rPr>
                <w:sz w:val="17"/>
              </w:rPr>
            </w:r>
            <w:r>
              <w:rPr>
                <w:sz w:val="17"/>
              </w:rPr>
              <w:t>OUTPUT</w:t>
            </w:r>
          </w:p>
        </w:tc>
        <w:tc>
          <w:tcPr>
            <w:tcW w:type="dxa" w:w="2088"/>
            <w:shd w:val="clear" w:color="auto" w:fill="F2F5F8"/>
          </w:tcPr>
          <w:p>
            <w:pPr>
              <w:spacing w:after="20" w:before="20"/>
            </w:pPr>
            <w:r/>
            <w:r>
              <w:rPr>
                <w:rFonts w:ascii="Consolas" w:hAnsi="Consolas"/>
                <w:sz w:val="16"/>
              </w:rPr>
              <w:t>prices</w:t>
            </w:r>
          </w:p>
        </w:tc>
        <w:tc>
          <w:tcPr>
            <w:tcW w:type="dxa" w:w="2232"/>
            <w:shd w:val="clear" w:color="auto" w:fill="F2F5F8"/>
          </w:tcPr>
          <w:p>
            <w:pPr>
              <w:spacing w:after="20" w:before="20"/>
            </w:pPr>
            <w:r/>
            <w:r>
              <w:rPr>
                <w:rFonts w:ascii="Consolas" w:hAnsi="Consolas"/>
                <w:sz w:val="16"/>
              </w:rPr>
              <w:t>(T_raw, 10)  DataFrame</w:t>
            </w:r>
          </w:p>
        </w:tc>
        <w:tc>
          <w:tcPr>
            <w:tcW w:type="dxa" w:w="4824"/>
            <w:shd w:val="clear" w:color="auto" w:fill="F2F5F8"/>
          </w:tcPr>
          <w:p>
            <w:pPr>
              <w:spacing w:after="20" w:before="20"/>
            </w:pPr>
            <w:r>
              <w:rPr>
                <w:sz w:val="17"/>
              </w:rPr>
            </w:r>
            <w:r>
              <w:rPr>
                <w:sz w:val="17"/>
              </w:rPr>
              <w:t>Daily closing price per ticker, dates as index</w:t>
            </w:r>
          </w:p>
        </w:tc>
      </w:tr>
      <w:tr>
        <w:tc>
          <w:tcPr>
            <w:tcW w:type="dxa" w:w="1080"/>
          </w:tcPr>
          <w:p>
            <w:pPr>
              <w:spacing w:after="20" w:before="20"/>
            </w:pPr>
            <w:r>
              <w:rPr>
                <w:sz w:val="17"/>
              </w:rPr>
            </w:r>
            <w:r>
              <w:rPr>
                <w:sz w:val="17"/>
              </w:rPr>
              <w:t>OUTPUT</w:t>
            </w:r>
          </w:p>
        </w:tc>
        <w:tc>
          <w:tcPr>
            <w:tcW w:type="dxa" w:w="2088"/>
          </w:tcPr>
          <w:p>
            <w:pPr>
              <w:spacing w:after="20" w:before="20"/>
            </w:pPr>
            <w:r/>
            <w:r>
              <w:rPr>
                <w:rFonts w:ascii="Consolas" w:hAnsi="Consolas"/>
                <w:sz w:val="16"/>
              </w:rPr>
              <w:t>volumes</w:t>
            </w:r>
          </w:p>
        </w:tc>
        <w:tc>
          <w:tcPr>
            <w:tcW w:type="dxa" w:w="2232"/>
          </w:tcPr>
          <w:p>
            <w:pPr>
              <w:spacing w:after="20" w:before="20"/>
            </w:pPr>
            <w:r/>
            <w:r>
              <w:rPr>
                <w:rFonts w:ascii="Consolas" w:hAnsi="Consolas"/>
                <w:sz w:val="16"/>
              </w:rPr>
              <w:t>(T_raw, 10)  DataFrame</w:t>
            </w:r>
          </w:p>
        </w:tc>
        <w:tc>
          <w:tcPr>
            <w:tcW w:type="dxa" w:w="4824"/>
          </w:tcPr>
          <w:p>
            <w:pPr>
              <w:spacing w:after="20" w:before="20"/>
            </w:pPr>
            <w:r>
              <w:rPr>
                <w:sz w:val="17"/>
              </w:rPr>
            </w:r>
            <w:r>
              <w:rPr>
                <w:sz w:val="17"/>
              </w:rPr>
              <w:t>Daily share volume per ticker, same index as prices</w:t>
            </w:r>
          </w:p>
        </w:tc>
      </w:tr>
    </w:tbl>
    <w:p>
      <w:pPr>
        <w:spacing w:after="40"/>
      </w:pPr>
    </w:p>
    <w:p>
      <w:r>
        <w:rPr>
          <w:b/>
          <w:i w:val="0"/>
          <w:sz w:val="22"/>
        </w:rPr>
        <w:t>What it does, step by step</w:t>
      </w:r>
    </w:p>
    <w:p>
      <w:pPr>
        <w:pStyle w:val="ListNumber"/>
        <w:spacing w:after="40"/>
      </w:pPr>
      <w:r>
        <w:rPr>
          <w:b/>
        </w:rPr>
        <w:t>Dynamic header detection</w:t>
      </w:r>
      <w:r>
        <w:t xml:space="preserve"> — the CSE exports carry a variable number of title rows, so the loader scans the first 10 lines for a row containing "COMPANY ID" and treats that as the header.</w:t>
      </w:r>
    </w:p>
    <w:p>
      <w:pPr>
        <w:pStyle w:val="ListNumber"/>
        <w:spacing w:after="40"/>
      </w:pPr>
      <w:r>
        <w:rPr>
          <w:b/>
        </w:rPr>
        <w:t>Column-name harmonisation</w:t>
      </w:r>
      <w:r>
        <w:t xml:space="preserve"> — variants such as CLOSE, CLOSE PRICE and CLOSE PRICE (Rs.) are mapped onto one canonical name, so year-to-year format drift does not break the pipeline.</w:t>
      </w:r>
    </w:p>
    <w:p>
      <w:pPr>
        <w:pStyle w:val="ListNumber"/>
        <w:spacing w:after="40"/>
      </w:pPr>
      <w:r>
        <w:rPr>
          <w:b/>
        </w:rPr>
        <w:t>Type cleaning</w:t>
      </w:r>
      <w:r>
        <w:t xml:space="preserve"> — thousands separators are stripped, prices and volumes are coerced to numeric, and unparseable dates or missing IDs are dropped.</w:t>
      </w:r>
    </w:p>
    <w:p>
      <w:pPr>
        <w:pStyle w:val="ListNumber"/>
        <w:spacing w:after="40"/>
      </w:pPr>
      <w:r>
        <w:rPr>
          <w:b/>
        </w:rPr>
        <w:t>Pivot to matrix form</w:t>
      </w:r>
      <w:r>
        <w:t xml:space="preserve"> — </w:t>
      </w:r>
      <w:r>
        <w:rPr>
          <w:rFonts w:ascii="Consolas" w:hAnsi="Consolas"/>
          <w:sz w:val="19"/>
        </w:rPr>
        <w:t>pivot_table(index=TRADING DATE, columns=COMPANY ID)</w:t>
      </w:r>
      <w:r>
        <w:t xml:space="preserve"> turns one row per (ticker, day) into one column per ticker. Duplicate entries for the same ticker-day are resolved with </w:t>
      </w:r>
      <w:r>
        <w:rPr>
          <w:rFonts w:ascii="Consolas" w:hAnsi="Consolas"/>
          <w:sz w:val="19"/>
        </w:rPr>
        <w:t>aggfunc="last"</w:t>
      </w:r>
      <w:r>
        <w:t>.</w:t>
      </w:r>
    </w:p>
    <w:p>
      <w:pPr>
        <w:pStyle w:val="ListNumber"/>
        <w:spacing w:after="40"/>
      </w:pPr>
      <w:r>
        <w:rPr>
          <w:b/>
        </w:rPr>
        <w:t>Universe selection by completeness</w:t>
      </w:r>
      <w:r>
        <w:t xml:space="preserve"> — the missing-value fraction is computed per ticker and the </w:t>
      </w:r>
      <w:r>
        <w:rPr>
          <w:rFonts w:ascii="Consolas" w:hAnsi="Consolas"/>
          <w:sz w:val="19"/>
        </w:rPr>
        <w:t>n_assets</w:t>
      </w:r>
      <w:r>
        <w:t xml:space="preserve"> most complete tickers are kept. The run requests 47 as an upper bound; the banking-sector files contain 10 tickers, so all 10 survive and the effective universe is N = 10.</w:t>
      </w:r>
    </w:p>
    <w:p>
      <w:pPr>
        <w:pStyle w:val="ListNumber"/>
        <w:spacing w:after="40"/>
      </w:pPr>
      <w:r>
        <w:rPr>
          <w:b/>
        </w:rPr>
        <w:t>Gap filling</w:t>
      </w:r>
      <w:r>
        <w:t xml:space="preserve"> — prices are forward-filled then backward-filled (a non-traded day carries the last known price); volumes are forward-filled then filled with 0 (no trade means no volume).</w:t>
      </w:r>
    </w:p>
    <w:p>
      <w:pPr>
        <w:pStyle w:val="ListNumber"/>
        <w:spacing w:after="40"/>
      </w:pPr>
      <w:r>
        <w:rPr>
          <w:b/>
        </w:rPr>
        <w:t>Parquet caching</w:t>
      </w:r>
      <w:r>
        <w:t xml:space="preserve"> — the parsed matrices are written to data/processed/ so subsequent runs load in about a second instead of re-parsing the CSVs.</w:t>
      </w:r>
    </w:p>
    <w:p>
      <w:r>
        <w:rPr>
          <w:b/>
        </w:rPr>
        <w:t xml:space="preserve">Point to note: </w:t>
      </w:r>
      <w:r>
        <w:rPr>
          <w:i/>
        </w:rPr>
        <w:t>forward-filling prices means an illiquid ticker can contribute a run of zero returns rather than a genuine price path. With 10 large banking counters this is mild, but it is the correct place to point at if the supervisor asks about data quality.</w:t>
      </w:r>
    </w:p>
    <w:p>
      <w:pPr>
        <w:pStyle w:val="Heading1"/>
      </w:pPr>
      <w:r>
        <w:t>3. Stage 2 — Feature Engineering</w:t>
      </w:r>
    </w:p>
    <w:p>
      <w:r>
        <w:rPr>
          <w:b w:val="0"/>
          <w:i/>
        </w:rPr>
        <w:t>Module: src/data/preprocessor.py — Preprocessor.engineer_features()</w:t>
      </w:r>
    </w:p>
    <w:p>
      <w:r>
        <w:rPr>
          <w:b w:val="0"/>
          <w:i w:val="0"/>
        </w:rPr>
        <w:t>Prices and volumes on their own are non-stationary and on wildly different scales, so each ticker is expanded into 15 stationary descriptors. The same 15 are produced for every ticker, which is what later allows one shared encoder to be applied to all assets.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648"/>
            <w:shd w:val="clear" w:color="auto" w:fill="1F3B57"/>
          </w:tcPr>
          <w:p>
            <w:pPr>
              <w:spacing w:after="20" w:before="20"/>
            </w:pPr>
            <w:r/>
            <w:r>
              <w:rPr>
                <w:b/>
                <w:color w:val="FFFFFF"/>
                <w:sz w:val="17"/>
              </w:rPr>
              <w:t>#</w:t>
            </w:r>
          </w:p>
        </w:tc>
        <w:tc>
          <w:tcPr>
            <w:tcW w:type="dxa" w:w="2448"/>
            <w:shd w:val="clear" w:color="auto" w:fill="1F3B57"/>
          </w:tcPr>
          <w:p>
            <w:pPr>
              <w:spacing w:after="20" w:before="20"/>
            </w:pPr>
            <w:r/>
            <w:r>
              <w:rPr>
                <w:b/>
                <w:color w:val="FFFFFF"/>
                <w:sz w:val="17"/>
              </w:rPr>
              <w:t>Feature (column suffix)</w:t>
            </w:r>
          </w:p>
        </w:tc>
        <w:tc>
          <w:tcPr>
            <w:tcW w:type="dxa" w:w="3240"/>
            <w:shd w:val="clear" w:color="auto" w:fill="1F3B57"/>
          </w:tcPr>
          <w:p>
            <w:pPr>
              <w:spacing w:after="20" w:before="20"/>
            </w:pPr>
            <w:r/>
            <w:r>
              <w:rPr>
                <w:b/>
                <w:color w:val="FFFFFF"/>
                <w:sz w:val="17"/>
              </w:rPr>
              <w:t>Formula / definition</w:t>
            </w:r>
          </w:p>
        </w:tc>
        <w:tc>
          <w:tcPr>
            <w:tcW w:type="dxa" w:w="4896"/>
            <w:shd w:val="clear" w:color="auto" w:fill="1F3B57"/>
          </w:tcPr>
          <w:p>
            <w:pPr>
              <w:spacing w:after="20" w:before="20"/>
            </w:pPr>
            <w:r/>
            <w:r>
              <w:rPr>
                <w:b/>
                <w:color w:val="FFFFFF"/>
                <w:sz w:val="17"/>
              </w:rPr>
              <w:t>What it tells the model</w:t>
            </w:r>
          </w:p>
        </w:tc>
      </w:tr>
      <w:tr>
        <w:tc>
          <w:tcPr>
            <w:tcW w:type="dxa" w:w="648"/>
          </w:tcPr>
          <w:p>
            <w:pPr>
              <w:spacing w:after="20" w:before="20"/>
            </w:pPr>
            <w:r>
              <w:rPr>
                <w:sz w:val="17"/>
              </w:rPr>
            </w:r>
            <w:r>
              <w:rPr>
                <w:sz w:val="17"/>
              </w:rPr>
              <w:t>1</w:t>
            </w:r>
          </w:p>
        </w:tc>
        <w:tc>
          <w:tcPr>
            <w:tcW w:type="dxa" w:w="2448"/>
          </w:tcPr>
          <w:p>
            <w:pPr>
              <w:spacing w:after="20" w:before="20"/>
            </w:pPr>
            <w:r>
              <w:rPr>
                <w:sz w:val="17"/>
              </w:rPr>
            </w:r>
            <w:r>
              <w:rPr>
                <w:rFonts w:ascii="Consolas" w:hAnsi="Consolas"/>
                <w:sz w:val="17"/>
              </w:rPr>
              <w:t xml:space="preserve"> </w:t>
            </w:r>
            <w:r>
              <w:rPr>
                <w:sz w:val="17"/>
              </w:rPr>
              <w:t xml:space="preserve"> (bare ticker)</w:t>
            </w:r>
          </w:p>
        </w:tc>
        <w:tc>
          <w:tcPr>
            <w:tcW w:type="dxa" w:w="3240"/>
          </w:tcPr>
          <w:p>
            <w:pPr>
              <w:spacing w:after="20" w:before="20"/>
            </w:pPr>
            <w:r>
              <w:rPr>
                <w:sz w:val="17"/>
              </w:rPr>
            </w:r>
            <w:r>
              <w:rPr>
                <w:sz w:val="17"/>
              </w:rPr>
              <w:t>ln(P_t / P_{t−1})</w:t>
            </w:r>
          </w:p>
        </w:tc>
        <w:tc>
          <w:tcPr>
            <w:tcW w:type="dxa" w:w="4896"/>
          </w:tcPr>
          <w:p>
            <w:pPr>
              <w:spacing w:after="20" w:before="20"/>
            </w:pPr>
            <w:r>
              <w:rPr>
                <w:sz w:val="17"/>
              </w:rPr>
            </w:r>
            <w:r>
              <w:rPr>
                <w:sz w:val="17"/>
              </w:rPr>
              <w:t>Daily log return — the core signal</w:t>
            </w:r>
          </w:p>
        </w:tc>
      </w:tr>
      <w:tr>
        <w:tc>
          <w:tcPr>
            <w:tcW w:type="dxa" w:w="648"/>
            <w:shd w:val="clear" w:color="auto" w:fill="F2F5F8"/>
          </w:tcPr>
          <w:p>
            <w:pPr>
              <w:spacing w:after="20" w:before="20"/>
            </w:pPr>
            <w:r>
              <w:rPr>
                <w:sz w:val="17"/>
              </w:rPr>
            </w:r>
            <w:r>
              <w:rPr>
                <w:sz w:val="17"/>
              </w:rPr>
              <w:t>2–4</w:t>
            </w:r>
          </w:p>
        </w:tc>
        <w:tc>
          <w:tcPr>
            <w:tcW w:type="dxa" w:w="2448"/>
            <w:shd w:val="clear" w:color="auto" w:fill="F2F5F8"/>
          </w:tcPr>
          <w:p>
            <w:pPr>
              <w:spacing w:after="20" w:before="20"/>
            </w:pPr>
            <w:r>
              <w:rPr>
                <w:sz w:val="17"/>
              </w:rPr>
            </w:r>
            <w:r>
              <w:rPr>
                <w:rFonts w:ascii="Consolas" w:hAnsi="Consolas"/>
                <w:sz w:val="17"/>
              </w:rPr>
              <w:t>_vol_5d _vol_10d _vol_20d</w:t>
            </w:r>
          </w:p>
        </w:tc>
        <w:tc>
          <w:tcPr>
            <w:tcW w:type="dxa" w:w="3240"/>
            <w:shd w:val="clear" w:color="auto" w:fill="F2F5F8"/>
          </w:tcPr>
          <w:p>
            <w:pPr>
              <w:spacing w:after="20" w:before="20"/>
            </w:pPr>
            <w:r>
              <w:rPr>
                <w:sz w:val="17"/>
              </w:rPr>
            </w:r>
            <w:r>
              <w:rPr>
                <w:sz w:val="17"/>
              </w:rPr>
              <w:t>std(returns, w) × √252, w ∈ {5,10,20}</w:t>
            </w:r>
          </w:p>
        </w:tc>
        <w:tc>
          <w:tcPr>
            <w:tcW w:type="dxa" w:w="4896"/>
            <w:shd w:val="clear" w:color="auto" w:fill="F2F5F8"/>
          </w:tcPr>
          <w:p>
            <w:pPr>
              <w:spacing w:after="20" w:before="20"/>
            </w:pPr>
            <w:r>
              <w:rPr>
                <w:sz w:val="17"/>
              </w:rPr>
            </w:r>
            <w:r>
              <w:rPr>
                <w:sz w:val="17"/>
              </w:rPr>
              <w:t>Annualised realised volatility at three horizons — the primary regime marker</w:t>
            </w:r>
          </w:p>
        </w:tc>
      </w:tr>
      <w:tr>
        <w:tc>
          <w:tcPr>
            <w:tcW w:type="dxa" w:w="648"/>
          </w:tcPr>
          <w:p>
            <w:pPr>
              <w:spacing w:after="20" w:before="20"/>
            </w:pPr>
            <w:r>
              <w:rPr>
                <w:sz w:val="17"/>
              </w:rPr>
            </w:r>
            <w:r>
              <w:rPr>
                <w:sz w:val="17"/>
              </w:rPr>
              <w:t>5–7</w:t>
            </w:r>
          </w:p>
        </w:tc>
        <w:tc>
          <w:tcPr>
            <w:tcW w:type="dxa" w:w="2448"/>
          </w:tcPr>
          <w:p>
            <w:pPr>
              <w:spacing w:after="20" w:before="20"/>
            </w:pPr>
            <w:r>
              <w:rPr>
                <w:sz w:val="17"/>
              </w:rPr>
            </w:r>
            <w:r>
              <w:rPr>
                <w:rFonts w:ascii="Consolas" w:hAnsi="Consolas"/>
                <w:sz w:val="17"/>
              </w:rPr>
              <w:t>_mom_5d _mom_10d _mom_20d</w:t>
            </w:r>
          </w:p>
        </w:tc>
        <w:tc>
          <w:tcPr>
            <w:tcW w:type="dxa" w:w="3240"/>
          </w:tcPr>
          <w:p>
            <w:pPr>
              <w:spacing w:after="20" w:before="20"/>
            </w:pPr>
            <w:r>
              <w:rPr>
                <w:sz w:val="17"/>
              </w:rPr>
            </w:r>
            <w:r>
              <w:rPr>
                <w:sz w:val="17"/>
              </w:rPr>
              <w:t>P_t / P_{t−w} − 1</w:t>
            </w:r>
          </w:p>
        </w:tc>
        <w:tc>
          <w:tcPr>
            <w:tcW w:type="dxa" w:w="4896"/>
          </w:tcPr>
          <w:p>
            <w:pPr>
              <w:spacing w:after="20" w:before="20"/>
            </w:pPr>
            <w:r>
              <w:rPr>
                <w:sz w:val="17"/>
              </w:rPr>
            </w:r>
            <w:r>
              <w:rPr>
                <w:sz w:val="17"/>
              </w:rPr>
              <w:t>Momentum / rate of change — trend direction and persistence</w:t>
            </w:r>
          </w:p>
        </w:tc>
      </w:tr>
      <w:tr>
        <w:tc>
          <w:tcPr>
            <w:tcW w:type="dxa" w:w="648"/>
            <w:shd w:val="clear" w:color="auto" w:fill="F2F5F8"/>
          </w:tcPr>
          <w:p>
            <w:pPr>
              <w:spacing w:after="20" w:before="20"/>
            </w:pPr>
            <w:r>
              <w:rPr>
                <w:sz w:val="17"/>
              </w:rPr>
            </w:r>
            <w:r>
              <w:rPr>
                <w:sz w:val="17"/>
              </w:rPr>
              <w:t>8</w:t>
            </w:r>
          </w:p>
        </w:tc>
        <w:tc>
          <w:tcPr>
            <w:tcW w:type="dxa" w:w="2448"/>
            <w:shd w:val="clear" w:color="auto" w:fill="F2F5F8"/>
          </w:tcPr>
          <w:p>
            <w:pPr>
              <w:spacing w:after="20" w:before="20"/>
            </w:pPr>
            <w:r>
              <w:rPr>
                <w:sz w:val="17"/>
              </w:rPr>
            </w:r>
            <w:r>
              <w:rPr>
                <w:rFonts w:ascii="Consolas" w:hAnsi="Consolas"/>
                <w:sz w:val="17"/>
              </w:rPr>
              <w:t>_rsi</w:t>
            </w:r>
          </w:p>
        </w:tc>
        <w:tc>
          <w:tcPr>
            <w:tcW w:type="dxa" w:w="3240"/>
            <w:shd w:val="clear" w:color="auto" w:fill="F2F5F8"/>
          </w:tcPr>
          <w:p>
            <w:pPr>
              <w:spacing w:after="20" w:before="20"/>
            </w:pPr>
            <w:r>
              <w:rPr>
                <w:sz w:val="17"/>
              </w:rPr>
            </w:r>
            <w:r>
              <w:rPr>
                <w:sz w:val="17"/>
              </w:rPr>
              <w:t>100 − 100/(1+RS), 14-day</w:t>
            </w:r>
          </w:p>
        </w:tc>
        <w:tc>
          <w:tcPr>
            <w:tcW w:type="dxa" w:w="4896"/>
            <w:shd w:val="clear" w:color="auto" w:fill="F2F5F8"/>
          </w:tcPr>
          <w:p>
            <w:pPr>
              <w:spacing w:after="20" w:before="20"/>
            </w:pPr>
            <w:r>
              <w:rPr>
                <w:sz w:val="17"/>
              </w:rPr>
            </w:r>
            <w:r>
              <w:rPr>
                <w:sz w:val="17"/>
              </w:rPr>
              <w:t>Relative Strength Index — overbought / oversold pressure</w:t>
            </w:r>
          </w:p>
        </w:tc>
      </w:tr>
      <w:tr>
        <w:tc>
          <w:tcPr>
            <w:tcW w:type="dxa" w:w="648"/>
          </w:tcPr>
          <w:p>
            <w:pPr>
              <w:spacing w:after="20" w:before="20"/>
            </w:pPr>
            <w:r>
              <w:rPr>
                <w:sz w:val="17"/>
              </w:rPr>
            </w:r>
            <w:r>
              <w:rPr>
                <w:sz w:val="17"/>
              </w:rPr>
              <w:t>9</w:t>
            </w:r>
          </w:p>
        </w:tc>
        <w:tc>
          <w:tcPr>
            <w:tcW w:type="dxa" w:w="2448"/>
          </w:tcPr>
          <w:p>
            <w:pPr>
              <w:spacing w:after="20" w:before="20"/>
            </w:pPr>
            <w:r>
              <w:rPr>
                <w:sz w:val="17"/>
              </w:rPr>
            </w:r>
            <w:r>
              <w:rPr>
                <w:rFonts w:ascii="Consolas" w:hAnsi="Consolas"/>
                <w:sz w:val="17"/>
              </w:rPr>
              <w:t>_macd</w:t>
            </w:r>
          </w:p>
        </w:tc>
        <w:tc>
          <w:tcPr>
            <w:tcW w:type="dxa" w:w="3240"/>
          </w:tcPr>
          <w:p>
            <w:pPr>
              <w:spacing w:after="20" w:before="20"/>
            </w:pPr>
            <w:r>
              <w:rPr>
                <w:sz w:val="17"/>
              </w:rPr>
            </w:r>
            <w:r>
              <w:rPr>
                <w:sz w:val="17"/>
              </w:rPr>
              <w:t>EMA₁₂ − EMA₂₆</w:t>
            </w:r>
          </w:p>
        </w:tc>
        <w:tc>
          <w:tcPr>
            <w:tcW w:type="dxa" w:w="4896"/>
          </w:tcPr>
          <w:p>
            <w:pPr>
              <w:spacing w:after="20" w:before="20"/>
            </w:pPr>
            <w:r>
              <w:rPr>
                <w:sz w:val="17"/>
              </w:rPr>
            </w:r>
            <w:r>
              <w:rPr>
                <w:sz w:val="17"/>
              </w:rPr>
              <w:t>Trend-following oscillator</w:t>
            </w:r>
          </w:p>
        </w:tc>
      </w:tr>
      <w:tr>
        <w:tc>
          <w:tcPr>
            <w:tcW w:type="dxa" w:w="648"/>
            <w:shd w:val="clear" w:color="auto" w:fill="F2F5F8"/>
          </w:tcPr>
          <w:p>
            <w:pPr>
              <w:spacing w:after="20" w:before="20"/>
            </w:pPr>
            <w:r>
              <w:rPr>
                <w:sz w:val="17"/>
              </w:rPr>
            </w:r>
            <w:r>
              <w:rPr>
                <w:sz w:val="17"/>
              </w:rPr>
              <w:t>10</w:t>
            </w:r>
          </w:p>
        </w:tc>
        <w:tc>
          <w:tcPr>
            <w:tcW w:type="dxa" w:w="2448"/>
            <w:shd w:val="clear" w:color="auto" w:fill="F2F5F8"/>
          </w:tcPr>
          <w:p>
            <w:pPr>
              <w:spacing w:after="20" w:before="20"/>
            </w:pPr>
            <w:r>
              <w:rPr>
                <w:sz w:val="17"/>
              </w:rPr>
            </w:r>
            <w:r>
              <w:rPr>
                <w:rFonts w:ascii="Consolas" w:hAnsi="Consolas"/>
                <w:sz w:val="17"/>
              </w:rPr>
              <w:t>_macd_signal</w:t>
            </w:r>
          </w:p>
        </w:tc>
        <w:tc>
          <w:tcPr>
            <w:tcW w:type="dxa" w:w="3240"/>
            <w:shd w:val="clear" w:color="auto" w:fill="F2F5F8"/>
          </w:tcPr>
          <w:p>
            <w:pPr>
              <w:spacing w:after="20" w:before="20"/>
            </w:pPr>
            <w:r>
              <w:rPr>
                <w:sz w:val="17"/>
              </w:rPr>
            </w:r>
            <w:r>
              <w:rPr>
                <w:sz w:val="17"/>
              </w:rPr>
              <w:t>EMA₉ of MACD</w:t>
            </w:r>
          </w:p>
        </w:tc>
        <w:tc>
          <w:tcPr>
            <w:tcW w:type="dxa" w:w="4896"/>
            <w:shd w:val="clear" w:color="auto" w:fill="F2F5F8"/>
          </w:tcPr>
          <w:p>
            <w:pPr>
              <w:spacing w:after="20" w:before="20"/>
            </w:pPr>
            <w:r>
              <w:rPr>
                <w:sz w:val="17"/>
              </w:rPr>
            </w:r>
            <w:r>
              <w:rPr>
                <w:sz w:val="17"/>
              </w:rPr>
              <w:t>Smoothed MACD reference line</w:t>
            </w:r>
          </w:p>
        </w:tc>
      </w:tr>
      <w:tr>
        <w:tc>
          <w:tcPr>
            <w:tcW w:type="dxa" w:w="648"/>
          </w:tcPr>
          <w:p>
            <w:pPr>
              <w:spacing w:after="20" w:before="20"/>
            </w:pPr>
            <w:r>
              <w:rPr>
                <w:sz w:val="17"/>
              </w:rPr>
            </w:r>
            <w:r>
              <w:rPr>
                <w:sz w:val="17"/>
              </w:rPr>
              <w:t>11</w:t>
            </w:r>
          </w:p>
        </w:tc>
        <w:tc>
          <w:tcPr>
            <w:tcW w:type="dxa" w:w="2448"/>
          </w:tcPr>
          <w:p>
            <w:pPr>
              <w:spacing w:after="20" w:before="20"/>
            </w:pPr>
            <w:r>
              <w:rPr>
                <w:sz w:val="17"/>
              </w:rPr>
            </w:r>
            <w:r>
              <w:rPr>
                <w:rFonts w:ascii="Consolas" w:hAnsi="Consolas"/>
                <w:sz w:val="17"/>
              </w:rPr>
              <w:t>_macd_hist</w:t>
            </w:r>
          </w:p>
        </w:tc>
        <w:tc>
          <w:tcPr>
            <w:tcW w:type="dxa" w:w="3240"/>
          </w:tcPr>
          <w:p>
            <w:pPr>
              <w:spacing w:after="20" w:before="20"/>
            </w:pPr>
            <w:r>
              <w:rPr>
                <w:sz w:val="17"/>
              </w:rPr>
            </w:r>
            <w:r>
              <w:rPr>
                <w:sz w:val="17"/>
              </w:rPr>
              <w:t>MACD − signal</w:t>
            </w:r>
          </w:p>
        </w:tc>
        <w:tc>
          <w:tcPr>
            <w:tcW w:type="dxa" w:w="4896"/>
          </w:tcPr>
          <w:p>
            <w:pPr>
              <w:spacing w:after="20" w:before="20"/>
            </w:pPr>
            <w:r>
              <w:rPr>
                <w:sz w:val="17"/>
              </w:rPr>
            </w:r>
            <w:r>
              <w:rPr>
                <w:sz w:val="17"/>
              </w:rPr>
              <w:t>Momentum of the trend itself</w:t>
            </w:r>
          </w:p>
        </w:tc>
      </w:tr>
      <w:tr>
        <w:tc>
          <w:tcPr>
            <w:tcW w:type="dxa" w:w="648"/>
            <w:shd w:val="clear" w:color="auto" w:fill="F2F5F8"/>
          </w:tcPr>
          <w:p>
            <w:pPr>
              <w:spacing w:after="20" w:before="20"/>
            </w:pPr>
            <w:r>
              <w:rPr>
                <w:sz w:val="17"/>
              </w:rPr>
            </w:r>
            <w:r>
              <w:rPr>
                <w:sz w:val="17"/>
              </w:rPr>
              <w:t>12</w:t>
            </w:r>
          </w:p>
        </w:tc>
        <w:tc>
          <w:tcPr>
            <w:tcW w:type="dxa" w:w="2448"/>
            <w:shd w:val="clear" w:color="auto" w:fill="F2F5F8"/>
          </w:tcPr>
          <w:p>
            <w:pPr>
              <w:spacing w:after="20" w:before="20"/>
            </w:pPr>
            <w:r>
              <w:rPr>
                <w:sz w:val="17"/>
              </w:rPr>
            </w:r>
            <w:r>
              <w:rPr>
                <w:rFonts w:ascii="Consolas" w:hAnsi="Consolas"/>
                <w:sz w:val="17"/>
              </w:rPr>
              <w:t>_bb_pct</w:t>
            </w:r>
          </w:p>
        </w:tc>
        <w:tc>
          <w:tcPr>
            <w:tcW w:type="dxa" w:w="3240"/>
            <w:shd w:val="clear" w:color="auto" w:fill="F2F5F8"/>
          </w:tcPr>
          <w:p>
            <w:pPr>
              <w:spacing w:after="20" w:before="20"/>
            </w:pPr>
            <w:r>
              <w:rPr>
                <w:sz w:val="17"/>
              </w:rPr>
            </w:r>
            <w:r>
              <w:rPr>
                <w:sz w:val="17"/>
              </w:rPr>
              <w:t>(P − lower)/(upper − lower), 20d ± 2σ</w:t>
            </w:r>
          </w:p>
        </w:tc>
        <w:tc>
          <w:tcPr>
            <w:tcW w:type="dxa" w:w="4896"/>
            <w:shd w:val="clear" w:color="auto" w:fill="F2F5F8"/>
          </w:tcPr>
          <w:p>
            <w:pPr>
              <w:spacing w:after="20" w:before="20"/>
            </w:pPr>
            <w:r>
              <w:rPr>
                <w:sz w:val="17"/>
              </w:rPr>
            </w:r>
            <w:r>
              <w:rPr>
                <w:sz w:val="17"/>
              </w:rPr>
              <w:t>Bollinger %B — position of price inside its volatility envelope</w:t>
            </w:r>
          </w:p>
        </w:tc>
      </w:tr>
      <w:tr>
        <w:tc>
          <w:tcPr>
            <w:tcW w:type="dxa" w:w="648"/>
          </w:tcPr>
          <w:p>
            <w:pPr>
              <w:spacing w:after="20" w:before="20"/>
            </w:pPr>
            <w:r>
              <w:rPr>
                <w:sz w:val="17"/>
              </w:rPr>
            </w:r>
            <w:r>
              <w:rPr>
                <w:sz w:val="17"/>
              </w:rPr>
              <w:t>13–15</w:t>
            </w:r>
          </w:p>
        </w:tc>
        <w:tc>
          <w:tcPr>
            <w:tcW w:type="dxa" w:w="2448"/>
          </w:tcPr>
          <w:p>
            <w:pPr>
              <w:spacing w:after="20" w:before="20"/>
            </w:pPr>
            <w:r>
              <w:rPr>
                <w:sz w:val="17"/>
              </w:rPr>
            </w:r>
            <w:r>
              <w:rPr>
                <w:rFonts w:ascii="Consolas" w:hAnsi="Consolas"/>
                <w:sz w:val="17"/>
              </w:rPr>
              <w:t>_vol_ratio_5d _10d _20d</w:t>
            </w:r>
          </w:p>
        </w:tc>
        <w:tc>
          <w:tcPr>
            <w:tcW w:type="dxa" w:w="3240"/>
          </w:tcPr>
          <w:p>
            <w:pPr>
              <w:spacing w:after="20" w:before="20"/>
            </w:pPr>
            <w:r>
              <w:rPr>
                <w:sz w:val="17"/>
              </w:rPr>
            </w:r>
            <w:r>
              <w:rPr>
                <w:sz w:val="17"/>
              </w:rPr>
              <w:t>Volume / rolling-mean(Volume, w)</w:t>
            </w:r>
          </w:p>
        </w:tc>
        <w:tc>
          <w:tcPr>
            <w:tcW w:type="dxa" w:w="4896"/>
          </w:tcPr>
          <w:p>
            <w:pPr>
              <w:spacing w:after="20" w:before="20"/>
            </w:pPr>
            <w:r>
              <w:rPr>
                <w:sz w:val="17"/>
              </w:rPr>
            </w:r>
            <w:r>
              <w:rPr>
                <w:sz w:val="17"/>
              </w:rPr>
              <w:t>Relative trading activity — participation and liquidity shifts</w:t>
            </w:r>
          </w:p>
        </w:tc>
      </w:tr>
    </w:tbl>
    <w:p>
      <w:pPr>
        <w:spacing w:after="40"/>
      </w:pPr>
    </w:p>
    <w:p>
      <w:r>
        <w:rPr>
          <w:b/>
        </w:rPr>
        <w:t xml:space="preserve">INPUT: </w:t>
      </w:r>
      <w:r>
        <w:rPr>
          <w:rFonts w:ascii="Consolas" w:hAnsi="Consolas"/>
          <w:sz w:val="19"/>
        </w:rPr>
        <w:t xml:space="preserve">prices </w:t>
      </w:r>
      <w:r>
        <w:t xml:space="preserve">(T_raw, 10) and </w:t>
      </w:r>
      <w:r>
        <w:rPr>
          <w:rFonts w:ascii="Consolas" w:hAnsi="Consolas"/>
          <w:sz w:val="19"/>
        </w:rPr>
        <w:t xml:space="preserve">volumes </w:t>
      </w:r>
      <w:r>
        <w:t>(T_raw, 10)</w:t>
      </w:r>
    </w:p>
    <w:p>
      <w:r>
        <w:rPr>
          <w:b/>
        </w:rPr>
        <w:t xml:space="preserve">OUTPUT: </w:t>
      </w:r>
      <w:r>
        <w:rPr>
          <w:rFonts w:ascii="Consolas" w:hAnsi="Consolas"/>
          <w:sz w:val="19"/>
        </w:rPr>
        <w:t xml:space="preserve">features_all </w:t>
      </w:r>
      <w:r>
        <w:t xml:space="preserve">(816, 150) — 10 tickers × 15 features. Rows lost to the rolling look-backs (the 20-day windows and the 26-day MACD EMA) are dropped by </w:t>
      </w:r>
      <w:r>
        <w:rPr>
          <w:rFonts w:ascii="Consolas" w:hAnsi="Consolas"/>
          <w:sz w:val="19"/>
        </w:rPr>
        <w:t>dropna()</w:t>
      </w:r>
      <w:r>
        <w:t>, leaving 816 usable trading days spanning 2021-02-03 to 2025-12-31.</w:t>
      </w:r>
    </w:p>
    <w:p>
      <w:pPr>
        <w:pStyle w:val="Heading2"/>
      </w:pPr>
      <w:r>
        <w:t>3.1 Per-asset column reordering</w:t>
      </w:r>
    </w:p>
    <w:p>
      <w:r>
        <w:rPr>
          <w:b w:val="0"/>
          <w:i/>
        </w:rPr>
        <w:t>Module: Preprocessor.reorder_per_asset()</w:t>
      </w:r>
    </w:p>
    <w:p>
      <w:r>
        <w:rPr>
          <w:b w:val="0"/>
          <w:i w:val="0"/>
        </w:rPr>
        <w:t>engineer_features() emits columns grouped by feature type (all 10 returns, then all 10 5-day volatilities, and so on). The encoder instead needs them grouped by asset, so that a flat (T, 150) matrix can be reshaped into (T, 10, 15) and each asset's 15 features handed to the shared encoder as one coherent vector.</w:t>
      </w:r>
    </w:p>
    <w:p>
      <w:pPr>
        <w:spacing w:after="160" w:before="80" w:line="240" w:lineRule="auto"/>
        <w:ind w:left="144"/>
      </w:pPr>
      <w:r>
        <w:rPr>
          <w:rFonts w:ascii="Consolas" w:hAnsi="Consolas"/>
          <w:sz w:val="16"/>
        </w:rPr>
        <w:t>BEFORE (grouped by feature)</w:t>
        <w:br/>
        <w:t xml:space="preserve">  ABL, COMB, DFCC, ..., UBC, ABL_vol_5d, COMB_vol_5d, ..., UBC_vol_ratio_20d</w:t>
        <w:br/>
        <w:br/>
        <w:t>AFTER  (grouped by asset — contiguous 15-column blocks)</w:t>
        <w:br/>
        <w:t xml:space="preserve">  ABL, ABL_vol_5d, ..., ABL_vol_ratio_20d | COMB, COMB_vol_5d, ... | ... | UBC, ...</w:t>
        <w:br/>
        <w:t xml:space="preserve">  └────────── asset 0: 15 cols ─────────┘ └── asset 1: 15 cols ──┘       └─ asset 9 ─┘</w:t>
        <w:br/>
        <w:br/>
        <w:t xml:space="preserve">  reshape(T, 150) → (T, 10, 15)      # (time, asset, feature)</w:t>
      </w:r>
    </w:p>
    <w:p>
      <w:r>
        <w:rPr>
          <w:b/>
        </w:rPr>
        <w:t xml:space="preserve">Why this matters: </w:t>
      </w:r>
      <w:r>
        <w:t>without the reordering, reshaping would slice across unrelated assets and each "asset vector" handed to the encoder would be a meaningless mixture. main.py asserts the dimensions agree (10 × 15 = 150) so a mismatch fails loudly rather than training on scrambled inputs.</w:t>
      </w:r>
    </w:p>
    <w:p>
      <w:pPr>
        <w:pStyle w:val="Heading1"/>
      </w:pPr>
      <w:r>
        <w:t>4. Stage 3 — Chronological Split and Normalisation</w:t>
      </w:r>
    </w:p>
    <w:p>
      <w:r>
        <w:rPr>
          <w:b w:val="0"/>
          <w:i w:val="0"/>
        </w:rPr>
        <w:t>Financial data must never be shuffled: a random split would let the model see the future. The 816 rows are therefore cut in time order.</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1440"/>
            <w:shd w:val="clear" w:color="auto" w:fill="1F3B57"/>
          </w:tcPr>
          <w:p>
            <w:pPr>
              <w:spacing w:after="20" w:before="20"/>
            </w:pPr>
            <w:r/>
            <w:r>
              <w:rPr>
                <w:b/>
                <w:color w:val="FFFFFF"/>
                <w:sz w:val="18"/>
              </w:rPr>
              <w:t>Split</w:t>
            </w:r>
          </w:p>
        </w:tc>
        <w:tc>
          <w:tcPr>
            <w:tcW w:type="dxa" w:w="1152"/>
            <w:shd w:val="clear" w:color="auto" w:fill="1F3B57"/>
          </w:tcPr>
          <w:p>
            <w:pPr>
              <w:spacing w:after="20" w:before="20"/>
            </w:pPr>
            <w:r/>
            <w:r>
              <w:rPr>
                <w:b/>
                <w:color w:val="FFFFFF"/>
                <w:sz w:val="18"/>
              </w:rPr>
              <w:t>Fraction</w:t>
            </w:r>
          </w:p>
        </w:tc>
        <w:tc>
          <w:tcPr>
            <w:tcW w:type="dxa" w:w="936"/>
            <w:shd w:val="clear" w:color="auto" w:fill="1F3B57"/>
          </w:tcPr>
          <w:p>
            <w:pPr>
              <w:spacing w:after="20" w:before="20"/>
            </w:pPr>
            <w:r/>
            <w:r>
              <w:rPr>
                <w:b/>
                <w:color w:val="FFFFFF"/>
                <w:sz w:val="18"/>
              </w:rPr>
              <w:t>Rows</w:t>
            </w:r>
          </w:p>
        </w:tc>
        <w:tc>
          <w:tcPr>
            <w:tcW w:type="dxa" w:w="3024"/>
            <w:shd w:val="clear" w:color="auto" w:fill="1F3B57"/>
          </w:tcPr>
          <w:p>
            <w:pPr>
              <w:spacing w:after="20" w:before="20"/>
            </w:pPr>
            <w:r/>
            <w:r>
              <w:rPr>
                <w:b/>
                <w:color w:val="FFFFFF"/>
                <w:sz w:val="18"/>
              </w:rPr>
              <w:t>Sliding windows produced</w:t>
            </w:r>
          </w:p>
        </w:tc>
        <w:tc>
          <w:tcPr>
            <w:tcW w:type="dxa" w:w="4608"/>
            <w:shd w:val="clear" w:color="auto" w:fill="1F3B57"/>
          </w:tcPr>
          <w:p>
            <w:pPr>
              <w:spacing w:after="20" w:before="20"/>
            </w:pPr>
            <w:r/>
            <w:r>
              <w:rPr>
                <w:b/>
                <w:color w:val="FFFFFF"/>
                <w:sz w:val="18"/>
              </w:rPr>
              <w:t>Purpose</w:t>
            </w:r>
          </w:p>
        </w:tc>
      </w:tr>
      <w:tr>
        <w:tc>
          <w:tcPr>
            <w:tcW w:type="dxa" w:w="1440"/>
          </w:tcPr>
          <w:p>
            <w:pPr>
              <w:spacing w:after="20" w:before="20"/>
            </w:pPr>
            <w:r>
              <w:rPr>
                <w:sz w:val="18"/>
              </w:rPr>
            </w:r>
            <w:r>
              <w:rPr>
                <w:sz w:val="18"/>
              </w:rPr>
              <w:t>Train</w:t>
            </w:r>
          </w:p>
        </w:tc>
        <w:tc>
          <w:tcPr>
            <w:tcW w:type="dxa" w:w="1152"/>
          </w:tcPr>
          <w:p>
            <w:pPr>
              <w:spacing w:after="20" w:before="20"/>
            </w:pPr>
            <w:r>
              <w:rPr>
                <w:sz w:val="18"/>
              </w:rPr>
            </w:r>
            <w:r>
              <w:rPr>
                <w:sz w:val="18"/>
              </w:rPr>
              <w:t>70%</w:t>
            </w:r>
          </w:p>
        </w:tc>
        <w:tc>
          <w:tcPr>
            <w:tcW w:type="dxa" w:w="936"/>
          </w:tcPr>
          <w:p>
            <w:pPr>
              <w:spacing w:after="20" w:before="20"/>
            </w:pPr>
            <w:r>
              <w:rPr>
                <w:sz w:val="18"/>
              </w:rPr>
            </w:r>
            <w:r>
              <w:rPr>
                <w:sz w:val="18"/>
              </w:rPr>
              <w:t>571</w:t>
            </w:r>
          </w:p>
        </w:tc>
        <w:tc>
          <w:tcPr>
            <w:tcW w:type="dxa" w:w="3024"/>
          </w:tcPr>
          <w:p>
            <w:pPr>
              <w:spacing w:after="20" w:before="20"/>
            </w:pPr>
            <w:r>
              <w:rPr>
                <w:sz w:val="18"/>
              </w:rPr>
            </w:r>
            <w:r>
              <w:rPr>
                <w:sz w:val="18"/>
              </w:rPr>
              <w:t xml:space="preserve">571 − 30 + 1 = </w:t>
            </w:r>
            <w:r>
              <w:rPr>
                <w:b/>
                <w:sz w:val="18"/>
              </w:rPr>
              <w:t>542</w:t>
            </w:r>
          </w:p>
        </w:tc>
        <w:tc>
          <w:tcPr>
            <w:tcW w:type="dxa" w:w="4608"/>
          </w:tcPr>
          <w:p>
            <w:pPr>
              <w:spacing w:after="20" w:before="20"/>
            </w:pPr>
            <w:r>
              <w:rPr>
                <w:sz w:val="18"/>
              </w:rPr>
            </w:r>
            <w:r>
              <w:rPr>
                <w:sz w:val="18"/>
              </w:rPr>
              <w:t>Rollout collection and PPO updates</w:t>
            </w:r>
          </w:p>
        </w:tc>
      </w:tr>
      <w:tr>
        <w:tc>
          <w:tcPr>
            <w:tcW w:type="dxa" w:w="1440"/>
            <w:shd w:val="clear" w:color="auto" w:fill="F2F5F8"/>
          </w:tcPr>
          <w:p>
            <w:pPr>
              <w:spacing w:after="20" w:before="20"/>
            </w:pPr>
            <w:r>
              <w:rPr>
                <w:sz w:val="18"/>
              </w:rPr>
            </w:r>
            <w:r>
              <w:rPr>
                <w:sz w:val="18"/>
              </w:rPr>
              <w:t>Validation</w:t>
            </w:r>
          </w:p>
        </w:tc>
        <w:tc>
          <w:tcPr>
            <w:tcW w:type="dxa" w:w="1152"/>
            <w:shd w:val="clear" w:color="auto" w:fill="F2F5F8"/>
          </w:tcPr>
          <w:p>
            <w:pPr>
              <w:spacing w:after="20" w:before="20"/>
            </w:pPr>
            <w:r>
              <w:rPr>
                <w:sz w:val="18"/>
              </w:rPr>
            </w:r>
            <w:r>
              <w:rPr>
                <w:sz w:val="18"/>
              </w:rPr>
              <w:t>15%</w:t>
            </w:r>
          </w:p>
        </w:tc>
        <w:tc>
          <w:tcPr>
            <w:tcW w:type="dxa" w:w="936"/>
            <w:shd w:val="clear" w:color="auto" w:fill="F2F5F8"/>
          </w:tcPr>
          <w:p>
            <w:pPr>
              <w:spacing w:after="20" w:before="20"/>
            </w:pPr>
            <w:r>
              <w:rPr>
                <w:sz w:val="18"/>
              </w:rPr>
            </w:r>
            <w:r>
              <w:rPr>
                <w:sz w:val="18"/>
              </w:rPr>
              <w:t>122</w:t>
            </w:r>
          </w:p>
        </w:tc>
        <w:tc>
          <w:tcPr>
            <w:tcW w:type="dxa" w:w="3024"/>
            <w:shd w:val="clear" w:color="auto" w:fill="F2F5F8"/>
          </w:tcPr>
          <w:p>
            <w:pPr>
              <w:spacing w:after="20" w:before="20"/>
            </w:pPr>
            <w:r>
              <w:rPr>
                <w:sz w:val="18"/>
              </w:rPr>
            </w:r>
            <w:r>
              <w:rPr>
                <w:sz w:val="18"/>
              </w:rPr>
              <w:t xml:space="preserve">122 − 30 + 1 = </w:t>
            </w:r>
            <w:r>
              <w:rPr>
                <w:b/>
                <w:sz w:val="18"/>
              </w:rPr>
              <w:t>93</w:t>
            </w:r>
          </w:p>
        </w:tc>
        <w:tc>
          <w:tcPr>
            <w:tcW w:type="dxa" w:w="4608"/>
            <w:shd w:val="clear" w:color="auto" w:fill="F2F5F8"/>
          </w:tcPr>
          <w:p>
            <w:pPr>
              <w:spacing w:after="20" w:before="20"/>
            </w:pPr>
            <w:r>
              <w:rPr>
                <w:sz w:val="18"/>
              </w:rPr>
            </w:r>
            <w:r>
              <w:rPr>
                <w:sz w:val="18"/>
              </w:rPr>
              <w:t>Sharpe-based model selection, early stopping</w:t>
            </w:r>
          </w:p>
        </w:tc>
      </w:tr>
      <w:tr>
        <w:tc>
          <w:tcPr>
            <w:tcW w:type="dxa" w:w="1440"/>
          </w:tcPr>
          <w:p>
            <w:pPr>
              <w:spacing w:after="20" w:before="20"/>
            </w:pPr>
            <w:r>
              <w:rPr>
                <w:sz w:val="18"/>
              </w:rPr>
            </w:r>
            <w:r>
              <w:rPr>
                <w:sz w:val="18"/>
              </w:rPr>
              <w:t>Test</w:t>
            </w:r>
          </w:p>
        </w:tc>
        <w:tc>
          <w:tcPr>
            <w:tcW w:type="dxa" w:w="1152"/>
          </w:tcPr>
          <w:p>
            <w:pPr>
              <w:spacing w:after="20" w:before="20"/>
            </w:pPr>
            <w:r>
              <w:rPr>
                <w:sz w:val="18"/>
              </w:rPr>
            </w:r>
            <w:r>
              <w:rPr>
                <w:sz w:val="18"/>
              </w:rPr>
              <w:t>15%</w:t>
            </w:r>
          </w:p>
        </w:tc>
        <w:tc>
          <w:tcPr>
            <w:tcW w:type="dxa" w:w="936"/>
          </w:tcPr>
          <w:p>
            <w:pPr>
              <w:spacing w:after="20" w:before="20"/>
            </w:pPr>
            <w:r>
              <w:rPr>
                <w:sz w:val="18"/>
              </w:rPr>
            </w:r>
            <w:r>
              <w:rPr>
                <w:sz w:val="18"/>
              </w:rPr>
              <w:t>123</w:t>
            </w:r>
          </w:p>
        </w:tc>
        <w:tc>
          <w:tcPr>
            <w:tcW w:type="dxa" w:w="3024"/>
          </w:tcPr>
          <w:p>
            <w:pPr>
              <w:spacing w:after="20" w:before="20"/>
            </w:pPr>
            <w:r>
              <w:rPr>
                <w:sz w:val="18"/>
              </w:rPr>
            </w:r>
            <w:r>
              <w:rPr>
                <w:sz w:val="18"/>
              </w:rPr>
              <w:t xml:space="preserve">123 − 30 + 1 = </w:t>
            </w:r>
            <w:r>
              <w:rPr>
                <w:b/>
                <w:sz w:val="18"/>
              </w:rPr>
              <w:t>94</w:t>
            </w:r>
          </w:p>
        </w:tc>
        <w:tc>
          <w:tcPr>
            <w:tcW w:type="dxa" w:w="4608"/>
          </w:tcPr>
          <w:p>
            <w:pPr>
              <w:spacing w:after="20" w:before="20"/>
            </w:pPr>
            <w:r>
              <w:rPr>
                <w:sz w:val="18"/>
              </w:rPr>
            </w:r>
            <w:r>
              <w:rPr>
                <w:sz w:val="18"/>
              </w:rPr>
              <w:t>Final held-out backtest — reported once</w:t>
            </w:r>
          </w:p>
        </w:tc>
      </w:tr>
    </w:tbl>
    <w:p>
      <w:pPr>
        <w:spacing w:after="40"/>
      </w:pPr>
    </w:p>
    <w:p>
      <w:r>
        <w:rPr>
          <w:b/>
          <w:i w:val="0"/>
          <w:sz w:val="22"/>
        </w:rPr>
        <w:t>Normalisation — the leakage-critical step</w:t>
      </w:r>
    </w:p>
    <w:p>
      <w:pPr>
        <w:spacing w:after="160" w:before="80" w:line="240" w:lineRule="auto"/>
        <w:ind w:left="144"/>
      </w:pPr>
      <w:r>
        <w:rPr>
          <w:rFonts w:ascii="Consolas" w:hAnsi="Consolas"/>
          <w:sz w:val="17"/>
        </w:rPr>
        <w:t>scaler = StandardScaler()</w:t>
        <w:br/>
        <w:t>norm_train = scaler.fit_transform(features_train)   # mean &amp; std learned HERE only</w:t>
        <w:br/>
        <w:t>norm_val   = scaler.transform(features_val)        # reused, never refitted</w:t>
        <w:br/>
        <w:t>norm_test  = scaler.transform(features_test)        # reused, never refitted</w:t>
      </w:r>
    </w:p>
    <w:p>
      <w:r>
        <w:rPr>
          <w:b w:val="0"/>
          <w:i w:val="0"/>
        </w:rPr>
        <w:t>Each of the 150 columns becomes (x − μ_train) / σ_train. Because μ and σ come from the training block alone, no information from the validation or test period reaches the model. This is the single most common source of inflated backtest results in RL portfolio papers, and it is worth stating explicitly when presenting the numbers.</w:t>
      </w:r>
    </w:p>
    <w:p>
      <w:pPr>
        <w:pStyle w:val="Heading1"/>
      </w:pPr>
      <w:r>
        <w:t>5. Stage 4 — Windowing: Building the Observation x_t</w:t>
      </w:r>
    </w:p>
    <w:p>
      <w:r>
        <w:rPr>
          <w:b w:val="0"/>
          <w:i/>
        </w:rPr>
        <w:t>Module: Preprocessor.create_windows()</w:t>
      </w:r>
    </w:p>
    <w:p>
      <w:r>
        <w:rPr>
          <w:b w:val="0"/>
          <w:i w:val="0"/>
        </w:rPr>
        <w:t>A regime is a property of a stretch of time, not of a single day, so the model never sees one row in isolation. Every observation is a 30-day block of history whose last row is "today".</w:t>
      </w:r>
    </w:p>
    <w:p>
      <w:pPr>
        <w:spacing w:after="160" w:before="80" w:line="240" w:lineRule="auto"/>
        <w:ind w:left="144"/>
      </w:pPr>
      <w:r>
        <w:rPr>
          <w:rFonts w:ascii="Consolas" w:hAnsi="Consolas"/>
          <w:sz w:val="17"/>
        </w:rPr>
        <w:t>normalised features            sliding windows (stride 1)</w:t>
        <w:br/>
        <w:t xml:space="preserve">      (571, 150)          ──►         (542, 30, 150)</w:t>
        <w:br/>
        <w:br/>
        <w:t xml:space="preserve">  window[0]   = rows   0 .. 29    decision made on day 29</w:t>
        <w:br/>
        <w:t xml:space="preserve">  window[1]   = rows   1 .. 30    decision made on day 30</w:t>
        <w:br/>
        <w:t xml:space="preserve">  window[2]   = rows   2 .. 31    decision made on day 31</w:t>
        <w:br/>
        <w:t xml:space="preserve">   ...</w:t>
        <w:br/>
        <w:t xml:space="preserve">  window[541] = rows 541 .. 570   decision made on day 570</w:t>
        <w:br/>
        <w:br/>
        <w:t xml:space="preserve">  prices are aligned to the LAST row of each window:</w:t>
        <w:br/>
        <w:t xml:space="preserve">      prices_aligned = prices_train[29:]        # (542, 10)</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080"/>
            <w:shd w:val="clear" w:color="auto" w:fill="1F3B57"/>
          </w:tcPr>
          <w:p>
            <w:pPr>
              <w:spacing w:after="20" w:before="20"/>
            </w:pPr>
            <w:r/>
            <w:r>
              <w:rPr>
                <w:b/>
                <w:color w:val="FFFFFF"/>
                <w:sz w:val="17"/>
              </w:rPr>
              <w:t>Role</w:t>
            </w:r>
          </w:p>
        </w:tc>
        <w:tc>
          <w:tcPr>
            <w:tcW w:type="dxa" w:w="2088"/>
            <w:shd w:val="clear" w:color="auto" w:fill="1F3B57"/>
          </w:tcPr>
          <w:p>
            <w:pPr>
              <w:spacing w:after="20" w:before="20"/>
            </w:pPr>
            <w:r/>
            <w:r>
              <w:rPr>
                <w:b/>
                <w:color w:val="FFFFFF"/>
                <w:sz w:val="17"/>
              </w:rPr>
              <w:t>Tensor / object</w:t>
            </w:r>
          </w:p>
        </w:tc>
        <w:tc>
          <w:tcPr>
            <w:tcW w:type="dxa" w:w="2232"/>
            <w:shd w:val="clear" w:color="auto" w:fill="1F3B57"/>
          </w:tcPr>
          <w:p>
            <w:pPr>
              <w:spacing w:after="20" w:before="20"/>
            </w:pPr>
            <w:r/>
            <w:r>
              <w:rPr>
                <w:b/>
                <w:color w:val="FFFFFF"/>
                <w:sz w:val="17"/>
              </w:rPr>
              <w:t>Shape (concrete)</w:t>
            </w:r>
          </w:p>
        </w:tc>
        <w:tc>
          <w:tcPr>
            <w:tcW w:type="dxa" w:w="4824"/>
            <w:shd w:val="clear" w:color="auto" w:fill="1F3B57"/>
          </w:tcPr>
          <w:p>
            <w:pPr>
              <w:spacing w:after="20" w:before="20"/>
            </w:pPr>
            <w:r/>
            <w:r>
              <w:rPr>
                <w:b/>
                <w:color w:val="FFFFFF"/>
                <w:sz w:val="17"/>
              </w:rPr>
              <w:t>Meaning</w:t>
            </w:r>
          </w:p>
        </w:tc>
      </w:tr>
      <w:tr>
        <w:tc>
          <w:tcPr>
            <w:tcW w:type="dxa" w:w="1080"/>
          </w:tcPr>
          <w:p>
            <w:pPr>
              <w:spacing w:after="20" w:before="20"/>
            </w:pPr>
            <w:r>
              <w:rPr>
                <w:sz w:val="17"/>
              </w:rPr>
            </w:r>
            <w:r>
              <w:rPr>
                <w:sz w:val="17"/>
              </w:rPr>
              <w:t>INPUT</w:t>
            </w:r>
          </w:p>
        </w:tc>
        <w:tc>
          <w:tcPr>
            <w:tcW w:type="dxa" w:w="2088"/>
          </w:tcPr>
          <w:p>
            <w:pPr>
              <w:spacing w:after="20" w:before="20"/>
            </w:pPr>
            <w:r/>
            <w:r>
              <w:rPr>
                <w:rFonts w:ascii="Consolas" w:hAnsi="Consolas"/>
                <w:sz w:val="16"/>
              </w:rPr>
              <w:t>norm_train.values</w:t>
            </w:r>
          </w:p>
        </w:tc>
        <w:tc>
          <w:tcPr>
            <w:tcW w:type="dxa" w:w="2232"/>
          </w:tcPr>
          <w:p>
            <w:pPr>
              <w:spacing w:after="20" w:before="20"/>
            </w:pPr>
            <w:r/>
            <w:r>
              <w:rPr>
                <w:rFonts w:ascii="Consolas" w:hAnsi="Consolas"/>
                <w:sz w:val="16"/>
              </w:rPr>
              <w:t>(571, 150)</w:t>
            </w:r>
          </w:p>
        </w:tc>
        <w:tc>
          <w:tcPr>
            <w:tcW w:type="dxa" w:w="4824"/>
          </w:tcPr>
          <w:p>
            <w:pPr>
              <w:spacing w:after="20" w:before="20"/>
            </w:pPr>
            <w:r>
              <w:rPr>
                <w:sz w:val="17"/>
              </w:rPr>
            </w:r>
            <w:r>
              <w:rPr>
                <w:sz w:val="17"/>
              </w:rPr>
              <w:t>Z-scored feature matrix for the split</w:t>
            </w:r>
          </w:p>
        </w:tc>
      </w:tr>
      <w:tr>
        <w:tc>
          <w:tcPr>
            <w:tcW w:type="dxa" w:w="1080"/>
            <w:shd w:val="clear" w:color="auto" w:fill="F2F5F8"/>
          </w:tcPr>
          <w:p>
            <w:pPr>
              <w:spacing w:after="20" w:before="20"/>
            </w:pPr>
            <w:r>
              <w:rPr>
                <w:sz w:val="17"/>
              </w:rPr>
            </w:r>
            <w:r>
              <w:rPr>
                <w:sz w:val="17"/>
              </w:rPr>
              <w:t>OUTPUT</w:t>
            </w:r>
          </w:p>
        </w:tc>
        <w:tc>
          <w:tcPr>
            <w:tcW w:type="dxa" w:w="2088"/>
            <w:shd w:val="clear" w:color="auto" w:fill="F2F5F8"/>
          </w:tcPr>
          <w:p>
            <w:pPr>
              <w:spacing w:after="20" w:before="20"/>
            </w:pPr>
            <w:r/>
            <w:r>
              <w:rPr>
                <w:rFonts w:ascii="Consolas" w:hAnsi="Consolas"/>
                <w:sz w:val="16"/>
              </w:rPr>
              <w:t>windows_train</w:t>
            </w:r>
          </w:p>
        </w:tc>
        <w:tc>
          <w:tcPr>
            <w:tcW w:type="dxa" w:w="2232"/>
            <w:shd w:val="clear" w:color="auto" w:fill="F2F5F8"/>
          </w:tcPr>
          <w:p>
            <w:pPr>
              <w:spacing w:after="20" w:before="20"/>
            </w:pPr>
            <w:r/>
            <w:r>
              <w:rPr>
                <w:rFonts w:ascii="Consolas" w:hAnsi="Consolas"/>
                <w:sz w:val="16"/>
              </w:rPr>
              <w:t>(542, 30, 150)</w:t>
            </w:r>
          </w:p>
        </w:tc>
        <w:tc>
          <w:tcPr>
            <w:tcW w:type="dxa" w:w="4824"/>
            <w:shd w:val="clear" w:color="auto" w:fill="F2F5F8"/>
          </w:tcPr>
          <w:p>
            <w:pPr>
              <w:spacing w:after="20" w:before="20"/>
            </w:pPr>
            <w:r>
              <w:rPr>
                <w:sz w:val="17"/>
              </w:rPr>
            </w:r>
            <w:r>
              <w:rPr>
                <w:sz w:val="17"/>
              </w:rPr>
              <w:t>One observation per row; consecutive windows overlap in 29 of 30 days</w:t>
            </w:r>
          </w:p>
        </w:tc>
      </w:tr>
      <w:tr>
        <w:tc>
          <w:tcPr>
            <w:tcW w:type="dxa" w:w="1080"/>
          </w:tcPr>
          <w:p>
            <w:pPr>
              <w:spacing w:after="20" w:before="20"/>
            </w:pPr>
            <w:r>
              <w:rPr>
                <w:sz w:val="17"/>
              </w:rPr>
            </w:r>
            <w:r>
              <w:rPr>
                <w:sz w:val="17"/>
              </w:rPr>
              <w:t>OUTPUT</w:t>
            </w:r>
          </w:p>
        </w:tc>
        <w:tc>
          <w:tcPr>
            <w:tcW w:type="dxa" w:w="2088"/>
          </w:tcPr>
          <w:p>
            <w:pPr>
              <w:spacing w:after="20" w:before="20"/>
            </w:pPr>
            <w:r/>
            <w:r>
              <w:rPr>
                <w:rFonts w:ascii="Consolas" w:hAnsi="Consolas"/>
                <w:sz w:val="16"/>
              </w:rPr>
              <w:t>prices_train_aligned</w:t>
            </w:r>
          </w:p>
        </w:tc>
        <w:tc>
          <w:tcPr>
            <w:tcW w:type="dxa" w:w="2232"/>
          </w:tcPr>
          <w:p>
            <w:pPr>
              <w:spacing w:after="20" w:before="20"/>
            </w:pPr>
            <w:r/>
            <w:r>
              <w:rPr>
                <w:rFonts w:ascii="Consolas" w:hAnsi="Consolas"/>
                <w:sz w:val="16"/>
              </w:rPr>
              <w:t>(542, 10)</w:t>
            </w:r>
          </w:p>
        </w:tc>
        <w:tc>
          <w:tcPr>
            <w:tcW w:type="dxa" w:w="4824"/>
          </w:tcPr>
          <w:p>
            <w:pPr>
              <w:spacing w:after="20" w:before="20"/>
            </w:pPr>
            <w:r>
              <w:rPr>
                <w:sz w:val="17"/>
              </w:rPr>
            </w:r>
            <w:r>
              <w:rPr>
                <w:sz w:val="17"/>
              </w:rPr>
              <w:t>Closing prices at each window's decision date, used by the environment to realise returns</w:t>
            </w:r>
          </w:p>
        </w:tc>
      </w:tr>
    </w:tbl>
    <w:p>
      <w:pPr>
        <w:spacing w:after="40"/>
      </w:pPr>
    </w:p>
    <w:p>
      <w:r>
        <w:rPr>
          <w:b/>
        </w:rPr>
        <w:t xml:space="preserve">Reshaped inside the encoder: </w:t>
      </w:r>
      <w:r>
        <w:t xml:space="preserve">the (30, 150) window is viewed as (30, 10, 15) and permuted to </w:t>
      </w:r>
      <w:r>
        <w:rPr>
          <w:rFonts w:ascii="Consolas" w:hAnsi="Consolas"/>
          <w:sz w:val="19"/>
        </w:rPr>
        <w:t>(10, 30, 15)</w:t>
      </w:r>
      <w:r>
        <w:t xml:space="preserve"> = (asset, time, feature). This is the tensor the encoder actually consumes.</w:t>
      </w:r>
    </w:p>
    <w:p>
      <w:r>
        <w:br w:type="page"/>
      </w:r>
    </w:p>
    <w:p>
      <w:pPr>
        <w:pStyle w:val="Heading1"/>
      </w:pPr>
      <w:r>
        <w:t>6. Stage 5 — The Differentiable Regime Encoder</w:t>
      </w:r>
    </w:p>
    <w:p>
      <w:r>
        <w:rPr>
          <w:b w:val="0"/>
          <w:i/>
        </w:rPr>
        <w:t>Module: src/models/regime_encoder.py — DifferentiableRegimeEncoder</w:t>
      </w:r>
    </w:p>
    <w:p>
      <w:r>
        <w:rPr>
          <w:b w:val="0"/>
          <w:i w:val="0"/>
        </w:rPr>
        <w:t>This is the research contribution of the project. Instead of clustering returns into regimes beforehand (as a hidden Markov model or a k-means step would), the encoder learns a latent market state and a soft regime distribution whose only training signal is portfolio performance. Regimes are discovered because they help allocate capital, not because they minimise a separate clustering objective.</w:t>
      </w:r>
    </w:p>
    <w:p>
      <w:r>
        <w:rPr>
          <w:b w:val="0"/>
          <w:i w:val="0"/>
        </w:rPr>
        <w:t>The encoder is channel-independent: the same weights process every asset. Ten assets are folded into the batch dimension (10 × 1 = 10 rows), so the encoder learns one general "how a bank stock behaves" model rather than ten separate ones. Cross-asset information is introduced deliberately and only at the graph stage.</w:t>
      </w:r>
    </w:p>
    <w:p>
      <w:pPr>
        <w:pStyle w:val="Heading2"/>
      </w:pPr>
      <w:r>
        <w:t>6.1 Block 1 — Variable Selection Network (V-VSN)</w:t>
      </w:r>
    </w:p>
    <w:p>
      <w:r>
        <w:rPr>
          <w:b w:val="0"/>
          <w:i/>
        </w:rPr>
        <w:t>Module: src/models/vsn_lstm.py — VariableSelectionNetwork, GatedResidualNetwork</w:t>
      </w:r>
    </w:p>
    <w:p>
      <w:r>
        <w:rPr>
          <w:b w:val="0"/>
          <w:i w:val="0"/>
        </w:rPr>
        <w:t>Not all 15 indicators matter equally, and which ones matter changes with the regime (volatility features dominate in a crash, momentum features in a trending market). The VSN learns a soft, time-varying importance weight over the 15 features at every single time step, then produces a weighted summary vector. It is a learned, differentiable feature-selection layer, and its weights are directly interpretable.</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080"/>
            <w:shd w:val="clear" w:color="auto" w:fill="1F3B57"/>
          </w:tcPr>
          <w:p>
            <w:pPr>
              <w:spacing w:after="20" w:before="20"/>
            </w:pPr>
            <w:r/>
            <w:r>
              <w:rPr>
                <w:b/>
                <w:color w:val="FFFFFF"/>
                <w:sz w:val="17"/>
              </w:rPr>
              <w:t>Role</w:t>
            </w:r>
          </w:p>
        </w:tc>
        <w:tc>
          <w:tcPr>
            <w:tcW w:type="dxa" w:w="2088"/>
            <w:shd w:val="clear" w:color="auto" w:fill="1F3B57"/>
          </w:tcPr>
          <w:p>
            <w:pPr>
              <w:spacing w:after="20" w:before="20"/>
            </w:pPr>
            <w:r/>
            <w:r>
              <w:rPr>
                <w:b/>
                <w:color w:val="FFFFFF"/>
                <w:sz w:val="17"/>
              </w:rPr>
              <w:t>Tensor / object</w:t>
            </w:r>
          </w:p>
        </w:tc>
        <w:tc>
          <w:tcPr>
            <w:tcW w:type="dxa" w:w="2232"/>
            <w:shd w:val="clear" w:color="auto" w:fill="1F3B57"/>
          </w:tcPr>
          <w:p>
            <w:pPr>
              <w:spacing w:after="20" w:before="20"/>
            </w:pPr>
            <w:r/>
            <w:r>
              <w:rPr>
                <w:b/>
                <w:color w:val="FFFFFF"/>
                <w:sz w:val="17"/>
              </w:rPr>
              <w:t>Shape (concrete)</w:t>
            </w:r>
          </w:p>
        </w:tc>
        <w:tc>
          <w:tcPr>
            <w:tcW w:type="dxa" w:w="4824"/>
            <w:shd w:val="clear" w:color="auto" w:fill="1F3B57"/>
          </w:tcPr>
          <w:p>
            <w:pPr>
              <w:spacing w:after="20" w:before="20"/>
            </w:pPr>
            <w:r/>
            <w:r>
              <w:rPr>
                <w:b/>
                <w:color w:val="FFFFFF"/>
                <w:sz w:val="17"/>
              </w:rPr>
              <w:t>Meaning</w:t>
            </w:r>
          </w:p>
        </w:tc>
      </w:tr>
      <w:tr>
        <w:tc>
          <w:tcPr>
            <w:tcW w:type="dxa" w:w="1080"/>
          </w:tcPr>
          <w:p>
            <w:pPr>
              <w:spacing w:after="20" w:before="20"/>
            </w:pPr>
            <w:r>
              <w:rPr>
                <w:sz w:val="17"/>
              </w:rPr>
            </w:r>
            <w:r>
              <w:rPr>
                <w:sz w:val="17"/>
              </w:rPr>
              <w:t>INPUT</w:t>
            </w:r>
          </w:p>
        </w:tc>
        <w:tc>
          <w:tcPr>
            <w:tcW w:type="dxa" w:w="2088"/>
          </w:tcPr>
          <w:p>
            <w:pPr>
              <w:spacing w:after="20" w:before="20"/>
            </w:pPr>
            <w:r/>
            <w:r>
              <w:rPr>
                <w:rFonts w:ascii="Consolas" w:hAnsi="Consolas"/>
                <w:sz w:val="16"/>
              </w:rPr>
              <w:t>x</w:t>
            </w:r>
          </w:p>
        </w:tc>
        <w:tc>
          <w:tcPr>
            <w:tcW w:type="dxa" w:w="2232"/>
          </w:tcPr>
          <w:p>
            <w:pPr>
              <w:spacing w:after="20" w:before="20"/>
            </w:pPr>
            <w:r/>
            <w:r>
              <w:rPr>
                <w:rFonts w:ascii="Consolas" w:hAnsi="Consolas"/>
                <w:sz w:val="16"/>
              </w:rPr>
              <w:t>(10, 30, 15)</w:t>
            </w:r>
          </w:p>
        </w:tc>
        <w:tc>
          <w:tcPr>
            <w:tcW w:type="dxa" w:w="4824"/>
          </w:tcPr>
          <w:p>
            <w:pPr>
              <w:spacing w:after="20" w:before="20"/>
            </w:pPr>
            <w:r>
              <w:rPr>
                <w:sz w:val="17"/>
              </w:rPr>
            </w:r>
            <w:r>
              <w:rPr>
                <w:sz w:val="17"/>
              </w:rPr>
              <w:t>Per-asset window; 10 assets folded into the batch</w:t>
            </w:r>
          </w:p>
        </w:tc>
      </w:tr>
      <w:tr>
        <w:tc>
          <w:tcPr>
            <w:tcW w:type="dxa" w:w="1080"/>
            <w:shd w:val="clear" w:color="auto" w:fill="F2F5F8"/>
          </w:tcPr>
          <w:p>
            <w:pPr>
              <w:spacing w:after="20" w:before="20"/>
            </w:pPr>
            <w:r>
              <w:rPr>
                <w:sz w:val="17"/>
              </w:rPr>
            </w:r>
            <w:r>
              <w:rPr>
                <w:sz w:val="17"/>
              </w:rPr>
              <w:t>OUTPUT</w:t>
            </w:r>
          </w:p>
        </w:tc>
        <w:tc>
          <w:tcPr>
            <w:tcW w:type="dxa" w:w="2088"/>
            <w:shd w:val="clear" w:color="auto" w:fill="F2F5F8"/>
          </w:tcPr>
          <w:p>
            <w:pPr>
              <w:spacing w:after="20" w:before="20"/>
            </w:pPr>
            <w:r/>
            <w:r>
              <w:rPr>
                <w:rFonts w:ascii="Consolas" w:hAnsi="Consolas"/>
                <w:sz w:val="16"/>
              </w:rPr>
              <w:t>selected</w:t>
            </w:r>
          </w:p>
        </w:tc>
        <w:tc>
          <w:tcPr>
            <w:tcW w:type="dxa" w:w="2232"/>
            <w:shd w:val="clear" w:color="auto" w:fill="F2F5F8"/>
          </w:tcPr>
          <w:p>
            <w:pPr>
              <w:spacing w:after="20" w:before="20"/>
            </w:pPr>
            <w:r/>
            <w:r>
              <w:rPr>
                <w:rFonts w:ascii="Consolas" w:hAnsi="Consolas"/>
                <w:sz w:val="16"/>
              </w:rPr>
              <w:t>(10, 30, 64)</w:t>
            </w:r>
          </w:p>
        </w:tc>
        <w:tc>
          <w:tcPr>
            <w:tcW w:type="dxa" w:w="4824"/>
            <w:shd w:val="clear" w:color="auto" w:fill="F2F5F8"/>
          </w:tcPr>
          <w:p>
            <w:pPr>
              <w:spacing w:after="20" w:before="20"/>
            </w:pPr>
            <w:r>
              <w:rPr>
                <w:sz w:val="17"/>
              </w:rPr>
            </w:r>
            <w:r>
              <w:rPr>
                <w:sz w:val="17"/>
              </w:rPr>
              <w:t>Feature-selected representation, one 64-d vector per asset per day</w:t>
            </w:r>
          </w:p>
        </w:tc>
      </w:tr>
      <w:tr>
        <w:tc>
          <w:tcPr>
            <w:tcW w:type="dxa" w:w="1080"/>
          </w:tcPr>
          <w:p>
            <w:pPr>
              <w:spacing w:after="20" w:before="20"/>
            </w:pPr>
            <w:r>
              <w:rPr>
                <w:sz w:val="17"/>
              </w:rPr>
            </w:r>
            <w:r>
              <w:rPr>
                <w:sz w:val="17"/>
              </w:rPr>
              <w:t>OUTPUT</w:t>
            </w:r>
          </w:p>
        </w:tc>
        <w:tc>
          <w:tcPr>
            <w:tcW w:type="dxa" w:w="2088"/>
          </w:tcPr>
          <w:p>
            <w:pPr>
              <w:spacing w:after="20" w:before="20"/>
            </w:pPr>
            <w:r/>
            <w:r>
              <w:rPr>
                <w:rFonts w:ascii="Consolas" w:hAnsi="Consolas"/>
                <w:sz w:val="16"/>
              </w:rPr>
              <w:t>weights</w:t>
            </w:r>
          </w:p>
        </w:tc>
        <w:tc>
          <w:tcPr>
            <w:tcW w:type="dxa" w:w="2232"/>
          </w:tcPr>
          <w:p>
            <w:pPr>
              <w:spacing w:after="20" w:before="20"/>
            </w:pPr>
            <w:r/>
            <w:r>
              <w:rPr>
                <w:rFonts w:ascii="Consolas" w:hAnsi="Consolas"/>
                <w:sz w:val="16"/>
              </w:rPr>
              <w:t>(10, 30, 15)</w:t>
            </w:r>
          </w:p>
        </w:tc>
        <w:tc>
          <w:tcPr>
            <w:tcW w:type="dxa" w:w="4824"/>
          </w:tcPr>
          <w:p>
            <w:pPr>
              <w:spacing w:after="20" w:before="20"/>
            </w:pPr>
            <w:r>
              <w:rPr>
                <w:sz w:val="17"/>
              </w:rPr>
            </w:r>
            <w:r>
              <w:rPr>
                <w:sz w:val="17"/>
              </w:rPr>
              <w:t xml:space="preserve">Softmax importance over the 15 features — </w:t>
            </w:r>
            <w:r>
              <w:rPr>
                <w:b/>
                <w:sz w:val="17"/>
              </w:rPr>
              <w:t>the interpretability output</w:t>
            </w:r>
            <w:r>
              <w:rPr>
                <w:sz w:val="17"/>
              </w:rPr>
              <w:t>; sums to 1 along the feature axis</w:t>
            </w:r>
          </w:p>
        </w:tc>
      </w:tr>
    </w:tbl>
    <w:p>
      <w:pPr>
        <w:spacing w:after="40"/>
      </w:pPr>
    </w:p>
    <w:p>
      <w:r>
        <w:rPr>
          <w:b/>
          <w:i w:val="0"/>
          <w:sz w:val="22"/>
        </w:rPr>
        <w:t>Internal mechanics</w:t>
      </w:r>
    </w:p>
    <w:p>
      <w:pPr>
        <w:pStyle w:val="ListBullet"/>
        <w:spacing w:after="40"/>
        <w:ind w:left="360"/>
      </w:pPr>
      <w:r>
        <w:rPr>
          <w:b/>
        </w:rPr>
        <w:t>Gated Residual Network (GRN)</w:t>
      </w:r>
      <w:r>
        <w:t xml:space="preserve"> — the building block: </w:t>
      </w:r>
      <w:r>
        <w:rPr>
          <w:rFonts w:ascii="Consolas" w:hAnsi="Consolas"/>
          <w:sz w:val="19"/>
        </w:rPr>
        <w:t>Linear → ELU → Linear → Dropout → sigmoid gate → add residual → LayerNorm</w:t>
      </w:r>
      <w:r>
        <w:t>. The sigmoid gate lets the network suppress its own non-linear path when the identity mapping is better, which stabilises deep stacks.</w:t>
      </w:r>
    </w:p>
    <w:p>
      <w:pPr>
        <w:pStyle w:val="ListBullet"/>
        <w:spacing w:after="40"/>
        <w:ind w:left="360"/>
      </w:pPr>
      <w:r>
        <w:rPr>
          <w:b/>
        </w:rPr>
        <w:t>Selection branch</w:t>
      </w:r>
      <w:r>
        <w:t xml:space="preserve"> — a GRN maps the 15 raw features to 15 logits, then softmax turns them into importance weights that sum to 1.</w:t>
      </w:r>
    </w:p>
    <w:p>
      <w:pPr>
        <w:pStyle w:val="ListBullet"/>
        <w:spacing w:after="40"/>
        <w:ind w:left="360"/>
      </w:pPr>
      <w:r>
        <w:rPr>
          <w:b/>
        </w:rPr>
        <w:t>Projection branch</w:t>
      </w:r>
      <w:r>
        <w:t xml:space="preserve"> — a shared linear layer lifts the 15 scalars into 15 separate 64-dimensional embeddings, i.e. shape (15, 64) per time step.</w:t>
      </w:r>
    </w:p>
    <w:p>
      <w:pPr>
        <w:pStyle w:val="ListBullet"/>
        <w:spacing w:after="40"/>
        <w:ind w:left="360"/>
      </w:pPr>
      <w:r>
        <w:rPr>
          <w:b/>
        </w:rPr>
        <w:t>Combination</w:t>
      </w:r>
      <w:r>
        <w:t xml:space="preserve"> — the 15 embeddings are weighted by the importance scores and summed: </w:t>
      </w:r>
      <w:r>
        <w:rPr>
          <w:rFonts w:ascii="Consolas" w:hAnsi="Consolas"/>
          <w:sz w:val="19"/>
        </w:rPr>
        <w:t>selected = Σᵢ wᵢ · embedding(featureᵢ)</w:t>
      </w:r>
      <w:r>
        <w:t xml:space="preserve"> → one 64-d vector.</w:t>
      </w:r>
    </w:p>
    <w:p>
      <w:pPr>
        <w:pStyle w:val="ListBullet"/>
        <w:spacing w:after="40"/>
        <w:ind w:left="360"/>
      </w:pPr>
      <w:r>
        <w:rPr>
          <w:b/>
        </w:rPr>
        <w:t>Vectorised design</w:t>
      </w:r>
      <w:r>
        <w:t xml:space="preserve"> — the canonical VSN uses one GRN per variable. That is fine for 15 features but would not scale if macro variables were added, so this implementation uses a single shared projection with a cost independent of the number of variables.</w:t>
      </w:r>
    </w:p>
    <w:p>
      <w:pPr>
        <w:pStyle w:val="Heading2"/>
      </w:pPr>
      <w:r>
        <w:t>6.2 Block 2 — LSTM (temporal memory)</w:t>
      </w:r>
    </w:p>
    <w:p>
      <w:r>
        <w:rPr>
          <w:b w:val="0"/>
          <w:i/>
        </w:rPr>
        <w:t>Module: src/models/vsn_lstm.py — VSNLSTM</w:t>
      </w:r>
    </w:p>
    <w:p>
      <w:r>
        <w:rPr>
          <w:b w:val="0"/>
          <w:i w:val="0"/>
        </w:rPr>
        <w:t>The VSN treats each day independently. The LSTM adds memory: it reads the 30 selected vectors in order and maintains a cell state that carries information forward, so it can represent statements like "volatility has been rising for two weeks" rather than just "volatility is high today".</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080"/>
            <w:shd w:val="clear" w:color="auto" w:fill="1F3B57"/>
          </w:tcPr>
          <w:p>
            <w:pPr>
              <w:spacing w:after="20" w:before="20"/>
            </w:pPr>
            <w:r/>
            <w:r>
              <w:rPr>
                <w:b/>
                <w:color w:val="FFFFFF"/>
                <w:sz w:val="17"/>
              </w:rPr>
              <w:t>Role</w:t>
            </w:r>
          </w:p>
        </w:tc>
        <w:tc>
          <w:tcPr>
            <w:tcW w:type="dxa" w:w="2088"/>
            <w:shd w:val="clear" w:color="auto" w:fill="1F3B57"/>
          </w:tcPr>
          <w:p>
            <w:pPr>
              <w:spacing w:after="20" w:before="20"/>
            </w:pPr>
            <w:r/>
            <w:r>
              <w:rPr>
                <w:b/>
                <w:color w:val="FFFFFF"/>
                <w:sz w:val="17"/>
              </w:rPr>
              <w:t>Tensor / object</w:t>
            </w:r>
          </w:p>
        </w:tc>
        <w:tc>
          <w:tcPr>
            <w:tcW w:type="dxa" w:w="2232"/>
            <w:shd w:val="clear" w:color="auto" w:fill="1F3B57"/>
          </w:tcPr>
          <w:p>
            <w:pPr>
              <w:spacing w:after="20" w:before="20"/>
            </w:pPr>
            <w:r/>
            <w:r>
              <w:rPr>
                <w:b/>
                <w:color w:val="FFFFFF"/>
                <w:sz w:val="17"/>
              </w:rPr>
              <w:t>Shape (concrete)</w:t>
            </w:r>
          </w:p>
        </w:tc>
        <w:tc>
          <w:tcPr>
            <w:tcW w:type="dxa" w:w="4824"/>
            <w:shd w:val="clear" w:color="auto" w:fill="1F3B57"/>
          </w:tcPr>
          <w:p>
            <w:pPr>
              <w:spacing w:after="20" w:before="20"/>
            </w:pPr>
            <w:r/>
            <w:r>
              <w:rPr>
                <w:b/>
                <w:color w:val="FFFFFF"/>
                <w:sz w:val="17"/>
              </w:rPr>
              <w:t>Meaning</w:t>
            </w:r>
          </w:p>
        </w:tc>
      </w:tr>
      <w:tr>
        <w:tc>
          <w:tcPr>
            <w:tcW w:type="dxa" w:w="1080"/>
          </w:tcPr>
          <w:p>
            <w:pPr>
              <w:spacing w:after="20" w:before="20"/>
            </w:pPr>
            <w:r>
              <w:rPr>
                <w:sz w:val="17"/>
              </w:rPr>
            </w:r>
            <w:r>
              <w:rPr>
                <w:sz w:val="17"/>
              </w:rPr>
              <w:t>INPUT</w:t>
            </w:r>
          </w:p>
        </w:tc>
        <w:tc>
          <w:tcPr>
            <w:tcW w:type="dxa" w:w="2088"/>
          </w:tcPr>
          <w:p>
            <w:pPr>
              <w:spacing w:after="20" w:before="20"/>
            </w:pPr>
            <w:r/>
            <w:r>
              <w:rPr>
                <w:rFonts w:ascii="Consolas" w:hAnsi="Consolas"/>
                <w:sz w:val="16"/>
              </w:rPr>
              <w:t>selected</w:t>
            </w:r>
          </w:p>
        </w:tc>
        <w:tc>
          <w:tcPr>
            <w:tcW w:type="dxa" w:w="2232"/>
          </w:tcPr>
          <w:p>
            <w:pPr>
              <w:spacing w:after="20" w:before="20"/>
            </w:pPr>
            <w:r/>
            <w:r>
              <w:rPr>
                <w:rFonts w:ascii="Consolas" w:hAnsi="Consolas"/>
                <w:sz w:val="16"/>
              </w:rPr>
              <w:t>(10, 30, 64)</w:t>
            </w:r>
          </w:p>
        </w:tc>
        <w:tc>
          <w:tcPr>
            <w:tcW w:type="dxa" w:w="4824"/>
          </w:tcPr>
          <w:p>
            <w:pPr>
              <w:spacing w:after="20" w:before="20"/>
            </w:pPr>
            <w:r>
              <w:rPr>
                <w:sz w:val="17"/>
              </w:rPr>
            </w:r>
            <w:r>
              <w:rPr>
                <w:sz w:val="17"/>
              </w:rPr>
              <w:t>Output of the VSN</w:t>
            </w:r>
          </w:p>
        </w:tc>
      </w:tr>
      <w:tr>
        <w:tc>
          <w:tcPr>
            <w:tcW w:type="dxa" w:w="1080"/>
            <w:shd w:val="clear" w:color="auto" w:fill="F2F5F8"/>
          </w:tcPr>
          <w:p>
            <w:pPr>
              <w:spacing w:after="20" w:before="20"/>
            </w:pPr>
            <w:r>
              <w:rPr>
                <w:sz w:val="17"/>
              </w:rPr>
            </w:r>
            <w:r>
              <w:rPr>
                <w:sz w:val="17"/>
              </w:rPr>
              <w:t>OUTPUT</w:t>
            </w:r>
          </w:p>
        </w:tc>
        <w:tc>
          <w:tcPr>
            <w:tcW w:type="dxa" w:w="2088"/>
            <w:shd w:val="clear" w:color="auto" w:fill="F2F5F8"/>
          </w:tcPr>
          <w:p>
            <w:pPr>
              <w:spacing w:after="20" w:before="20"/>
            </w:pPr>
            <w:r/>
            <w:r>
              <w:rPr>
                <w:rFonts w:ascii="Consolas" w:hAnsi="Consolas"/>
                <w:sz w:val="16"/>
              </w:rPr>
              <w:t>lstm_out</w:t>
            </w:r>
          </w:p>
        </w:tc>
        <w:tc>
          <w:tcPr>
            <w:tcW w:type="dxa" w:w="2232"/>
            <w:shd w:val="clear" w:color="auto" w:fill="F2F5F8"/>
          </w:tcPr>
          <w:p>
            <w:pPr>
              <w:spacing w:after="20" w:before="20"/>
            </w:pPr>
            <w:r/>
            <w:r>
              <w:rPr>
                <w:rFonts w:ascii="Consolas" w:hAnsi="Consolas"/>
                <w:sz w:val="16"/>
              </w:rPr>
              <w:t>(10, 30, 128)</w:t>
            </w:r>
          </w:p>
        </w:tc>
        <w:tc>
          <w:tcPr>
            <w:tcW w:type="dxa" w:w="4824"/>
            <w:shd w:val="clear" w:color="auto" w:fill="F2F5F8"/>
          </w:tcPr>
          <w:p>
            <w:pPr>
              <w:spacing w:after="20" w:before="20"/>
            </w:pPr>
            <w:r>
              <w:rPr>
                <w:sz w:val="17"/>
              </w:rPr>
            </w:r>
            <w:r>
              <w:rPr>
                <w:sz w:val="17"/>
              </w:rPr>
              <w:t>Hidden state at every one of the 30 days, after LayerNorm and a linear projection</w:t>
            </w:r>
          </w:p>
        </w:tc>
      </w:tr>
      <w:tr>
        <w:tc>
          <w:tcPr>
            <w:tcW w:type="dxa" w:w="1080"/>
          </w:tcPr>
          <w:p>
            <w:pPr>
              <w:spacing w:after="20" w:before="20"/>
            </w:pPr>
            <w:r>
              <w:rPr>
                <w:sz w:val="17"/>
              </w:rPr>
            </w:r>
            <w:r>
              <w:rPr>
                <w:sz w:val="17"/>
              </w:rPr>
              <w:t>OUTPUT</w:t>
            </w:r>
          </w:p>
        </w:tc>
        <w:tc>
          <w:tcPr>
            <w:tcW w:type="dxa" w:w="2088"/>
          </w:tcPr>
          <w:p>
            <w:pPr>
              <w:spacing w:after="20" w:before="20"/>
            </w:pPr>
            <w:r/>
            <w:r>
              <w:rPr>
                <w:rFonts w:ascii="Consolas" w:hAnsi="Consolas"/>
                <w:sz w:val="16"/>
              </w:rPr>
              <w:t>hidden</w:t>
            </w:r>
          </w:p>
        </w:tc>
        <w:tc>
          <w:tcPr>
            <w:tcW w:type="dxa" w:w="2232"/>
          </w:tcPr>
          <w:p>
            <w:pPr>
              <w:spacing w:after="20" w:before="20"/>
            </w:pPr>
            <w:r/>
            <w:r>
              <w:rPr>
                <w:rFonts w:ascii="Consolas" w:hAnsi="Consolas"/>
                <w:sz w:val="16"/>
              </w:rPr>
              <w:t>(h_n, c_n)</w:t>
            </w:r>
          </w:p>
        </w:tc>
        <w:tc>
          <w:tcPr>
            <w:tcW w:type="dxa" w:w="4824"/>
          </w:tcPr>
          <w:p>
            <w:pPr>
              <w:spacing w:after="20" w:before="20"/>
            </w:pPr>
            <w:r>
              <w:rPr>
                <w:sz w:val="17"/>
              </w:rPr>
            </w:r>
            <w:r>
              <w:rPr>
                <w:sz w:val="17"/>
              </w:rPr>
              <w:t xml:space="preserve">Final hidden and cell state — </w:t>
            </w:r>
            <w:r>
              <w:rPr>
                <w:b/>
                <w:sz w:val="17"/>
              </w:rPr>
              <w:t>deliberately discarded</w:t>
            </w:r>
            <w:r>
              <w:rPr>
                <w:sz w:val="17"/>
              </w:rPr>
              <w:t xml:space="preserve"> between steps (see note below)</w:t>
            </w:r>
          </w:p>
        </w:tc>
      </w:tr>
    </w:tbl>
    <w:p>
      <w:pPr>
        <w:spacing w:after="40"/>
      </w:pPr>
    </w:p>
    <w:tbl>
      <w:tblPr>
        <w:tblStyle w:val="TableGrid"/>
        <w:tblW w:type="auto" w:w="0"/>
        <w:jc w:val="left"/>
        <w:tblLook w:firstColumn="1" w:firstRow="1" w:lastColumn="0" w:lastRow="0" w:noHBand="0" w:noVBand="1" w:val="04A0"/>
      </w:tblPr>
      <w:tblGrid>
        <w:gridCol w:w="3264"/>
        <w:gridCol w:w="3264"/>
        <w:gridCol w:w="3264"/>
      </w:tblGrid>
      <w:tr>
        <w:tc>
          <w:tcPr>
            <w:tcW w:type="dxa" w:w="1944"/>
            <w:shd w:val="clear" w:color="auto" w:fill="1F3B57"/>
          </w:tcPr>
          <w:p>
            <w:pPr>
              <w:spacing w:after="20" w:before="20"/>
            </w:pPr>
            <w:r/>
            <w:r>
              <w:rPr>
                <w:b/>
                <w:color w:val="FFFFFF"/>
                <w:sz w:val="17"/>
              </w:rPr>
              <w:t>Setting</w:t>
            </w:r>
          </w:p>
        </w:tc>
        <w:tc>
          <w:tcPr>
            <w:tcW w:type="dxa" w:w="1944"/>
            <w:shd w:val="clear" w:color="auto" w:fill="1F3B57"/>
          </w:tcPr>
          <w:p>
            <w:pPr>
              <w:spacing w:after="20" w:before="20"/>
            </w:pPr>
            <w:r/>
            <w:r>
              <w:rPr>
                <w:b/>
                <w:color w:val="FFFFFF"/>
                <w:sz w:val="17"/>
              </w:rPr>
              <w:t>Value</w:t>
            </w:r>
          </w:p>
        </w:tc>
        <w:tc>
          <w:tcPr>
            <w:tcW w:type="dxa" w:w="6984"/>
            <w:shd w:val="clear" w:color="auto" w:fill="1F3B57"/>
          </w:tcPr>
          <w:p>
            <w:pPr>
              <w:spacing w:after="20" w:before="20"/>
            </w:pPr>
            <w:r/>
            <w:r>
              <w:rPr>
                <w:b/>
                <w:color w:val="FFFFFF"/>
                <w:sz w:val="17"/>
              </w:rPr>
              <w:t>Reason</w:t>
            </w:r>
          </w:p>
        </w:tc>
      </w:tr>
      <w:tr>
        <w:tc>
          <w:tcPr>
            <w:tcW w:type="dxa" w:w="1944"/>
          </w:tcPr>
          <w:p>
            <w:pPr>
              <w:spacing w:after="20" w:before="20"/>
            </w:pPr>
            <w:r>
              <w:rPr>
                <w:sz w:val="17"/>
              </w:rPr>
            </w:r>
            <w:r>
              <w:rPr>
                <w:sz w:val="17"/>
              </w:rPr>
              <w:t>Layers</w:t>
            </w:r>
          </w:p>
        </w:tc>
        <w:tc>
          <w:tcPr>
            <w:tcW w:type="dxa" w:w="1944"/>
          </w:tcPr>
          <w:p>
            <w:pPr>
              <w:spacing w:after="20" w:before="20"/>
            </w:pPr>
            <w:r>
              <w:rPr>
                <w:sz w:val="17"/>
              </w:rPr>
            </w:r>
            <w:r>
              <w:rPr>
                <w:sz w:val="17"/>
              </w:rPr>
              <w:t>2</w:t>
            </w:r>
          </w:p>
        </w:tc>
        <w:tc>
          <w:tcPr>
            <w:tcW w:type="dxa" w:w="6984"/>
          </w:tcPr>
          <w:p>
            <w:pPr>
              <w:spacing w:after="20" w:before="20"/>
            </w:pPr>
            <w:r>
              <w:rPr>
                <w:sz w:val="17"/>
              </w:rPr>
            </w:r>
            <w:r>
              <w:rPr>
                <w:sz w:val="17"/>
              </w:rPr>
              <w:t>Two levels of temporal abstraction</w:t>
            </w:r>
          </w:p>
        </w:tc>
      </w:tr>
      <w:tr>
        <w:tc>
          <w:tcPr>
            <w:tcW w:type="dxa" w:w="1944"/>
            <w:shd w:val="clear" w:color="auto" w:fill="F2F5F8"/>
          </w:tcPr>
          <w:p>
            <w:pPr>
              <w:spacing w:after="20" w:before="20"/>
            </w:pPr>
            <w:r>
              <w:rPr>
                <w:sz w:val="17"/>
              </w:rPr>
            </w:r>
            <w:r>
              <w:rPr>
                <w:sz w:val="17"/>
              </w:rPr>
              <w:t>Hidden size</w:t>
            </w:r>
          </w:p>
        </w:tc>
        <w:tc>
          <w:tcPr>
            <w:tcW w:type="dxa" w:w="1944"/>
            <w:shd w:val="clear" w:color="auto" w:fill="F2F5F8"/>
          </w:tcPr>
          <w:p>
            <w:pPr>
              <w:spacing w:after="20" w:before="20"/>
            </w:pPr>
            <w:r>
              <w:rPr>
                <w:sz w:val="17"/>
              </w:rPr>
            </w:r>
            <w:r>
              <w:rPr>
                <w:sz w:val="17"/>
              </w:rPr>
              <w:t>128</w:t>
            </w:r>
          </w:p>
        </w:tc>
        <w:tc>
          <w:tcPr>
            <w:tcW w:type="dxa" w:w="6984"/>
            <w:shd w:val="clear" w:color="auto" w:fill="F2F5F8"/>
          </w:tcPr>
          <w:p>
            <w:pPr>
              <w:spacing w:after="20" w:before="20"/>
            </w:pPr>
            <w:r>
              <w:rPr>
                <w:sz w:val="17"/>
              </w:rPr>
            </w:r>
            <w:r>
              <w:rPr>
                <w:sz w:val="17"/>
              </w:rPr>
              <w:t>Matches d_model of the attention block that follows</w:t>
            </w:r>
          </w:p>
        </w:tc>
      </w:tr>
      <w:tr>
        <w:tc>
          <w:tcPr>
            <w:tcW w:type="dxa" w:w="1944"/>
          </w:tcPr>
          <w:p>
            <w:pPr>
              <w:spacing w:after="20" w:before="20"/>
            </w:pPr>
            <w:r>
              <w:rPr>
                <w:sz w:val="17"/>
              </w:rPr>
            </w:r>
            <w:r>
              <w:rPr>
                <w:sz w:val="17"/>
              </w:rPr>
              <w:t>Dropout</w:t>
            </w:r>
          </w:p>
        </w:tc>
        <w:tc>
          <w:tcPr>
            <w:tcW w:type="dxa" w:w="1944"/>
          </w:tcPr>
          <w:p>
            <w:pPr>
              <w:spacing w:after="20" w:before="20"/>
            </w:pPr>
            <w:r>
              <w:rPr>
                <w:sz w:val="17"/>
              </w:rPr>
            </w:r>
            <w:r>
              <w:rPr>
                <w:sz w:val="17"/>
              </w:rPr>
              <w:t>0.1</w:t>
            </w:r>
          </w:p>
        </w:tc>
        <w:tc>
          <w:tcPr>
            <w:tcW w:type="dxa" w:w="6984"/>
          </w:tcPr>
          <w:p>
            <w:pPr>
              <w:spacing w:after="20" w:before="20"/>
            </w:pPr>
            <w:r>
              <w:rPr>
                <w:sz w:val="17"/>
              </w:rPr>
            </w:r>
            <w:r>
              <w:rPr>
                <w:sz w:val="17"/>
              </w:rPr>
              <w:t>Applied between the two LSTM layers</w:t>
            </w:r>
          </w:p>
        </w:tc>
      </w:tr>
      <w:tr>
        <w:tc>
          <w:tcPr>
            <w:tcW w:type="dxa" w:w="1944"/>
            <w:shd w:val="clear" w:color="auto" w:fill="F2F5F8"/>
          </w:tcPr>
          <w:p>
            <w:pPr>
              <w:spacing w:after="20" w:before="20"/>
            </w:pPr>
            <w:r>
              <w:rPr>
                <w:sz w:val="17"/>
              </w:rPr>
            </w:r>
            <w:r>
              <w:rPr>
                <w:sz w:val="17"/>
              </w:rPr>
              <w:t>Recurrent init</w:t>
            </w:r>
          </w:p>
        </w:tc>
        <w:tc>
          <w:tcPr>
            <w:tcW w:type="dxa" w:w="1944"/>
            <w:shd w:val="clear" w:color="auto" w:fill="F2F5F8"/>
          </w:tcPr>
          <w:p>
            <w:pPr>
              <w:spacing w:after="20" w:before="20"/>
            </w:pPr>
            <w:r>
              <w:rPr>
                <w:sz w:val="17"/>
              </w:rPr>
            </w:r>
            <w:r>
              <w:rPr>
                <w:sz w:val="17"/>
              </w:rPr>
              <w:t>Orthogonal</w:t>
            </w:r>
          </w:p>
        </w:tc>
        <w:tc>
          <w:tcPr>
            <w:tcW w:type="dxa" w:w="6984"/>
            <w:shd w:val="clear" w:color="auto" w:fill="F2F5F8"/>
          </w:tcPr>
          <w:p>
            <w:pPr>
              <w:spacing w:after="20" w:before="20"/>
            </w:pPr>
            <w:r>
              <w:rPr>
                <w:sz w:val="17"/>
              </w:rPr>
            </w:r>
            <w:r>
              <w:rPr>
                <w:sz w:val="17"/>
              </w:rPr>
              <w:t>Keeps the recurrent Jacobian well-conditioned, avoiding vanishing/exploding gradients over 30 steps</w:t>
            </w:r>
          </w:p>
        </w:tc>
      </w:tr>
      <w:tr>
        <w:tc>
          <w:tcPr>
            <w:tcW w:type="dxa" w:w="1944"/>
          </w:tcPr>
          <w:p>
            <w:pPr>
              <w:spacing w:after="20" w:before="20"/>
            </w:pPr>
            <w:r>
              <w:rPr>
                <w:sz w:val="17"/>
              </w:rPr>
            </w:r>
            <w:r>
              <w:rPr>
                <w:sz w:val="17"/>
              </w:rPr>
              <w:t>Forget-gate bias</w:t>
            </w:r>
          </w:p>
        </w:tc>
        <w:tc>
          <w:tcPr>
            <w:tcW w:type="dxa" w:w="1944"/>
          </w:tcPr>
          <w:p>
            <w:pPr>
              <w:spacing w:after="20" w:before="20"/>
            </w:pPr>
            <w:r>
              <w:rPr>
                <w:sz w:val="17"/>
              </w:rPr>
            </w:r>
            <w:r>
              <w:rPr>
                <w:sz w:val="17"/>
              </w:rPr>
              <w:t>Initialised to 1.0</w:t>
            </w:r>
          </w:p>
        </w:tc>
        <w:tc>
          <w:tcPr>
            <w:tcW w:type="dxa" w:w="6984"/>
          </w:tcPr>
          <w:p>
            <w:pPr>
              <w:spacing w:after="20" w:before="20"/>
            </w:pPr>
            <w:r>
              <w:rPr>
                <w:sz w:val="17"/>
              </w:rPr>
            </w:r>
            <w:r>
              <w:rPr>
                <w:sz w:val="17"/>
              </w:rPr>
              <w:t>Jozefowicz et al. (2015). The gate starts "open", so the cell state does not decay to zero across the window</w:t>
            </w:r>
          </w:p>
        </w:tc>
      </w:tr>
      <w:tr>
        <w:tc>
          <w:tcPr>
            <w:tcW w:type="dxa" w:w="1944"/>
            <w:shd w:val="clear" w:color="auto" w:fill="F2F5F8"/>
          </w:tcPr>
          <w:p>
            <w:pPr>
              <w:spacing w:after="20" w:before="20"/>
            </w:pPr>
            <w:r>
              <w:rPr>
                <w:sz w:val="17"/>
              </w:rPr>
            </w:r>
            <w:r>
              <w:rPr>
                <w:sz w:val="17"/>
              </w:rPr>
              <w:t>LayerNorm on output</w:t>
            </w:r>
          </w:p>
        </w:tc>
        <w:tc>
          <w:tcPr>
            <w:tcW w:type="dxa" w:w="1944"/>
            <w:shd w:val="clear" w:color="auto" w:fill="F2F5F8"/>
          </w:tcPr>
          <w:p>
            <w:pPr>
              <w:spacing w:after="20" w:before="20"/>
            </w:pPr>
            <w:r>
              <w:rPr>
                <w:sz w:val="17"/>
              </w:rPr>
            </w:r>
            <w:r>
              <w:rPr>
                <w:sz w:val="17"/>
              </w:rPr>
              <w:t>Enabled</w:t>
            </w:r>
          </w:p>
        </w:tc>
        <w:tc>
          <w:tcPr>
            <w:tcW w:type="dxa" w:w="6984"/>
            <w:shd w:val="clear" w:color="auto" w:fill="F2F5F8"/>
          </w:tcPr>
          <w:p>
            <w:pPr>
              <w:spacing w:after="20" w:before="20"/>
            </w:pPr>
            <w:r>
              <w:rPr>
                <w:sz w:val="17"/>
              </w:rPr>
            </w:r>
            <w:r>
              <w:rPr>
                <w:sz w:val="17"/>
              </w:rPr>
              <w:t>Without it a 2-layer LSTM at default initialisation attenuates the signal by roughly 4× per layer, h_market becomes almost independent of the input, and the policy emits the same allocation every day. This was an observed failure mode</w:t>
            </w:r>
          </w:p>
        </w:tc>
      </w:tr>
    </w:tbl>
    <w:p>
      <w:pPr>
        <w:spacing w:after="40"/>
      </w:pPr>
    </w:p>
    <w:p>
      <w:r>
        <w:rPr>
          <w:b/>
        </w:rPr>
        <w:t xml:space="preserve">Why the hidden state is reset every step: </w:t>
      </w:r>
      <w:r>
        <w:t xml:space="preserve">each observation is already a complete 30-day window, so the history is in the input, not in the recurrent state. More importantly, during the PPO update `evaluate_actions()` re-encodes each stored observation with a fresh hidden state. If the rollout had carried state forward, the stored </w:t>
      </w:r>
      <w:r>
        <w:rPr>
          <w:rFonts w:ascii="Consolas" w:hAnsi="Consolas"/>
          <w:sz w:val="19"/>
        </w:rPr>
        <w:t>log_prob</w:t>
      </w:r>
      <w:r>
        <w:t xml:space="preserve"> would refer to a different conditioning state than the one re-evaluated, and the PPO importance ratio would be wrong from the very first epoch. Resetting keeps rollout and update exactly consistent.</w:t>
      </w:r>
    </w:p>
    <w:p>
      <w:pPr>
        <w:pStyle w:val="Heading2"/>
      </w:pPr>
      <w:r>
        <w:t>6.3 Block 3 — Temporal Multi-Head Attention</w:t>
      </w:r>
    </w:p>
    <w:p>
      <w:r>
        <w:rPr>
          <w:b w:val="0"/>
          <w:i/>
        </w:rPr>
        <w:t>Module: src/models/temporal_attention.py — TemporalAttentionBlock</w:t>
      </w:r>
    </w:p>
    <w:p>
      <w:r>
        <w:rPr>
          <w:b w:val="0"/>
          <w:i w:val="0"/>
        </w:rPr>
        <w:t>An LSTM compresses everything into a running state and tends to over-weight the recent past. Self-attention lets any day in the window look directly at any other day, so a sharp move 25 days ago can be referenced at full strength when it is relevant. The attention matrix also shows which days the model considered important.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080"/>
            <w:shd w:val="clear" w:color="auto" w:fill="1F3B57"/>
          </w:tcPr>
          <w:p>
            <w:pPr>
              <w:spacing w:after="20" w:before="20"/>
            </w:pPr>
            <w:r/>
            <w:r>
              <w:rPr>
                <w:b/>
                <w:color w:val="FFFFFF"/>
                <w:sz w:val="17"/>
              </w:rPr>
              <w:t>Role</w:t>
            </w:r>
          </w:p>
        </w:tc>
        <w:tc>
          <w:tcPr>
            <w:tcW w:type="dxa" w:w="2088"/>
            <w:shd w:val="clear" w:color="auto" w:fill="1F3B57"/>
          </w:tcPr>
          <w:p>
            <w:pPr>
              <w:spacing w:after="20" w:before="20"/>
            </w:pPr>
            <w:r/>
            <w:r>
              <w:rPr>
                <w:b/>
                <w:color w:val="FFFFFF"/>
                <w:sz w:val="17"/>
              </w:rPr>
              <w:t>Tensor / object</w:t>
            </w:r>
          </w:p>
        </w:tc>
        <w:tc>
          <w:tcPr>
            <w:tcW w:type="dxa" w:w="2232"/>
            <w:shd w:val="clear" w:color="auto" w:fill="1F3B57"/>
          </w:tcPr>
          <w:p>
            <w:pPr>
              <w:spacing w:after="20" w:before="20"/>
            </w:pPr>
            <w:r/>
            <w:r>
              <w:rPr>
                <w:b/>
                <w:color w:val="FFFFFF"/>
                <w:sz w:val="17"/>
              </w:rPr>
              <w:t>Shape (concrete)</w:t>
            </w:r>
          </w:p>
        </w:tc>
        <w:tc>
          <w:tcPr>
            <w:tcW w:type="dxa" w:w="4824"/>
            <w:shd w:val="clear" w:color="auto" w:fill="1F3B57"/>
          </w:tcPr>
          <w:p>
            <w:pPr>
              <w:spacing w:after="20" w:before="20"/>
            </w:pPr>
            <w:r/>
            <w:r>
              <w:rPr>
                <w:b/>
                <w:color w:val="FFFFFF"/>
                <w:sz w:val="17"/>
              </w:rPr>
              <w:t>Meaning</w:t>
            </w:r>
          </w:p>
        </w:tc>
      </w:tr>
      <w:tr>
        <w:tc>
          <w:tcPr>
            <w:tcW w:type="dxa" w:w="1080"/>
          </w:tcPr>
          <w:p>
            <w:pPr>
              <w:spacing w:after="20" w:before="20"/>
            </w:pPr>
            <w:r>
              <w:rPr>
                <w:sz w:val="17"/>
              </w:rPr>
            </w:r>
            <w:r>
              <w:rPr>
                <w:sz w:val="17"/>
              </w:rPr>
              <w:t>INPUT</w:t>
            </w:r>
          </w:p>
        </w:tc>
        <w:tc>
          <w:tcPr>
            <w:tcW w:type="dxa" w:w="2088"/>
          </w:tcPr>
          <w:p>
            <w:pPr>
              <w:spacing w:after="20" w:before="20"/>
            </w:pPr>
            <w:r/>
            <w:r>
              <w:rPr>
                <w:rFonts w:ascii="Consolas" w:hAnsi="Consolas"/>
                <w:sz w:val="16"/>
              </w:rPr>
              <w:t>lstm_out</w:t>
            </w:r>
          </w:p>
        </w:tc>
        <w:tc>
          <w:tcPr>
            <w:tcW w:type="dxa" w:w="2232"/>
          </w:tcPr>
          <w:p>
            <w:pPr>
              <w:spacing w:after="20" w:before="20"/>
            </w:pPr>
            <w:r/>
            <w:r>
              <w:rPr>
                <w:rFonts w:ascii="Consolas" w:hAnsi="Consolas"/>
                <w:sz w:val="16"/>
              </w:rPr>
              <w:t>(10, 30, 128)</w:t>
            </w:r>
          </w:p>
        </w:tc>
        <w:tc>
          <w:tcPr>
            <w:tcW w:type="dxa" w:w="4824"/>
          </w:tcPr>
          <w:p>
            <w:pPr>
              <w:spacing w:after="20" w:before="20"/>
            </w:pPr>
            <w:r>
              <w:rPr>
                <w:sz w:val="17"/>
              </w:rPr>
            </w:r>
            <w:r>
              <w:rPr>
                <w:sz w:val="17"/>
              </w:rPr>
              <w:t>LSTM hidden states</w:t>
            </w:r>
          </w:p>
        </w:tc>
      </w:tr>
      <w:tr>
        <w:tc>
          <w:tcPr>
            <w:tcW w:type="dxa" w:w="1080"/>
            <w:shd w:val="clear" w:color="auto" w:fill="F2F5F8"/>
          </w:tcPr>
          <w:p>
            <w:pPr>
              <w:spacing w:after="20" w:before="20"/>
            </w:pPr>
            <w:r>
              <w:rPr>
                <w:sz w:val="17"/>
              </w:rPr>
            </w:r>
            <w:r>
              <w:rPr>
                <w:sz w:val="17"/>
              </w:rPr>
              <w:t>OUTPUT</w:t>
            </w:r>
          </w:p>
        </w:tc>
        <w:tc>
          <w:tcPr>
            <w:tcW w:type="dxa" w:w="2088"/>
            <w:shd w:val="clear" w:color="auto" w:fill="F2F5F8"/>
          </w:tcPr>
          <w:p>
            <w:pPr>
              <w:spacing w:after="20" w:before="20"/>
            </w:pPr>
            <w:r/>
            <w:r>
              <w:rPr>
                <w:rFonts w:ascii="Consolas" w:hAnsi="Consolas"/>
                <w:sz w:val="16"/>
              </w:rPr>
              <w:t>attn_out</w:t>
            </w:r>
          </w:p>
        </w:tc>
        <w:tc>
          <w:tcPr>
            <w:tcW w:type="dxa" w:w="2232"/>
            <w:shd w:val="clear" w:color="auto" w:fill="F2F5F8"/>
          </w:tcPr>
          <w:p>
            <w:pPr>
              <w:spacing w:after="20" w:before="20"/>
            </w:pPr>
            <w:r/>
            <w:r>
              <w:rPr>
                <w:rFonts w:ascii="Consolas" w:hAnsi="Consolas"/>
                <w:sz w:val="16"/>
              </w:rPr>
              <w:t>(10, 30, 128)</w:t>
            </w:r>
          </w:p>
        </w:tc>
        <w:tc>
          <w:tcPr>
            <w:tcW w:type="dxa" w:w="4824"/>
            <w:shd w:val="clear" w:color="auto" w:fill="F2F5F8"/>
          </w:tcPr>
          <w:p>
            <w:pPr>
              <w:spacing w:after="20" w:before="20"/>
            </w:pPr>
            <w:r>
              <w:rPr>
                <w:sz w:val="17"/>
              </w:rPr>
            </w:r>
            <w:r>
              <w:rPr>
                <w:sz w:val="17"/>
              </w:rPr>
              <w:t>Attention-enhanced sequence</w:t>
            </w:r>
          </w:p>
        </w:tc>
      </w:tr>
      <w:tr>
        <w:tc>
          <w:tcPr>
            <w:tcW w:type="dxa" w:w="1080"/>
          </w:tcPr>
          <w:p>
            <w:pPr>
              <w:spacing w:after="20" w:before="20"/>
            </w:pPr>
            <w:r>
              <w:rPr>
                <w:sz w:val="17"/>
              </w:rPr>
            </w:r>
            <w:r>
              <w:rPr>
                <w:sz w:val="17"/>
              </w:rPr>
              <w:t>OUTPUT</w:t>
            </w:r>
          </w:p>
        </w:tc>
        <w:tc>
          <w:tcPr>
            <w:tcW w:type="dxa" w:w="2088"/>
          </w:tcPr>
          <w:p>
            <w:pPr>
              <w:spacing w:after="20" w:before="20"/>
            </w:pPr>
            <w:r/>
            <w:r>
              <w:rPr>
                <w:rFonts w:ascii="Consolas" w:hAnsi="Consolas"/>
                <w:sz w:val="16"/>
              </w:rPr>
              <w:t>attn_weights</w:t>
            </w:r>
          </w:p>
        </w:tc>
        <w:tc>
          <w:tcPr>
            <w:tcW w:type="dxa" w:w="2232"/>
          </w:tcPr>
          <w:p>
            <w:pPr>
              <w:spacing w:after="20" w:before="20"/>
            </w:pPr>
            <w:r/>
            <w:r>
              <w:rPr>
                <w:rFonts w:ascii="Consolas" w:hAnsi="Consolas"/>
                <w:sz w:val="16"/>
              </w:rPr>
              <w:t>(10, 4, 30, 30)</w:t>
            </w:r>
          </w:p>
        </w:tc>
        <w:tc>
          <w:tcPr>
            <w:tcW w:type="dxa" w:w="4824"/>
          </w:tcPr>
          <w:p>
            <w:pPr>
              <w:spacing w:after="20" w:before="20"/>
            </w:pPr>
            <w:r>
              <w:rPr>
                <w:sz w:val="17"/>
              </w:rPr>
            </w:r>
            <w:r>
              <w:rPr>
                <w:sz w:val="17"/>
              </w:rPr>
              <w:t xml:space="preserve">Per-asset, per-head day-to-day attention — </w:t>
            </w:r>
            <w:r>
              <w:rPr>
                <w:b/>
                <w:sz w:val="17"/>
              </w:rPr>
              <w:t>interpretability output</w:t>
            </w:r>
          </w:p>
        </w:tc>
      </w:tr>
      <w:tr>
        <w:tc>
          <w:tcPr>
            <w:tcW w:type="dxa" w:w="1080"/>
            <w:shd w:val="clear" w:color="auto" w:fill="F2F5F8"/>
          </w:tcPr>
          <w:p>
            <w:pPr>
              <w:spacing w:after="20" w:before="20"/>
            </w:pPr>
            <w:r>
              <w:rPr>
                <w:sz w:val="17"/>
              </w:rPr>
            </w:r>
            <w:r>
              <w:rPr>
                <w:sz w:val="17"/>
              </w:rPr>
              <w:t>OUTPUT</w:t>
            </w:r>
          </w:p>
        </w:tc>
        <w:tc>
          <w:tcPr>
            <w:tcW w:type="dxa" w:w="2088"/>
            <w:shd w:val="clear" w:color="auto" w:fill="F2F5F8"/>
          </w:tcPr>
          <w:p>
            <w:pPr>
              <w:spacing w:after="20" w:before="20"/>
            </w:pPr>
            <w:r/>
            <w:r>
              <w:rPr>
                <w:rFonts w:ascii="Consolas" w:hAnsi="Consolas"/>
                <w:sz w:val="16"/>
              </w:rPr>
              <w:t>H</w:t>
            </w:r>
          </w:p>
        </w:tc>
        <w:tc>
          <w:tcPr>
            <w:tcW w:type="dxa" w:w="2232"/>
            <w:shd w:val="clear" w:color="auto" w:fill="F2F5F8"/>
          </w:tcPr>
          <w:p>
            <w:pPr>
              <w:spacing w:after="20" w:before="20"/>
            </w:pPr>
            <w:r/>
            <w:r>
              <w:rPr>
                <w:rFonts w:ascii="Consolas" w:hAnsi="Consolas"/>
                <w:sz w:val="16"/>
              </w:rPr>
              <w:t>(10, 128)</w:t>
            </w:r>
          </w:p>
        </w:tc>
        <w:tc>
          <w:tcPr>
            <w:tcW w:type="dxa" w:w="4824"/>
            <w:shd w:val="clear" w:color="auto" w:fill="F2F5F8"/>
          </w:tcPr>
          <w:p>
            <w:pPr>
              <w:spacing w:after="20" w:before="20"/>
            </w:pPr>
            <w:r>
              <w:rPr>
                <w:sz w:val="17"/>
              </w:rPr>
            </w:r>
            <w:r>
              <w:rPr>
                <w:rFonts w:ascii="Consolas" w:hAnsi="Consolas"/>
                <w:sz w:val="17"/>
              </w:rPr>
              <w:t>attn_out[:, −1, :]</w:t>
            </w:r>
            <w:r>
              <w:rPr>
                <w:sz w:val="17"/>
              </w:rPr>
              <w:t xml:space="preserve"> — the last time step only. This is the per-asset temporal embedding passed onward</w:t>
            </w:r>
          </w:p>
        </w:tc>
      </w:tr>
    </w:tbl>
    <w:p>
      <w:pPr>
        <w:spacing w:after="40"/>
      </w:pPr>
    </w:p>
    <w:p>
      <w:r>
        <w:rPr>
          <w:b/>
          <w:i w:val="0"/>
          <w:sz w:val="22"/>
        </w:rPr>
        <w:t>Internal mechanics</w:t>
      </w:r>
    </w:p>
    <w:p>
      <w:pPr>
        <w:pStyle w:val="ListBullet"/>
        <w:spacing w:after="40"/>
        <w:ind w:left="360"/>
      </w:pPr>
      <w:r>
        <w:rPr>
          <w:b/>
        </w:rPr>
        <w:t>Sinusoidal positional encoding</w:t>
      </w:r>
      <w:r>
        <w:t xml:space="preserve"> is added first, because attention is otherwise order-blind and day ordering is essential here.</w:t>
      </w:r>
    </w:p>
    <w:p>
      <w:pPr>
        <w:pStyle w:val="ListBullet"/>
        <w:spacing w:after="40"/>
        <w:ind w:left="360"/>
      </w:pPr>
      <w:r>
        <w:rPr>
          <w:b/>
        </w:rPr>
        <w:t>4 heads × 32 dimensions.</w:t>
      </w:r>
      <w:r>
        <w:t xml:space="preserve"> Q, K, V projections, then </w:t>
      </w:r>
      <w:r>
        <w:rPr>
          <w:rFonts w:ascii="Consolas" w:hAnsi="Consolas"/>
          <w:sz w:val="19"/>
        </w:rPr>
        <w:t>softmax(QKᵀ / √32) · V</w:t>
      </w:r>
      <w:r>
        <w:t>. Different heads can specialise on different lags.</w:t>
      </w:r>
    </w:p>
    <w:p>
      <w:pPr>
        <w:pStyle w:val="ListBullet"/>
        <w:spacing w:after="40"/>
        <w:ind w:left="360"/>
      </w:pPr>
      <w:r>
        <w:rPr>
          <w:b/>
        </w:rPr>
        <w:t>Residual + LayerNorm</w:t>
      </w:r>
      <w:r>
        <w:t xml:space="preserve">, then a </w:t>
      </w:r>
      <w:r>
        <w:rPr>
          <w:b/>
        </w:rPr>
        <w:t>feed-forward network</w:t>
      </w:r>
      <w:r>
        <w:t xml:space="preserve"> (128 → 256 → 128, GELU) with its own residual and LayerNorm — a standard Transformer encoder block.</w:t>
      </w:r>
    </w:p>
    <w:p>
      <w:pPr>
        <w:pStyle w:val="ListBullet"/>
        <w:spacing w:after="40"/>
        <w:ind w:left="360"/>
      </w:pPr>
      <w:r>
        <w:rPr>
          <w:b/>
        </w:rPr>
        <w:t>Only the final position is kept.</w:t>
      </w:r>
      <w:r>
        <w:t xml:space="preserve"> After attention, position 29 has aggregated information from all 30 days, so it serves as the summary of the whole window.</w:t>
      </w:r>
    </w:p>
    <w:p>
      <w:pPr>
        <w:pStyle w:val="Heading2"/>
      </w:pPr>
      <w:r>
        <w:t>6.4 Block 4 — Macro Graph Prior (Graph Attention Network)</w:t>
      </w:r>
    </w:p>
    <w:p>
      <w:r>
        <w:rPr>
          <w:b w:val="0"/>
          <w:i/>
        </w:rPr>
        <w:t>Module: src/models/macro_graph_prior.py — MacroGraphPrior, GraphAttentionLayer</w:t>
      </w:r>
    </w:p>
    <w:p>
      <w:r>
        <w:rPr>
          <w:b w:val="0"/>
          <w:i w:val="0"/>
        </w:rPr>
        <w:t>Up to this point each asset has been processed in complete isolation. But bank stocks are not independent: they share exposure to interest rates, credit conditions and sector sentiment. The GAT treats the 10 assets as nodes in a graph and lets each node gather information from the others with learned attention weights, so evidence about one bank informs the representation of another.</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080"/>
            <w:shd w:val="clear" w:color="auto" w:fill="1F3B57"/>
          </w:tcPr>
          <w:p>
            <w:pPr>
              <w:spacing w:after="20" w:before="20"/>
            </w:pPr>
            <w:r/>
            <w:r>
              <w:rPr>
                <w:b/>
                <w:color w:val="FFFFFF"/>
                <w:sz w:val="17"/>
              </w:rPr>
              <w:t>Role</w:t>
            </w:r>
          </w:p>
        </w:tc>
        <w:tc>
          <w:tcPr>
            <w:tcW w:type="dxa" w:w="2088"/>
            <w:shd w:val="clear" w:color="auto" w:fill="1F3B57"/>
          </w:tcPr>
          <w:p>
            <w:pPr>
              <w:spacing w:after="20" w:before="20"/>
            </w:pPr>
            <w:r/>
            <w:r>
              <w:rPr>
                <w:b/>
                <w:color w:val="FFFFFF"/>
                <w:sz w:val="17"/>
              </w:rPr>
              <w:t>Tensor / object</w:t>
            </w:r>
          </w:p>
        </w:tc>
        <w:tc>
          <w:tcPr>
            <w:tcW w:type="dxa" w:w="2232"/>
            <w:shd w:val="clear" w:color="auto" w:fill="1F3B57"/>
          </w:tcPr>
          <w:p>
            <w:pPr>
              <w:spacing w:after="20" w:before="20"/>
            </w:pPr>
            <w:r/>
            <w:r>
              <w:rPr>
                <w:b/>
                <w:color w:val="FFFFFF"/>
                <w:sz w:val="17"/>
              </w:rPr>
              <w:t>Shape (concrete)</w:t>
            </w:r>
          </w:p>
        </w:tc>
        <w:tc>
          <w:tcPr>
            <w:tcW w:type="dxa" w:w="4824"/>
            <w:shd w:val="clear" w:color="auto" w:fill="1F3B57"/>
          </w:tcPr>
          <w:p>
            <w:pPr>
              <w:spacing w:after="20" w:before="20"/>
            </w:pPr>
            <w:r/>
            <w:r>
              <w:rPr>
                <w:b/>
                <w:color w:val="FFFFFF"/>
                <w:sz w:val="17"/>
              </w:rPr>
              <w:t>Meaning</w:t>
            </w:r>
          </w:p>
        </w:tc>
      </w:tr>
      <w:tr>
        <w:tc>
          <w:tcPr>
            <w:tcW w:type="dxa" w:w="1080"/>
          </w:tcPr>
          <w:p>
            <w:pPr>
              <w:spacing w:after="20" w:before="20"/>
            </w:pPr>
            <w:r>
              <w:rPr>
                <w:sz w:val="17"/>
              </w:rPr>
            </w:r>
            <w:r>
              <w:rPr>
                <w:sz w:val="17"/>
              </w:rPr>
              <w:t>INPUT</w:t>
            </w:r>
          </w:p>
        </w:tc>
        <w:tc>
          <w:tcPr>
            <w:tcW w:type="dxa" w:w="2088"/>
          </w:tcPr>
          <w:p>
            <w:pPr>
              <w:spacing w:after="20" w:before="20"/>
            </w:pPr>
            <w:r/>
            <w:r>
              <w:rPr>
                <w:rFonts w:ascii="Consolas" w:hAnsi="Consolas"/>
                <w:sz w:val="16"/>
              </w:rPr>
              <w:t>H</w:t>
            </w:r>
          </w:p>
        </w:tc>
        <w:tc>
          <w:tcPr>
            <w:tcW w:type="dxa" w:w="2232"/>
          </w:tcPr>
          <w:p>
            <w:pPr>
              <w:spacing w:after="20" w:before="20"/>
            </w:pPr>
            <w:r/>
            <w:r>
              <w:rPr>
                <w:rFonts w:ascii="Consolas" w:hAnsi="Consolas"/>
                <w:sz w:val="16"/>
              </w:rPr>
              <w:t>(10, 128)</w:t>
            </w:r>
          </w:p>
        </w:tc>
        <w:tc>
          <w:tcPr>
            <w:tcW w:type="dxa" w:w="4824"/>
          </w:tcPr>
          <w:p>
            <w:pPr>
              <w:spacing w:after="20" w:before="20"/>
            </w:pPr>
            <w:r>
              <w:rPr>
                <w:sz w:val="17"/>
              </w:rPr>
            </w:r>
            <w:r>
              <w:rPr>
                <w:sz w:val="17"/>
              </w:rPr>
              <w:t>Per-asset temporal embeddings — one graph node per asset</w:t>
            </w:r>
          </w:p>
        </w:tc>
      </w:tr>
      <w:tr>
        <w:tc>
          <w:tcPr>
            <w:tcW w:type="dxa" w:w="1080"/>
            <w:shd w:val="clear" w:color="auto" w:fill="F2F5F8"/>
          </w:tcPr>
          <w:p>
            <w:pPr>
              <w:spacing w:after="20" w:before="20"/>
            </w:pPr>
            <w:r>
              <w:rPr>
                <w:sz w:val="17"/>
              </w:rPr>
            </w:r>
            <w:r>
              <w:rPr>
                <w:sz w:val="17"/>
              </w:rPr>
              <w:t>INPUT</w:t>
            </w:r>
          </w:p>
        </w:tc>
        <w:tc>
          <w:tcPr>
            <w:tcW w:type="dxa" w:w="2088"/>
            <w:shd w:val="clear" w:color="auto" w:fill="F2F5F8"/>
          </w:tcPr>
          <w:p>
            <w:pPr>
              <w:spacing w:after="20" w:before="20"/>
            </w:pPr>
            <w:r/>
            <w:r>
              <w:rPr>
                <w:rFonts w:ascii="Consolas" w:hAnsi="Consolas"/>
                <w:sz w:val="16"/>
              </w:rPr>
              <w:t>adj</w:t>
            </w:r>
          </w:p>
        </w:tc>
        <w:tc>
          <w:tcPr>
            <w:tcW w:type="dxa" w:w="2232"/>
            <w:shd w:val="clear" w:color="auto" w:fill="F2F5F8"/>
          </w:tcPr>
          <w:p>
            <w:pPr>
              <w:spacing w:after="20" w:before="20"/>
            </w:pPr>
            <w:r/>
            <w:r>
              <w:rPr>
                <w:rFonts w:ascii="Consolas" w:hAnsi="Consolas"/>
                <w:sz w:val="16"/>
              </w:rPr>
              <w:t>(10, 10)</w:t>
            </w:r>
          </w:p>
        </w:tc>
        <w:tc>
          <w:tcPr>
            <w:tcW w:type="dxa" w:w="4824"/>
            <w:shd w:val="clear" w:color="auto" w:fill="F2F5F8"/>
          </w:tcPr>
          <w:p>
            <w:pPr>
              <w:spacing w:after="20" w:before="20"/>
            </w:pPr>
            <w:r>
              <w:rPr>
                <w:sz w:val="17"/>
              </w:rPr>
            </w:r>
            <w:r>
              <w:rPr>
                <w:sz w:val="17"/>
              </w:rPr>
              <w:t>Adjacency matrix; built internally if not supplied</w:t>
            </w:r>
          </w:p>
        </w:tc>
      </w:tr>
      <w:tr>
        <w:tc>
          <w:tcPr>
            <w:tcW w:type="dxa" w:w="1080"/>
          </w:tcPr>
          <w:p>
            <w:pPr>
              <w:spacing w:after="20" w:before="20"/>
            </w:pPr>
            <w:r>
              <w:rPr>
                <w:sz w:val="17"/>
              </w:rPr>
            </w:r>
            <w:r>
              <w:rPr>
                <w:sz w:val="17"/>
              </w:rPr>
              <w:t>OUTPUT</w:t>
            </w:r>
          </w:p>
        </w:tc>
        <w:tc>
          <w:tcPr>
            <w:tcW w:type="dxa" w:w="2088"/>
          </w:tcPr>
          <w:p>
            <w:pPr>
              <w:spacing w:after="20" w:before="20"/>
            </w:pPr>
            <w:r/>
            <w:r>
              <w:rPr>
                <w:rFonts w:ascii="Consolas" w:hAnsi="Consolas"/>
                <w:sz w:val="16"/>
              </w:rPr>
              <w:t>node_embeddings</w:t>
            </w:r>
          </w:p>
        </w:tc>
        <w:tc>
          <w:tcPr>
            <w:tcW w:type="dxa" w:w="2232"/>
          </w:tcPr>
          <w:p>
            <w:pPr>
              <w:spacing w:after="20" w:before="20"/>
            </w:pPr>
            <w:r/>
            <w:r>
              <w:rPr>
                <w:rFonts w:ascii="Consolas" w:hAnsi="Consolas"/>
                <w:sz w:val="16"/>
              </w:rPr>
              <w:t>(10, 64)</w:t>
            </w:r>
          </w:p>
        </w:tc>
        <w:tc>
          <w:tcPr>
            <w:tcW w:type="dxa" w:w="4824"/>
          </w:tcPr>
          <w:p>
            <w:pPr>
              <w:spacing w:after="20" w:before="20"/>
            </w:pPr>
            <w:r>
              <w:rPr>
                <w:sz w:val="17"/>
              </w:rPr>
            </w:r>
            <w:r>
              <w:rPr>
                <w:sz w:val="17"/>
              </w:rPr>
              <w:t>Graph-refined per-asset embeddings — used downstream</w:t>
            </w:r>
          </w:p>
        </w:tc>
      </w:tr>
      <w:tr>
        <w:tc>
          <w:tcPr>
            <w:tcW w:type="dxa" w:w="1080"/>
            <w:shd w:val="clear" w:color="auto" w:fill="F2F5F8"/>
          </w:tcPr>
          <w:p>
            <w:pPr>
              <w:spacing w:after="20" w:before="20"/>
            </w:pPr>
            <w:r>
              <w:rPr>
                <w:sz w:val="17"/>
              </w:rPr>
            </w:r>
            <w:r>
              <w:rPr>
                <w:sz w:val="17"/>
              </w:rPr>
              <w:t>OUTPUT</w:t>
            </w:r>
          </w:p>
        </w:tc>
        <w:tc>
          <w:tcPr>
            <w:tcW w:type="dxa" w:w="2088"/>
            <w:shd w:val="clear" w:color="auto" w:fill="F2F5F8"/>
          </w:tcPr>
          <w:p>
            <w:pPr>
              <w:spacing w:after="20" w:before="20"/>
            </w:pPr>
            <w:r/>
            <w:r>
              <w:rPr>
                <w:rFonts w:ascii="Consolas" w:hAnsi="Consolas"/>
                <w:sz w:val="16"/>
              </w:rPr>
              <w:t>graph_embedding</w:t>
            </w:r>
          </w:p>
        </w:tc>
        <w:tc>
          <w:tcPr>
            <w:tcW w:type="dxa" w:w="2232"/>
            <w:shd w:val="clear" w:color="auto" w:fill="F2F5F8"/>
          </w:tcPr>
          <w:p>
            <w:pPr>
              <w:spacing w:after="20" w:before="20"/>
            </w:pPr>
            <w:r/>
            <w:r>
              <w:rPr>
                <w:rFonts w:ascii="Consolas" w:hAnsi="Consolas"/>
                <w:sz w:val="16"/>
              </w:rPr>
              <w:t>(64,)</w:t>
            </w:r>
          </w:p>
        </w:tc>
        <w:tc>
          <w:tcPr>
            <w:tcW w:type="dxa" w:w="4824"/>
            <w:shd w:val="clear" w:color="auto" w:fill="F2F5F8"/>
          </w:tcPr>
          <w:p>
            <w:pPr>
              <w:spacing w:after="20" w:before="20"/>
            </w:pPr>
            <w:r>
              <w:rPr>
                <w:sz w:val="17"/>
              </w:rPr>
            </w:r>
            <w:r>
              <w:rPr>
                <w:sz w:val="17"/>
              </w:rPr>
              <w:t>Mean-pooled graph readout — computed but not consumed further</w:t>
            </w:r>
          </w:p>
        </w:tc>
      </w:tr>
      <w:tr>
        <w:tc>
          <w:tcPr>
            <w:tcW w:type="dxa" w:w="1080"/>
          </w:tcPr>
          <w:p>
            <w:pPr>
              <w:spacing w:after="20" w:before="20"/>
            </w:pPr>
            <w:r>
              <w:rPr>
                <w:sz w:val="17"/>
              </w:rPr>
            </w:r>
            <w:r>
              <w:rPr>
                <w:sz w:val="17"/>
              </w:rPr>
              <w:t>OUTPUT</w:t>
            </w:r>
          </w:p>
        </w:tc>
        <w:tc>
          <w:tcPr>
            <w:tcW w:type="dxa" w:w="2088"/>
          </w:tcPr>
          <w:p>
            <w:pPr>
              <w:spacing w:after="20" w:before="20"/>
            </w:pPr>
            <w:r/>
            <w:r>
              <w:rPr>
                <w:rFonts w:ascii="Consolas" w:hAnsi="Consolas"/>
                <w:sz w:val="16"/>
              </w:rPr>
              <w:t>attn (per layer)</w:t>
            </w:r>
          </w:p>
        </w:tc>
        <w:tc>
          <w:tcPr>
            <w:tcW w:type="dxa" w:w="2232"/>
          </w:tcPr>
          <w:p>
            <w:pPr>
              <w:spacing w:after="20" w:before="20"/>
            </w:pPr>
            <w:r/>
            <w:r>
              <w:rPr>
                <w:rFonts w:ascii="Consolas" w:hAnsi="Consolas"/>
                <w:sz w:val="16"/>
              </w:rPr>
              <w:t>(2, 10, 10)</w:t>
            </w:r>
          </w:p>
        </w:tc>
        <w:tc>
          <w:tcPr>
            <w:tcW w:type="dxa" w:w="4824"/>
          </w:tcPr>
          <w:p>
            <w:pPr>
              <w:spacing w:after="20" w:before="20"/>
            </w:pPr>
            <w:r>
              <w:rPr>
                <w:sz w:val="17"/>
              </w:rPr>
            </w:r>
            <w:r>
              <w:rPr>
                <w:sz w:val="17"/>
              </w:rPr>
              <w:t xml:space="preserve">Asset-to-asset attention — </w:t>
            </w:r>
            <w:r>
              <w:rPr>
                <w:b/>
                <w:sz w:val="17"/>
              </w:rPr>
              <w:t>interpretability output</w:t>
            </w:r>
            <w:r>
              <w:rPr>
                <w:sz w:val="17"/>
              </w:rPr>
              <w:t>: a learned dynamic correlation structure</w:t>
            </w:r>
          </w:p>
        </w:tc>
      </w:tr>
    </w:tbl>
    <w:p>
      <w:pPr>
        <w:spacing w:after="40"/>
      </w:pPr>
    </w:p>
    <w:p>
      <w:r>
        <w:rPr>
          <w:b/>
          <w:i w:val="0"/>
          <w:sz w:val="22"/>
        </w:rPr>
        <w:t>Layer stack</w:t>
      </w:r>
    </w:p>
    <w:tbl>
      <w:tblPr>
        <w:tblStyle w:val="TableGrid"/>
        <w:tblW w:type="auto" w:w="0"/>
        <w:jc w:val="left"/>
        <w:tblLook w:firstColumn="1" w:firstRow="1" w:lastColumn="0" w:lastRow="0" w:noHBand="0" w:noVBand="1" w:val="04A0"/>
      </w:tblPr>
      <w:tblGrid>
        <w:gridCol w:w="3264"/>
        <w:gridCol w:w="3264"/>
        <w:gridCol w:w="3264"/>
      </w:tblGrid>
      <w:tr>
        <w:tc>
          <w:tcPr>
            <w:tcW w:type="dxa" w:w="1872"/>
            <w:shd w:val="clear" w:color="auto" w:fill="1F3B57"/>
          </w:tcPr>
          <w:p>
            <w:pPr>
              <w:spacing w:after="20" w:before="20"/>
            </w:pPr>
            <w:r/>
            <w:r>
              <w:rPr>
                <w:b/>
                <w:color w:val="FFFFFF"/>
                <w:sz w:val="17"/>
              </w:rPr>
              <w:t>Step</w:t>
            </w:r>
          </w:p>
        </w:tc>
        <w:tc>
          <w:tcPr>
            <w:tcW w:type="dxa" w:w="6336"/>
            <w:shd w:val="clear" w:color="auto" w:fill="1F3B57"/>
          </w:tcPr>
          <w:p>
            <w:pPr>
              <w:spacing w:after="20" w:before="20"/>
            </w:pPr>
            <w:r/>
            <w:r>
              <w:rPr>
                <w:b/>
                <w:color w:val="FFFFFF"/>
                <w:sz w:val="17"/>
              </w:rPr>
              <w:t>Operation</w:t>
            </w:r>
          </w:p>
        </w:tc>
        <w:tc>
          <w:tcPr>
            <w:tcW w:type="dxa" w:w="1872"/>
            <w:shd w:val="clear" w:color="auto" w:fill="1F3B57"/>
          </w:tcPr>
          <w:p>
            <w:pPr>
              <w:spacing w:after="20" w:before="20"/>
            </w:pPr>
            <w:r/>
            <w:r>
              <w:rPr>
                <w:b/>
                <w:color w:val="FFFFFF"/>
                <w:sz w:val="17"/>
              </w:rPr>
              <w:t>Shape out</w:t>
            </w:r>
          </w:p>
        </w:tc>
      </w:tr>
      <w:tr>
        <w:tc>
          <w:tcPr>
            <w:tcW w:type="dxa" w:w="1872"/>
          </w:tcPr>
          <w:p>
            <w:pPr>
              <w:spacing w:after="20" w:before="20"/>
            </w:pPr>
            <w:r>
              <w:rPr>
                <w:sz w:val="17"/>
              </w:rPr>
            </w:r>
            <w:r>
              <w:rPr>
                <w:sz w:val="17"/>
              </w:rPr>
              <w:t>Node projection</w:t>
            </w:r>
          </w:p>
        </w:tc>
        <w:tc>
          <w:tcPr>
            <w:tcW w:type="dxa" w:w="6336"/>
          </w:tcPr>
          <w:p>
            <w:pPr>
              <w:spacing w:after="20" w:before="20"/>
            </w:pPr>
            <w:r>
              <w:rPr>
                <w:sz w:val="17"/>
              </w:rPr>
            </w:r>
            <w:r>
              <w:rPr>
                <w:sz w:val="17"/>
              </w:rPr>
              <w:t>Linear 128 → 64</w:t>
            </w:r>
          </w:p>
        </w:tc>
        <w:tc>
          <w:tcPr>
            <w:tcW w:type="dxa" w:w="1872"/>
          </w:tcPr>
          <w:p>
            <w:pPr>
              <w:spacing w:after="20" w:before="20"/>
            </w:pPr>
            <w:r>
              <w:rPr>
                <w:sz w:val="17"/>
              </w:rPr>
            </w:r>
            <w:r>
              <w:rPr>
                <w:sz w:val="17"/>
              </w:rPr>
              <w:t>(10, 64)</w:t>
            </w:r>
          </w:p>
        </w:tc>
      </w:tr>
      <w:tr>
        <w:tc>
          <w:tcPr>
            <w:tcW w:type="dxa" w:w="1872"/>
            <w:shd w:val="clear" w:color="auto" w:fill="F2F5F8"/>
          </w:tcPr>
          <w:p>
            <w:pPr>
              <w:spacing w:after="20" w:before="20"/>
            </w:pPr>
            <w:r>
              <w:rPr>
                <w:sz w:val="17"/>
              </w:rPr>
            </w:r>
            <w:r>
              <w:rPr>
                <w:sz w:val="17"/>
              </w:rPr>
              <w:t>GAT layer 0</w:t>
            </w:r>
          </w:p>
        </w:tc>
        <w:tc>
          <w:tcPr>
            <w:tcW w:type="dxa" w:w="6336"/>
            <w:shd w:val="clear" w:color="auto" w:fill="F2F5F8"/>
          </w:tcPr>
          <w:p>
            <w:pPr>
              <w:spacing w:after="20" w:before="20"/>
            </w:pPr>
            <w:r>
              <w:rPr>
                <w:sz w:val="17"/>
              </w:rPr>
            </w:r>
            <w:r>
              <w:rPr>
                <w:sz w:val="17"/>
              </w:rPr>
              <w:t>2 heads × 64, outputs concatenated → ELU → LayerNorm → + residual</w:t>
            </w:r>
          </w:p>
        </w:tc>
        <w:tc>
          <w:tcPr>
            <w:tcW w:type="dxa" w:w="1872"/>
            <w:shd w:val="clear" w:color="auto" w:fill="F2F5F8"/>
          </w:tcPr>
          <w:p>
            <w:pPr>
              <w:spacing w:after="20" w:before="20"/>
            </w:pPr>
            <w:r>
              <w:rPr>
                <w:sz w:val="17"/>
              </w:rPr>
            </w:r>
            <w:r>
              <w:rPr>
                <w:sz w:val="17"/>
              </w:rPr>
              <w:t>(10, 128)</w:t>
            </w:r>
          </w:p>
        </w:tc>
      </w:tr>
      <w:tr>
        <w:tc>
          <w:tcPr>
            <w:tcW w:type="dxa" w:w="1872"/>
          </w:tcPr>
          <w:p>
            <w:pPr>
              <w:spacing w:after="20" w:before="20"/>
            </w:pPr>
            <w:r>
              <w:rPr>
                <w:sz w:val="17"/>
              </w:rPr>
            </w:r>
            <w:r>
              <w:rPr>
                <w:sz w:val="17"/>
              </w:rPr>
              <w:t>GAT layer 1</w:t>
            </w:r>
          </w:p>
        </w:tc>
        <w:tc>
          <w:tcPr>
            <w:tcW w:type="dxa" w:w="6336"/>
          </w:tcPr>
          <w:p>
            <w:pPr>
              <w:spacing w:after="20" w:before="20"/>
            </w:pPr>
            <w:r>
              <w:rPr>
                <w:sz w:val="17"/>
              </w:rPr>
            </w:r>
            <w:r>
              <w:rPr>
                <w:sz w:val="17"/>
              </w:rPr>
              <w:t>2 heads × 64, averaged → ELU → LayerNorm → + projected residual</w:t>
            </w:r>
          </w:p>
        </w:tc>
        <w:tc>
          <w:tcPr>
            <w:tcW w:type="dxa" w:w="1872"/>
          </w:tcPr>
          <w:p>
            <w:pPr>
              <w:spacing w:after="20" w:before="20"/>
            </w:pPr>
            <w:r>
              <w:rPr>
                <w:sz w:val="17"/>
              </w:rPr>
            </w:r>
            <w:r>
              <w:rPr>
                <w:sz w:val="17"/>
              </w:rPr>
              <w:t>(10, 64)</w:t>
            </w:r>
          </w:p>
        </w:tc>
      </w:tr>
    </w:tbl>
    <w:p>
      <w:pPr>
        <w:spacing w:after="40"/>
      </w:pPr>
    </w:p>
    <w:p>
      <w:r>
        <w:rPr>
          <w:b/>
          <w:i w:val="0"/>
          <w:sz w:val="22"/>
        </w:rPr>
        <w:t>Attention within one GAT layer</w:t>
      </w:r>
    </w:p>
    <w:p>
      <w:pPr>
        <w:spacing w:after="160" w:before="80" w:line="240" w:lineRule="auto"/>
        <w:ind w:left="144"/>
      </w:pPr>
      <w:r>
        <w:rPr>
          <w:rFonts w:ascii="Consolas" w:hAnsi="Consolas"/>
          <w:sz w:val="17"/>
        </w:rPr>
        <w:t>h_i        = W · x_i                                  # per-head linear transform</w:t>
        <w:br/>
        <w:t>e_ij       = LeakyReLU( a_src·h_i + a_dst·h_j )        # pairwise score</w:t>
        <w:br/>
        <w:t>e_ij       = −1e9  where adj_ij == 0                  # mask non-edges</w:t>
        <w:br/>
        <w:t>alpha_ij   = softmax_j( e_ij )                        # normalise over neighbours</w:t>
        <w:br/>
        <w:t>out_i      = Σ_j alpha_ij · h_j                       # weighted message passing</w:t>
      </w:r>
    </w:p>
    <w:p>
      <w:r>
        <w:rPr>
          <w:b/>
        </w:rPr>
        <w:t xml:space="preserve">Why the residual connections are essential: </w:t>
      </w:r>
      <w:r>
        <w:t>stacked GAT layers over a densely connected graph oversmooth. Near-uniform attention repeatedly averages node features together, so genuinely different assets collapse to numerically identical embeddings. The code documents the measurement: cross-node standard deviation fell from 0.54 at the input to ~0.03 after layer 0 and ~1e-9 after layer 1 without the residual path. Because concatenation changes the width (64 → 128), a plain shape-matched residual would never fire, so a projected residual is used.</w:t>
      </w:r>
    </w:p>
    <w:p>
      <w:r>
        <w:rPr>
          <w:b/>
        </w:rPr>
        <w:t xml:space="preserve">Current status of the "macro" part: </w:t>
      </w:r>
      <w:r>
        <w:rPr>
          <w:i/>
        </w:rPr>
        <w:t>`n_macro = 0` in this phase, so the graph has 10 asset nodes and no macroeconomic nodes. The class is written to accept macro nodes (interest rates, inflation, exchange rate) as additional graph nodes, and data/macroeconomic/ is empty and reserved for that extension. As it stands, the block models inter-asset structure only, and the name "Macro Graph Prior" describes the intended design rather than the current run.</w:t>
      </w:r>
    </w:p>
    <w:p>
      <w:pPr>
        <w:pStyle w:val="Heading2"/>
      </w:pPr>
      <w:r>
        <w:t>6.5 Block 5 — Fusion, pooling and the regime classifier</w:t>
      </w:r>
    </w:p>
    <w:p>
      <w:r>
        <w:rPr>
          <w:b w:val="0"/>
          <w:i w:val="0"/>
        </w:rPr>
        <w:t>Two views of each asset now exist: its own temporal history (H, 128-d) and what the rest of the sector implies about it (node_embeddings, 64-d). The fusion MLP combines them into a single latent state per asset.</w:t>
      </w:r>
    </w:p>
    <w:p>
      <w:pPr>
        <w:spacing w:after="160" w:before="80" w:line="240" w:lineRule="auto"/>
        <w:ind w:left="144"/>
      </w:pPr>
      <w:r>
        <w:rPr>
          <w:rFonts w:ascii="Consolas" w:hAnsi="Consolas"/>
          <w:sz w:val="17"/>
        </w:rPr>
        <w:t>fused    = concat(H, node_embeddings)              # (10, 192)</w:t>
        <w:br/>
        <w:t>h_asset  = Linear(192→128) → GELU → Dropout</w:t>
        <w:br/>
        <w:t xml:space="preserve">           → Linear(128→128) → LayerNorm              # (10, 128)   → to the ACTOR</w:t>
        <w:br/>
        <w:br/>
        <w:t>h_market = h_asset.mean(dim=assets)                   # (128,)      → to the CRITIC</w:t>
        <w:br/>
        <w:br/>
        <w:t>logits   = Linear(128→64) → GELU → Dropout → Linear(64→3)</w:t>
        <w:br/>
        <w:t>regime_probs = softmax( logits / temperature )         # (3,)</w:t>
        <w:br/>
        <w:t xml:space="preserve">               # temperature is a learnable scalar, clamped at ≥ 0.1</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512"/>
            <w:shd w:val="clear" w:color="auto" w:fill="1F3B57"/>
          </w:tcPr>
          <w:p>
            <w:pPr>
              <w:spacing w:after="20" w:before="20"/>
            </w:pPr>
            <w:r/>
            <w:r>
              <w:rPr>
                <w:b/>
                <w:color w:val="FFFFFF"/>
                <w:sz w:val="17"/>
              </w:rPr>
              <w:t>Output</w:t>
            </w:r>
          </w:p>
        </w:tc>
        <w:tc>
          <w:tcPr>
            <w:tcW w:type="dxa" w:w="1224"/>
            <w:shd w:val="clear" w:color="auto" w:fill="1F3B57"/>
          </w:tcPr>
          <w:p>
            <w:pPr>
              <w:spacing w:after="20" w:before="20"/>
            </w:pPr>
            <w:r/>
            <w:r>
              <w:rPr>
                <w:b/>
                <w:color w:val="FFFFFF"/>
                <w:sz w:val="17"/>
              </w:rPr>
              <w:t>Shape</w:t>
            </w:r>
          </w:p>
        </w:tc>
        <w:tc>
          <w:tcPr>
            <w:tcW w:type="dxa" w:w="2160"/>
            <w:shd w:val="clear" w:color="auto" w:fill="1F3B57"/>
          </w:tcPr>
          <w:p>
            <w:pPr>
              <w:spacing w:after="20" w:before="20"/>
            </w:pPr>
            <w:r/>
            <w:r>
              <w:rPr>
                <w:b/>
                <w:color w:val="FFFFFF"/>
                <w:sz w:val="17"/>
              </w:rPr>
              <w:t>Consumer</w:t>
            </w:r>
          </w:p>
        </w:tc>
        <w:tc>
          <w:tcPr>
            <w:tcW w:type="dxa" w:w="5328"/>
            <w:shd w:val="clear" w:color="auto" w:fill="1F3B57"/>
          </w:tcPr>
          <w:p>
            <w:pPr>
              <w:spacing w:after="20" w:before="20"/>
            </w:pPr>
            <w:r/>
            <w:r>
              <w:rPr>
                <w:b/>
                <w:color w:val="FFFFFF"/>
                <w:sz w:val="17"/>
              </w:rPr>
              <w:t>Why this granularity</w:t>
            </w:r>
          </w:p>
        </w:tc>
      </w:tr>
      <w:tr>
        <w:tc>
          <w:tcPr>
            <w:tcW w:type="dxa" w:w="1512"/>
          </w:tcPr>
          <w:p>
            <w:pPr>
              <w:spacing w:after="20" w:before="20"/>
            </w:pPr>
            <w:r>
              <w:rPr>
                <w:sz w:val="17"/>
              </w:rPr>
            </w:r>
            <w:r>
              <w:rPr>
                <w:rFonts w:ascii="Consolas" w:hAnsi="Consolas"/>
                <w:sz w:val="17"/>
              </w:rPr>
              <w:t>h_asset</w:t>
            </w:r>
          </w:p>
        </w:tc>
        <w:tc>
          <w:tcPr>
            <w:tcW w:type="dxa" w:w="1224"/>
          </w:tcPr>
          <w:p>
            <w:pPr>
              <w:spacing w:after="20" w:before="20"/>
            </w:pPr>
            <w:r>
              <w:rPr>
                <w:sz w:val="17"/>
              </w:rPr>
            </w:r>
            <w:r>
              <w:rPr>
                <w:sz w:val="17"/>
              </w:rPr>
              <w:t>(10, 128)</w:t>
            </w:r>
          </w:p>
        </w:tc>
        <w:tc>
          <w:tcPr>
            <w:tcW w:type="dxa" w:w="2160"/>
          </w:tcPr>
          <w:p>
            <w:pPr>
              <w:spacing w:after="20" w:before="20"/>
            </w:pPr>
            <w:r>
              <w:rPr>
                <w:sz w:val="17"/>
              </w:rPr>
            </w:r>
            <w:r>
              <w:rPr>
                <w:sz w:val="17"/>
              </w:rPr>
              <w:t>Actor</w:t>
            </w:r>
          </w:p>
        </w:tc>
        <w:tc>
          <w:tcPr>
            <w:tcW w:type="dxa" w:w="5328"/>
          </w:tcPr>
          <w:p>
            <w:pPr>
              <w:spacing w:after="20" w:before="20"/>
            </w:pPr>
            <w:r>
              <w:rPr>
                <w:sz w:val="17"/>
              </w:rPr>
            </w:r>
            <w:r>
              <w:rPr>
                <w:sz w:val="17"/>
              </w:rPr>
              <w:t>The actor must decide a weight per asset, so it needs each asset's own evidence</w:t>
            </w:r>
          </w:p>
        </w:tc>
      </w:tr>
      <w:tr>
        <w:tc>
          <w:tcPr>
            <w:tcW w:type="dxa" w:w="1512"/>
            <w:shd w:val="clear" w:color="auto" w:fill="F2F5F8"/>
          </w:tcPr>
          <w:p>
            <w:pPr>
              <w:spacing w:after="20" w:before="20"/>
            </w:pPr>
            <w:r>
              <w:rPr>
                <w:sz w:val="17"/>
              </w:rPr>
            </w:r>
            <w:r>
              <w:rPr>
                <w:rFonts w:ascii="Consolas" w:hAnsi="Consolas"/>
                <w:sz w:val="17"/>
              </w:rPr>
              <w:t>h_market</w:t>
            </w:r>
          </w:p>
        </w:tc>
        <w:tc>
          <w:tcPr>
            <w:tcW w:type="dxa" w:w="1224"/>
            <w:shd w:val="clear" w:color="auto" w:fill="F2F5F8"/>
          </w:tcPr>
          <w:p>
            <w:pPr>
              <w:spacing w:after="20" w:before="20"/>
            </w:pPr>
            <w:r>
              <w:rPr>
                <w:sz w:val="17"/>
              </w:rPr>
            </w:r>
            <w:r>
              <w:rPr>
                <w:sz w:val="17"/>
              </w:rPr>
              <w:t>(128,)</w:t>
            </w:r>
          </w:p>
        </w:tc>
        <w:tc>
          <w:tcPr>
            <w:tcW w:type="dxa" w:w="2160"/>
            <w:shd w:val="clear" w:color="auto" w:fill="F2F5F8"/>
          </w:tcPr>
          <w:p>
            <w:pPr>
              <w:spacing w:after="20" w:before="20"/>
            </w:pPr>
            <w:r>
              <w:rPr>
                <w:sz w:val="17"/>
              </w:rPr>
            </w:r>
            <w:r>
              <w:rPr>
                <w:sz w:val="17"/>
              </w:rPr>
              <w:t>Critic + regime classifier</w:t>
            </w:r>
          </w:p>
        </w:tc>
        <w:tc>
          <w:tcPr>
            <w:tcW w:type="dxa" w:w="5328"/>
            <w:shd w:val="clear" w:color="auto" w:fill="F2F5F8"/>
          </w:tcPr>
          <w:p>
            <w:pPr>
              <w:spacing w:after="20" w:before="20"/>
            </w:pPr>
            <w:r>
              <w:rPr>
                <w:sz w:val="17"/>
              </w:rPr>
            </w:r>
            <w:r>
              <w:rPr>
                <w:sz w:val="17"/>
              </w:rPr>
              <w:t>V(s) is a single scalar and Bull/Bear/Sideways is a market-level concept, so both need one pooled vector</w:t>
            </w:r>
          </w:p>
        </w:tc>
      </w:tr>
      <w:tr>
        <w:tc>
          <w:tcPr>
            <w:tcW w:type="dxa" w:w="1512"/>
          </w:tcPr>
          <w:p>
            <w:pPr>
              <w:spacing w:after="20" w:before="20"/>
            </w:pPr>
            <w:r>
              <w:rPr>
                <w:sz w:val="17"/>
              </w:rPr>
            </w:r>
            <w:r>
              <w:rPr>
                <w:rFonts w:ascii="Consolas" w:hAnsi="Consolas"/>
                <w:sz w:val="17"/>
              </w:rPr>
              <w:t>regime_probs</w:t>
            </w:r>
          </w:p>
        </w:tc>
        <w:tc>
          <w:tcPr>
            <w:tcW w:type="dxa" w:w="1224"/>
          </w:tcPr>
          <w:p>
            <w:pPr>
              <w:spacing w:after="20" w:before="20"/>
            </w:pPr>
            <w:r>
              <w:rPr>
                <w:sz w:val="17"/>
              </w:rPr>
            </w:r>
            <w:r>
              <w:rPr>
                <w:sz w:val="17"/>
              </w:rPr>
              <w:t>(3,)</w:t>
            </w:r>
          </w:p>
        </w:tc>
        <w:tc>
          <w:tcPr>
            <w:tcW w:type="dxa" w:w="2160"/>
          </w:tcPr>
          <w:p>
            <w:pPr>
              <w:spacing w:after="20" w:before="20"/>
            </w:pPr>
            <w:r>
              <w:rPr>
                <w:sz w:val="17"/>
              </w:rPr>
            </w:r>
            <w:r>
              <w:rPr>
                <w:sz w:val="17"/>
              </w:rPr>
              <w:t>Actor and critic (conditioning)</w:t>
            </w:r>
          </w:p>
        </w:tc>
        <w:tc>
          <w:tcPr>
            <w:tcW w:type="dxa" w:w="5328"/>
          </w:tcPr>
          <w:p>
            <w:pPr>
              <w:spacing w:after="20" w:before="20"/>
            </w:pPr>
            <w:r>
              <w:rPr>
                <w:sz w:val="17"/>
              </w:rPr>
            </w:r>
            <w:r>
              <w:rPr>
                <w:sz w:val="17"/>
              </w:rPr>
              <w:t>A soft distribution, not a hard label — it stays differentiable and can express "60% bull, 40% sideways" during a transition</w:t>
            </w:r>
          </w:p>
        </w:tc>
      </w:tr>
    </w:tbl>
    <w:p>
      <w:pPr>
        <w:spacing w:after="40"/>
      </w:pPr>
    </w:p>
    <w:p>
      <w:r>
        <w:rPr>
          <w:b/>
        </w:rPr>
        <w:t xml:space="preserve">On the learnable temperature: </w:t>
      </w:r>
      <w:r>
        <w:t>a low temperature sharpens regime_probs towards a one-hot label; a high one keeps it diffuse. Because it is a parameter, the model chooses its own regime confidence rather than having it imposed. The training loop logs the entropy of regime_probs (`rollout/regime_entropy` in TensorBoard), which is the natural diagnostic for whether the encoder is actually separating regimes or has collapsed to a constant distribution.</w:t>
      </w:r>
    </w:p>
    <w:p>
      <w:r>
        <w:br w:type="page"/>
      </w:r>
    </w:p>
    <w:p>
      <w:pPr>
        <w:pStyle w:val="Heading1"/>
      </w:pPr>
      <w:r>
        <w:t>7. Stage 6 — Actor Network (Policy π)</w:t>
      </w:r>
    </w:p>
    <w:p>
      <w:r>
        <w:rPr>
          <w:b w:val="0"/>
          <w:i/>
        </w:rPr>
        <w:t>Module: src/models/actor.py — ActorNetwork</w:t>
      </w:r>
    </w:p>
    <w:p>
      <w:r>
        <w:rPr>
          <w:b w:val="0"/>
          <w:i w:val="0"/>
        </w:rPr>
        <w:t>The actor turns latent states into a portfolio. Crucially it is a per-asset network: the same small MLP is applied to each of the 10 asset embeddings and emits one number per asset. It is not a monolithic head that reads a flat vector and prints 10 weights. This means the parameter count is independent of the number of assets, and the learned rule is transferable across assets.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080"/>
            <w:shd w:val="clear" w:color="auto" w:fill="1F3B57"/>
          </w:tcPr>
          <w:p>
            <w:pPr>
              <w:spacing w:after="20" w:before="20"/>
            </w:pPr>
            <w:r/>
            <w:r>
              <w:rPr>
                <w:b/>
                <w:color w:val="FFFFFF"/>
                <w:sz w:val="17"/>
              </w:rPr>
              <w:t>Role</w:t>
            </w:r>
          </w:p>
        </w:tc>
        <w:tc>
          <w:tcPr>
            <w:tcW w:type="dxa" w:w="2088"/>
            <w:shd w:val="clear" w:color="auto" w:fill="1F3B57"/>
          </w:tcPr>
          <w:p>
            <w:pPr>
              <w:spacing w:after="20" w:before="20"/>
            </w:pPr>
            <w:r/>
            <w:r>
              <w:rPr>
                <w:b/>
                <w:color w:val="FFFFFF"/>
                <w:sz w:val="17"/>
              </w:rPr>
              <w:t>Tensor / object</w:t>
            </w:r>
          </w:p>
        </w:tc>
        <w:tc>
          <w:tcPr>
            <w:tcW w:type="dxa" w:w="2232"/>
            <w:shd w:val="clear" w:color="auto" w:fill="1F3B57"/>
          </w:tcPr>
          <w:p>
            <w:pPr>
              <w:spacing w:after="20" w:before="20"/>
            </w:pPr>
            <w:r/>
            <w:r>
              <w:rPr>
                <w:b/>
                <w:color w:val="FFFFFF"/>
                <w:sz w:val="17"/>
              </w:rPr>
              <w:t>Shape (concrete)</w:t>
            </w:r>
          </w:p>
        </w:tc>
        <w:tc>
          <w:tcPr>
            <w:tcW w:type="dxa" w:w="4824"/>
            <w:shd w:val="clear" w:color="auto" w:fill="1F3B57"/>
          </w:tcPr>
          <w:p>
            <w:pPr>
              <w:spacing w:after="20" w:before="20"/>
            </w:pPr>
            <w:r/>
            <w:r>
              <w:rPr>
                <w:b/>
                <w:color w:val="FFFFFF"/>
                <w:sz w:val="17"/>
              </w:rPr>
              <w:t>Meaning</w:t>
            </w:r>
          </w:p>
        </w:tc>
      </w:tr>
      <w:tr>
        <w:tc>
          <w:tcPr>
            <w:tcW w:type="dxa" w:w="1080"/>
          </w:tcPr>
          <w:p>
            <w:pPr>
              <w:spacing w:after="20" w:before="20"/>
            </w:pPr>
            <w:r>
              <w:rPr>
                <w:sz w:val="17"/>
              </w:rPr>
            </w:r>
            <w:r>
              <w:rPr>
                <w:sz w:val="17"/>
              </w:rPr>
              <w:t>INPUT</w:t>
            </w:r>
          </w:p>
        </w:tc>
        <w:tc>
          <w:tcPr>
            <w:tcW w:type="dxa" w:w="2088"/>
          </w:tcPr>
          <w:p>
            <w:pPr>
              <w:spacing w:after="20" w:before="20"/>
            </w:pPr>
            <w:r/>
            <w:r>
              <w:rPr>
                <w:rFonts w:ascii="Consolas" w:hAnsi="Consolas"/>
                <w:sz w:val="16"/>
              </w:rPr>
              <w:t>h_asset</w:t>
            </w:r>
          </w:p>
        </w:tc>
        <w:tc>
          <w:tcPr>
            <w:tcW w:type="dxa" w:w="2232"/>
          </w:tcPr>
          <w:p>
            <w:pPr>
              <w:spacing w:after="20" w:before="20"/>
            </w:pPr>
            <w:r/>
            <w:r>
              <w:rPr>
                <w:rFonts w:ascii="Consolas" w:hAnsi="Consolas"/>
                <w:sz w:val="16"/>
              </w:rPr>
              <w:t>(B, 10, 128)</w:t>
            </w:r>
          </w:p>
        </w:tc>
        <w:tc>
          <w:tcPr>
            <w:tcW w:type="dxa" w:w="4824"/>
          </w:tcPr>
          <w:p>
            <w:pPr>
              <w:spacing w:after="20" w:before="20"/>
            </w:pPr>
            <w:r>
              <w:rPr>
                <w:sz w:val="17"/>
              </w:rPr>
            </w:r>
            <w:r>
              <w:rPr>
                <w:sz w:val="17"/>
              </w:rPr>
              <w:t>Per-asset latent state from the encoder</w:t>
            </w:r>
          </w:p>
        </w:tc>
      </w:tr>
      <w:tr>
        <w:tc>
          <w:tcPr>
            <w:tcW w:type="dxa" w:w="1080"/>
            <w:shd w:val="clear" w:color="auto" w:fill="F2F5F8"/>
          </w:tcPr>
          <w:p>
            <w:pPr>
              <w:spacing w:after="20" w:before="20"/>
            </w:pPr>
            <w:r>
              <w:rPr>
                <w:sz w:val="17"/>
              </w:rPr>
            </w:r>
            <w:r>
              <w:rPr>
                <w:sz w:val="17"/>
              </w:rPr>
              <w:t>INPUT</w:t>
            </w:r>
          </w:p>
        </w:tc>
        <w:tc>
          <w:tcPr>
            <w:tcW w:type="dxa" w:w="2088"/>
            <w:shd w:val="clear" w:color="auto" w:fill="F2F5F8"/>
          </w:tcPr>
          <w:p>
            <w:pPr>
              <w:spacing w:after="20" w:before="20"/>
            </w:pPr>
            <w:r/>
            <w:r>
              <w:rPr>
                <w:rFonts w:ascii="Consolas" w:hAnsi="Consolas"/>
                <w:sz w:val="16"/>
              </w:rPr>
              <w:t>regime_probs</w:t>
            </w:r>
          </w:p>
        </w:tc>
        <w:tc>
          <w:tcPr>
            <w:tcW w:type="dxa" w:w="2232"/>
            <w:shd w:val="clear" w:color="auto" w:fill="F2F5F8"/>
          </w:tcPr>
          <w:p>
            <w:pPr>
              <w:spacing w:after="20" w:before="20"/>
            </w:pPr>
            <w:r/>
            <w:r>
              <w:rPr>
                <w:rFonts w:ascii="Consolas" w:hAnsi="Consolas"/>
                <w:sz w:val="16"/>
              </w:rPr>
              <w:t>(B, 3)</w:t>
            </w:r>
          </w:p>
        </w:tc>
        <w:tc>
          <w:tcPr>
            <w:tcW w:type="dxa" w:w="4824"/>
            <w:shd w:val="clear" w:color="auto" w:fill="F2F5F8"/>
          </w:tcPr>
          <w:p>
            <w:pPr>
              <w:spacing w:after="20" w:before="20"/>
            </w:pPr>
            <w:r>
              <w:rPr>
                <w:sz w:val="17"/>
              </w:rPr>
            </w:r>
            <w:r>
              <w:rPr>
                <w:sz w:val="17"/>
              </w:rPr>
              <w:t>Market-level regime distribution</w:t>
            </w:r>
          </w:p>
        </w:tc>
      </w:tr>
      <w:tr>
        <w:tc>
          <w:tcPr>
            <w:tcW w:type="dxa" w:w="1080"/>
          </w:tcPr>
          <w:p>
            <w:pPr>
              <w:spacing w:after="20" w:before="20"/>
            </w:pPr>
            <w:r>
              <w:rPr>
                <w:sz w:val="17"/>
              </w:rPr>
            </w:r>
            <w:r>
              <w:rPr>
                <w:sz w:val="17"/>
              </w:rPr>
              <w:t>OUTPUT</w:t>
            </w:r>
          </w:p>
        </w:tc>
        <w:tc>
          <w:tcPr>
            <w:tcW w:type="dxa" w:w="2088"/>
          </w:tcPr>
          <w:p>
            <w:pPr>
              <w:spacing w:after="20" w:before="20"/>
            </w:pPr>
            <w:r/>
            <w:r>
              <w:rPr>
                <w:rFonts w:ascii="Consolas" w:hAnsi="Consolas"/>
                <w:sz w:val="16"/>
              </w:rPr>
              <w:t>weights</w:t>
            </w:r>
          </w:p>
        </w:tc>
        <w:tc>
          <w:tcPr>
            <w:tcW w:type="dxa" w:w="2232"/>
          </w:tcPr>
          <w:p>
            <w:pPr>
              <w:spacing w:after="20" w:before="20"/>
            </w:pPr>
            <w:r/>
            <w:r>
              <w:rPr>
                <w:rFonts w:ascii="Consolas" w:hAnsi="Consolas"/>
                <w:sz w:val="16"/>
              </w:rPr>
              <w:t>(B, 10)</w:t>
            </w:r>
          </w:p>
        </w:tc>
        <w:tc>
          <w:tcPr>
            <w:tcW w:type="dxa" w:w="4824"/>
          </w:tcPr>
          <w:p>
            <w:pPr>
              <w:spacing w:after="20" w:before="20"/>
            </w:pPr>
            <w:r>
              <w:rPr>
                <w:sz w:val="17"/>
              </w:rPr>
            </w:r>
            <w:r>
              <w:rPr>
                <w:sz w:val="17"/>
              </w:rPr>
              <w:t xml:space="preserve">Portfolio allocation — </w:t>
            </w:r>
            <w:r>
              <w:rPr>
                <w:b/>
                <w:sz w:val="17"/>
              </w:rPr>
              <w:t>this goes to the environment</w:t>
            </w:r>
          </w:p>
        </w:tc>
      </w:tr>
      <w:tr>
        <w:tc>
          <w:tcPr>
            <w:tcW w:type="dxa" w:w="1080"/>
            <w:shd w:val="clear" w:color="auto" w:fill="F2F5F8"/>
          </w:tcPr>
          <w:p>
            <w:pPr>
              <w:spacing w:after="20" w:before="20"/>
            </w:pPr>
            <w:r>
              <w:rPr>
                <w:sz w:val="17"/>
              </w:rPr>
            </w:r>
            <w:r>
              <w:rPr>
                <w:sz w:val="17"/>
              </w:rPr>
              <w:t>OUTPUT</w:t>
            </w:r>
          </w:p>
        </w:tc>
        <w:tc>
          <w:tcPr>
            <w:tcW w:type="dxa" w:w="2088"/>
            <w:shd w:val="clear" w:color="auto" w:fill="F2F5F8"/>
          </w:tcPr>
          <w:p>
            <w:pPr>
              <w:spacing w:after="20" w:before="20"/>
            </w:pPr>
            <w:r/>
            <w:r>
              <w:rPr>
                <w:rFonts w:ascii="Consolas" w:hAnsi="Consolas"/>
                <w:sz w:val="16"/>
              </w:rPr>
              <w:t>raw_action</w:t>
            </w:r>
          </w:p>
        </w:tc>
        <w:tc>
          <w:tcPr>
            <w:tcW w:type="dxa" w:w="2232"/>
            <w:shd w:val="clear" w:color="auto" w:fill="F2F5F8"/>
          </w:tcPr>
          <w:p>
            <w:pPr>
              <w:spacing w:after="20" w:before="20"/>
            </w:pPr>
            <w:r/>
            <w:r>
              <w:rPr>
                <w:rFonts w:ascii="Consolas" w:hAnsi="Consolas"/>
                <w:sz w:val="16"/>
              </w:rPr>
              <w:t>(B, 10)</w:t>
            </w:r>
          </w:p>
        </w:tc>
        <w:tc>
          <w:tcPr>
            <w:tcW w:type="dxa" w:w="4824"/>
            <w:shd w:val="clear" w:color="auto" w:fill="F2F5F8"/>
          </w:tcPr>
          <w:p>
            <w:pPr>
              <w:spacing w:after="20" w:before="20"/>
            </w:pPr>
            <w:r>
              <w:rPr>
                <w:sz w:val="17"/>
              </w:rPr>
            </w:r>
            <w:r>
              <w:rPr>
                <w:sz w:val="17"/>
              </w:rPr>
              <w:t xml:space="preserve">The pre-squash Gaussian sample — </w:t>
            </w:r>
            <w:r>
              <w:rPr>
                <w:b/>
                <w:sz w:val="17"/>
              </w:rPr>
              <w:t>this is what PPO stores and re-evaluates</w:t>
            </w:r>
          </w:p>
        </w:tc>
      </w:tr>
      <w:tr>
        <w:tc>
          <w:tcPr>
            <w:tcW w:type="dxa" w:w="1080"/>
          </w:tcPr>
          <w:p>
            <w:pPr>
              <w:spacing w:after="20" w:before="20"/>
            </w:pPr>
            <w:r>
              <w:rPr>
                <w:sz w:val="17"/>
              </w:rPr>
            </w:r>
            <w:r>
              <w:rPr>
                <w:sz w:val="17"/>
              </w:rPr>
              <w:t>OUTPUT</w:t>
            </w:r>
          </w:p>
        </w:tc>
        <w:tc>
          <w:tcPr>
            <w:tcW w:type="dxa" w:w="2088"/>
          </w:tcPr>
          <w:p>
            <w:pPr>
              <w:spacing w:after="20" w:before="20"/>
            </w:pPr>
            <w:r/>
            <w:r>
              <w:rPr>
                <w:rFonts w:ascii="Consolas" w:hAnsi="Consolas"/>
                <w:sz w:val="16"/>
              </w:rPr>
              <w:t>log_prob</w:t>
            </w:r>
          </w:p>
        </w:tc>
        <w:tc>
          <w:tcPr>
            <w:tcW w:type="dxa" w:w="2232"/>
          </w:tcPr>
          <w:p>
            <w:pPr>
              <w:spacing w:after="20" w:before="20"/>
            </w:pPr>
            <w:r/>
            <w:r>
              <w:rPr>
                <w:rFonts w:ascii="Consolas" w:hAnsi="Consolas"/>
                <w:sz w:val="16"/>
              </w:rPr>
              <w:t>(B,)</w:t>
            </w:r>
          </w:p>
        </w:tc>
        <w:tc>
          <w:tcPr>
            <w:tcW w:type="dxa" w:w="4824"/>
          </w:tcPr>
          <w:p>
            <w:pPr>
              <w:spacing w:after="20" w:before="20"/>
            </w:pPr>
            <w:r>
              <w:rPr>
                <w:sz w:val="17"/>
              </w:rPr>
            </w:r>
            <w:r>
              <w:rPr>
                <w:sz w:val="17"/>
              </w:rPr>
              <w:t>log π(raw_action | s), summed over assets</w:t>
            </w:r>
          </w:p>
        </w:tc>
      </w:tr>
      <w:tr>
        <w:tc>
          <w:tcPr>
            <w:tcW w:type="dxa" w:w="1080"/>
            <w:shd w:val="clear" w:color="auto" w:fill="F2F5F8"/>
          </w:tcPr>
          <w:p>
            <w:pPr>
              <w:spacing w:after="20" w:before="20"/>
            </w:pPr>
            <w:r>
              <w:rPr>
                <w:sz w:val="17"/>
              </w:rPr>
            </w:r>
            <w:r>
              <w:rPr>
                <w:sz w:val="17"/>
              </w:rPr>
              <w:t>OUTPUT</w:t>
            </w:r>
          </w:p>
        </w:tc>
        <w:tc>
          <w:tcPr>
            <w:tcW w:type="dxa" w:w="2088"/>
            <w:shd w:val="clear" w:color="auto" w:fill="F2F5F8"/>
          </w:tcPr>
          <w:p>
            <w:pPr>
              <w:spacing w:after="20" w:before="20"/>
            </w:pPr>
            <w:r/>
            <w:r>
              <w:rPr>
                <w:rFonts w:ascii="Consolas" w:hAnsi="Consolas"/>
                <w:sz w:val="16"/>
              </w:rPr>
              <w:t>entropy</w:t>
            </w:r>
          </w:p>
        </w:tc>
        <w:tc>
          <w:tcPr>
            <w:tcW w:type="dxa" w:w="2232"/>
            <w:shd w:val="clear" w:color="auto" w:fill="F2F5F8"/>
          </w:tcPr>
          <w:p>
            <w:pPr>
              <w:spacing w:after="20" w:before="20"/>
            </w:pPr>
            <w:r/>
            <w:r>
              <w:rPr>
                <w:rFonts w:ascii="Consolas" w:hAnsi="Consolas"/>
                <w:sz w:val="16"/>
              </w:rPr>
              <w:t>(B,)</w:t>
            </w:r>
          </w:p>
        </w:tc>
        <w:tc>
          <w:tcPr>
            <w:tcW w:type="dxa" w:w="4824"/>
            <w:shd w:val="clear" w:color="auto" w:fill="F2F5F8"/>
          </w:tcPr>
          <w:p>
            <w:pPr>
              <w:spacing w:after="20" w:before="20"/>
            </w:pPr>
            <w:r>
              <w:rPr>
                <w:sz w:val="17"/>
              </w:rPr>
            </w:r>
            <w:r>
              <w:rPr>
                <w:sz w:val="17"/>
              </w:rPr>
              <w:t>Policy entropy — drives the exploration bonus</w:t>
            </w:r>
          </w:p>
        </w:tc>
      </w:tr>
    </w:tbl>
    <w:p>
      <w:pPr>
        <w:spacing w:after="40"/>
      </w:pPr>
    </w:p>
    <w:p>
      <w:r>
        <w:rPr>
          <w:b/>
          <w:i w:val="0"/>
          <w:sz w:val="22"/>
        </w:rPr>
        <w:t>Forward pass</w:t>
      </w:r>
    </w:p>
    <w:p>
      <w:pPr>
        <w:spacing w:after="160" w:before="80" w:line="240" w:lineRule="auto"/>
        <w:ind w:left="144"/>
      </w:pPr>
      <w:r>
        <w:rPr>
          <w:rFonts w:ascii="Consolas" w:hAnsi="Consolas"/>
          <w:sz w:val="17"/>
        </w:rPr>
        <w:t>features = feature_net(h_asset)                     # 128→256→128, shared across assets</w:t>
        <w:br/>
        <w:t xml:space="preserve">                                                     # Linear+LayerNorm+ReLU+Dropout ×2</w:t>
        <w:br/>
        <w:t>features = features + regime_embed(regime_probs)     # broadcast market regime to all 10</w:t>
        <w:br/>
        <w:t>raw      = mean_head(features).squeeze(-1)           # Linear 128→1  →  (B, 10)</w:t>
        <w:br/>
        <w:t>mean     = 5.0 * tanh(raw / 5.0)                     # soft bound, keeps the gradient alive</w:t>
        <w:br/>
        <w:br/>
        <w:t>std      = exp(log_std)                              # learnable, one per asset, init e^-0.5</w:t>
        <w:br/>
        <w:t>dist     = Normal(mean, std)</w:t>
        <w:br/>
        <w:t>raw_action = dist.rsample()        # training: explore</w:t>
        <w:br/>
        <w:t xml:space="preserve">           = mean                  # evaluation: deterministic</w:t>
        <w:br/>
        <w:t>log_prob   = dist.log_prob(raw_action).sum(-1)</w:t>
        <w:br/>
        <w:br/>
        <w:t>weights    = softmax(raw_action)   # long-only: non-negative, sums to 1</w:t>
      </w:r>
    </w:p>
    <w:p>
      <w:r>
        <w:rPr>
          <w:b/>
          <w:i w:val="0"/>
          <w:sz w:val="22"/>
        </w:rPr>
        <w:t>Design decisions worth explaining</w:t>
      </w:r>
    </w:p>
    <w:tbl>
      <w:tblPr>
        <w:tblStyle w:val="TableGrid"/>
        <w:tblW w:type="auto" w:w="0"/>
        <w:jc w:val="left"/>
        <w:tblLook w:firstColumn="1" w:firstRow="1" w:lastColumn="0" w:lastRow="0" w:noHBand="0" w:noVBand="1" w:val="04A0"/>
      </w:tblPr>
      <w:tblGrid>
        <w:gridCol w:w="4896"/>
        <w:gridCol w:w="4896"/>
      </w:tblGrid>
      <w:tr>
        <w:tc>
          <w:tcPr>
            <w:tcW w:type="dxa" w:w="3168"/>
            <w:shd w:val="clear" w:color="auto" w:fill="1F3B57"/>
          </w:tcPr>
          <w:p>
            <w:pPr>
              <w:spacing w:after="20" w:before="20"/>
            </w:pPr>
            <w:r/>
            <w:r>
              <w:rPr>
                <w:b/>
                <w:color w:val="FFFFFF"/>
                <w:sz w:val="17"/>
              </w:rPr>
              <w:t>Decision</w:t>
            </w:r>
          </w:p>
        </w:tc>
        <w:tc>
          <w:tcPr>
            <w:tcW w:type="dxa" w:w="6912"/>
            <w:shd w:val="clear" w:color="auto" w:fill="1F3B57"/>
          </w:tcPr>
          <w:p>
            <w:pPr>
              <w:spacing w:after="20" w:before="20"/>
            </w:pPr>
            <w:r/>
            <w:r>
              <w:rPr>
                <w:b/>
                <w:color w:val="FFFFFF"/>
                <w:sz w:val="17"/>
              </w:rPr>
              <w:t>Rationale</w:t>
            </w:r>
          </w:p>
        </w:tc>
      </w:tr>
      <w:tr>
        <w:tc>
          <w:tcPr>
            <w:tcW w:type="dxa" w:w="3168"/>
          </w:tcPr>
          <w:p>
            <w:pPr>
              <w:spacing w:after="20" w:before="20"/>
            </w:pPr>
            <w:r>
              <w:rPr>
                <w:sz w:val="17"/>
              </w:rPr>
            </w:r>
            <w:r>
              <w:rPr>
                <w:b/>
                <w:sz w:val="17"/>
              </w:rPr>
              <w:t>Gaussian policy over a continuous action space</w:t>
            </w:r>
          </w:p>
        </w:tc>
        <w:tc>
          <w:tcPr>
            <w:tcW w:type="dxa" w:w="6912"/>
          </w:tcPr>
          <w:p>
            <w:pPr>
              <w:spacing w:after="20" w:before="20"/>
            </w:pPr>
            <w:r>
              <w:rPr>
                <w:sz w:val="17"/>
              </w:rPr>
            </w:r>
            <w:r>
              <w:rPr>
                <w:sz w:val="17"/>
              </w:rPr>
              <w:t>Portfolio weights are continuous. PPO needs a density to form the importance ratio, so the policy samples in an unbounded raw space and the constraint is applied afterwards</w:t>
            </w:r>
          </w:p>
        </w:tc>
      </w:tr>
      <w:tr>
        <w:tc>
          <w:tcPr>
            <w:tcW w:type="dxa" w:w="3168"/>
            <w:shd w:val="clear" w:color="auto" w:fill="F2F5F8"/>
          </w:tcPr>
          <w:p>
            <w:pPr>
              <w:spacing w:after="20" w:before="20"/>
            </w:pPr>
            <w:r>
              <w:rPr>
                <w:sz w:val="17"/>
              </w:rPr>
            </w:r>
            <w:r>
              <w:rPr>
                <w:b/>
                <w:sz w:val="17"/>
              </w:rPr>
              <w:t>log_prob is taken on `raw_action`, not on `weights`</w:t>
            </w:r>
          </w:p>
        </w:tc>
        <w:tc>
          <w:tcPr>
            <w:tcW w:type="dxa" w:w="6912"/>
            <w:shd w:val="clear" w:color="auto" w:fill="F2F5F8"/>
          </w:tcPr>
          <w:p>
            <w:pPr>
              <w:spacing w:after="20" w:before="20"/>
            </w:pPr>
            <w:r>
              <w:rPr>
                <w:sz w:val="17"/>
              </w:rPr>
            </w:r>
            <w:r>
              <w:rPr>
                <w:sz w:val="17"/>
              </w:rPr>
              <w:t>The density lives in the raw space. Softmax is a deterministic post-processing step, not part of the distribution. Storing normalised weights instead would silently corrupt the PPO ratio — the code comments flag this explicitly</w:t>
            </w:r>
          </w:p>
        </w:tc>
      </w:tr>
      <w:tr>
        <w:tc>
          <w:tcPr>
            <w:tcW w:type="dxa" w:w="3168"/>
          </w:tcPr>
          <w:p>
            <w:pPr>
              <w:spacing w:after="20" w:before="20"/>
            </w:pPr>
            <w:r>
              <w:rPr>
                <w:sz w:val="17"/>
              </w:rPr>
            </w:r>
            <w:r>
              <w:rPr>
                <w:b/>
                <w:sz w:val="17"/>
              </w:rPr>
              <w:t>logit_scale = 5.0</w:t>
            </w:r>
            <w:r>
              <w:rPr>
                <w:sz w:val="17"/>
              </w:rPr>
              <w:t xml:space="preserve"> instead of a plain tanh</w:t>
            </w:r>
          </w:p>
        </w:tc>
        <w:tc>
          <w:tcPr>
            <w:tcW w:type="dxa" w:w="6912"/>
          </w:tcPr>
          <w:p>
            <w:pPr>
              <w:spacing w:after="20" w:before="20"/>
            </w:pPr>
            <w:r>
              <w:rPr>
                <w:sz w:val="17"/>
              </w:rPr>
            </w:r>
            <w:r>
              <w:rPr>
                <w:sz w:val="17"/>
              </w:rPr>
              <w:t>A plain tanh caps logits at ±1, which limits achievable concentration to roughly e²/N — effectively near-uniform weights. Scaling to ±5 lets softmax express anything from uniform to almost fully concentrated</w:t>
            </w:r>
          </w:p>
        </w:tc>
      </w:tr>
      <w:tr>
        <w:tc>
          <w:tcPr>
            <w:tcW w:type="dxa" w:w="3168"/>
            <w:shd w:val="clear" w:color="auto" w:fill="F2F5F8"/>
          </w:tcPr>
          <w:p>
            <w:pPr>
              <w:spacing w:after="20" w:before="20"/>
            </w:pPr>
            <w:r>
              <w:rPr>
                <w:sz w:val="17"/>
              </w:rPr>
            </w:r>
            <w:r>
              <w:rPr>
                <w:b/>
                <w:sz w:val="17"/>
              </w:rPr>
              <w:t>Small init gain (0.01) on the output head only</w:t>
            </w:r>
          </w:p>
        </w:tc>
        <w:tc>
          <w:tcPr>
            <w:tcW w:type="dxa" w:w="6912"/>
            <w:shd w:val="clear" w:color="auto" w:fill="F2F5F8"/>
          </w:tcPr>
          <w:p>
            <w:pPr>
              <w:spacing w:after="20" w:before="20"/>
            </w:pPr>
            <w:r>
              <w:rPr>
                <w:sz w:val="17"/>
              </w:rPr>
            </w:r>
            <w:r>
              <w:rPr>
                <w:sz w:val="17"/>
              </w:rPr>
              <w:t>The initial policy is close to uniform (a sensible prior: equal weighting), while the ReLU trunk keeps a √2 gain so gradients still propagate properly</w:t>
            </w:r>
          </w:p>
        </w:tc>
      </w:tr>
      <w:tr>
        <w:tc>
          <w:tcPr>
            <w:tcW w:type="dxa" w:w="3168"/>
          </w:tcPr>
          <w:p>
            <w:pPr>
              <w:spacing w:after="20" w:before="20"/>
            </w:pPr>
            <w:r>
              <w:rPr>
                <w:sz w:val="17"/>
              </w:rPr>
            </w:r>
            <w:r>
              <w:rPr>
                <w:b/>
                <w:sz w:val="17"/>
              </w:rPr>
              <w:t>Long-only softmax</w:t>
            </w:r>
            <w:r>
              <w:rPr>
                <w:sz w:val="17"/>
              </w:rPr>
              <w:t xml:space="preserve"> (</w:t>
            </w:r>
            <w:r>
              <w:rPr>
                <w:rFonts w:ascii="Consolas" w:hAnsi="Consolas"/>
                <w:sz w:val="17"/>
              </w:rPr>
              <w:t>allow_short = False</w:t>
            </w:r>
            <w:r>
              <w:rPr>
                <w:sz w:val="17"/>
              </w:rPr>
              <w:t>)</w:t>
            </w:r>
          </w:p>
        </w:tc>
        <w:tc>
          <w:tcPr>
            <w:tcW w:type="dxa" w:w="6912"/>
          </w:tcPr>
          <w:p>
            <w:pPr>
              <w:spacing w:after="20" w:before="20"/>
            </w:pPr>
            <w:r>
              <w:rPr>
                <w:sz w:val="17"/>
              </w:rPr>
            </w:r>
            <w:r>
              <w:rPr>
                <w:sz w:val="17"/>
              </w:rPr>
              <w:t>Weights are non-negative and sum to 1. A long/short branch using independent per-asset tanh plus volatility targeting exists in the code but is disabled, because short-selling availability on the CSE for this account type is unverified</w:t>
            </w:r>
          </w:p>
        </w:tc>
      </w:tr>
      <w:tr>
        <w:tc>
          <w:tcPr>
            <w:tcW w:type="dxa" w:w="3168"/>
            <w:shd w:val="clear" w:color="auto" w:fill="F2F5F8"/>
          </w:tcPr>
          <w:p>
            <w:pPr>
              <w:spacing w:after="20" w:before="20"/>
            </w:pPr>
            <w:r>
              <w:rPr>
                <w:sz w:val="17"/>
              </w:rPr>
            </w:r>
            <w:r>
              <w:rPr>
                <w:b/>
                <w:sz w:val="17"/>
              </w:rPr>
              <w:t>Learnable per-asset `log_std`</w:t>
            </w:r>
          </w:p>
        </w:tc>
        <w:tc>
          <w:tcPr>
            <w:tcW w:type="dxa" w:w="6912"/>
            <w:shd w:val="clear" w:color="auto" w:fill="F2F5F8"/>
          </w:tcPr>
          <w:p>
            <w:pPr>
              <w:spacing w:after="20" w:before="20"/>
            </w:pPr>
            <w:r>
              <w:rPr>
                <w:sz w:val="17"/>
              </w:rPr>
            </w:r>
            <w:r>
              <w:rPr>
                <w:sz w:val="17"/>
              </w:rPr>
              <w:t>The policy controls its own exploration level per asset, and can anneal it as it becomes confident</w:t>
            </w:r>
          </w:p>
        </w:tc>
      </w:tr>
    </w:tbl>
    <w:p>
      <w:pPr>
        <w:spacing w:after="40"/>
      </w:pPr>
    </w:p>
    <w:p>
      <w:pPr>
        <w:pStyle w:val="Heading1"/>
      </w:pPr>
      <w:r>
        <w:t>8. Stage 7 — Critic Network (Value V)</w:t>
      </w:r>
    </w:p>
    <w:p>
      <w:r>
        <w:rPr>
          <w:b w:val="0"/>
          <w:i/>
        </w:rPr>
        <w:t>Module: src/models/critic.py — CriticNetwork</w:t>
      </w:r>
    </w:p>
    <w:p>
      <w:r>
        <w:rPr>
          <w:b w:val="0"/>
          <w:i w:val="0"/>
        </w:rPr>
        <w:t>The critic does not choose weights. It answers a different question: "from this market state, how much total reward should I expect from here on?" PPO needs that baseline to judge whether an action was better or worse than expected.</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080"/>
            <w:shd w:val="clear" w:color="auto" w:fill="1F3B57"/>
          </w:tcPr>
          <w:p>
            <w:pPr>
              <w:spacing w:after="20" w:before="20"/>
            </w:pPr>
            <w:r/>
            <w:r>
              <w:rPr>
                <w:b/>
                <w:color w:val="FFFFFF"/>
                <w:sz w:val="17"/>
              </w:rPr>
              <w:t>Role</w:t>
            </w:r>
          </w:p>
        </w:tc>
        <w:tc>
          <w:tcPr>
            <w:tcW w:type="dxa" w:w="2088"/>
            <w:shd w:val="clear" w:color="auto" w:fill="1F3B57"/>
          </w:tcPr>
          <w:p>
            <w:pPr>
              <w:spacing w:after="20" w:before="20"/>
            </w:pPr>
            <w:r/>
            <w:r>
              <w:rPr>
                <w:b/>
                <w:color w:val="FFFFFF"/>
                <w:sz w:val="17"/>
              </w:rPr>
              <w:t>Tensor / object</w:t>
            </w:r>
          </w:p>
        </w:tc>
        <w:tc>
          <w:tcPr>
            <w:tcW w:type="dxa" w:w="2232"/>
            <w:shd w:val="clear" w:color="auto" w:fill="1F3B57"/>
          </w:tcPr>
          <w:p>
            <w:pPr>
              <w:spacing w:after="20" w:before="20"/>
            </w:pPr>
            <w:r/>
            <w:r>
              <w:rPr>
                <w:b/>
                <w:color w:val="FFFFFF"/>
                <w:sz w:val="17"/>
              </w:rPr>
              <w:t>Shape (concrete)</w:t>
            </w:r>
          </w:p>
        </w:tc>
        <w:tc>
          <w:tcPr>
            <w:tcW w:type="dxa" w:w="4824"/>
            <w:shd w:val="clear" w:color="auto" w:fill="1F3B57"/>
          </w:tcPr>
          <w:p>
            <w:pPr>
              <w:spacing w:after="20" w:before="20"/>
            </w:pPr>
            <w:r/>
            <w:r>
              <w:rPr>
                <w:b/>
                <w:color w:val="FFFFFF"/>
                <w:sz w:val="17"/>
              </w:rPr>
              <w:t>Meaning</w:t>
            </w:r>
          </w:p>
        </w:tc>
      </w:tr>
      <w:tr>
        <w:tc>
          <w:tcPr>
            <w:tcW w:type="dxa" w:w="1080"/>
          </w:tcPr>
          <w:p>
            <w:pPr>
              <w:spacing w:after="20" w:before="20"/>
            </w:pPr>
            <w:r>
              <w:rPr>
                <w:sz w:val="17"/>
              </w:rPr>
            </w:r>
            <w:r>
              <w:rPr>
                <w:sz w:val="17"/>
              </w:rPr>
              <w:t>INPUT</w:t>
            </w:r>
          </w:p>
        </w:tc>
        <w:tc>
          <w:tcPr>
            <w:tcW w:type="dxa" w:w="2088"/>
          </w:tcPr>
          <w:p>
            <w:pPr>
              <w:spacing w:after="20" w:before="20"/>
            </w:pPr>
            <w:r/>
            <w:r>
              <w:rPr>
                <w:rFonts w:ascii="Consolas" w:hAnsi="Consolas"/>
                <w:sz w:val="16"/>
              </w:rPr>
              <w:t>h_market</w:t>
            </w:r>
          </w:p>
        </w:tc>
        <w:tc>
          <w:tcPr>
            <w:tcW w:type="dxa" w:w="2232"/>
          </w:tcPr>
          <w:p>
            <w:pPr>
              <w:spacing w:after="20" w:before="20"/>
            </w:pPr>
            <w:r/>
            <w:r>
              <w:rPr>
                <w:rFonts w:ascii="Consolas" w:hAnsi="Consolas"/>
                <w:sz w:val="16"/>
              </w:rPr>
              <w:t>(B, 128)</w:t>
            </w:r>
          </w:p>
        </w:tc>
        <w:tc>
          <w:tcPr>
            <w:tcW w:type="dxa" w:w="4824"/>
          </w:tcPr>
          <w:p>
            <w:pPr>
              <w:spacing w:after="20" w:before="20"/>
            </w:pPr>
            <w:r>
              <w:rPr>
                <w:sz w:val="17"/>
              </w:rPr>
            </w:r>
            <w:r>
              <w:rPr>
                <w:sz w:val="17"/>
              </w:rPr>
              <w:t>Pooled latent market state</w:t>
            </w:r>
          </w:p>
        </w:tc>
      </w:tr>
      <w:tr>
        <w:tc>
          <w:tcPr>
            <w:tcW w:type="dxa" w:w="1080"/>
            <w:shd w:val="clear" w:color="auto" w:fill="F2F5F8"/>
          </w:tcPr>
          <w:p>
            <w:pPr>
              <w:spacing w:after="20" w:before="20"/>
            </w:pPr>
            <w:r>
              <w:rPr>
                <w:sz w:val="17"/>
              </w:rPr>
            </w:r>
            <w:r>
              <w:rPr>
                <w:sz w:val="17"/>
              </w:rPr>
              <w:t>INPUT</w:t>
            </w:r>
          </w:p>
        </w:tc>
        <w:tc>
          <w:tcPr>
            <w:tcW w:type="dxa" w:w="2088"/>
            <w:shd w:val="clear" w:color="auto" w:fill="F2F5F8"/>
          </w:tcPr>
          <w:p>
            <w:pPr>
              <w:spacing w:after="20" w:before="20"/>
            </w:pPr>
            <w:r/>
            <w:r>
              <w:rPr>
                <w:rFonts w:ascii="Consolas" w:hAnsi="Consolas"/>
                <w:sz w:val="16"/>
              </w:rPr>
              <w:t>regime_probs</w:t>
            </w:r>
          </w:p>
        </w:tc>
        <w:tc>
          <w:tcPr>
            <w:tcW w:type="dxa" w:w="2232"/>
            <w:shd w:val="clear" w:color="auto" w:fill="F2F5F8"/>
          </w:tcPr>
          <w:p>
            <w:pPr>
              <w:spacing w:after="20" w:before="20"/>
            </w:pPr>
            <w:r/>
            <w:r>
              <w:rPr>
                <w:rFonts w:ascii="Consolas" w:hAnsi="Consolas"/>
                <w:sz w:val="16"/>
              </w:rPr>
              <w:t>(B, 3)</w:t>
            </w:r>
          </w:p>
        </w:tc>
        <w:tc>
          <w:tcPr>
            <w:tcW w:type="dxa" w:w="4824"/>
            <w:shd w:val="clear" w:color="auto" w:fill="F2F5F8"/>
          </w:tcPr>
          <w:p>
            <w:pPr>
              <w:spacing w:after="20" w:before="20"/>
            </w:pPr>
            <w:r>
              <w:rPr>
                <w:sz w:val="17"/>
              </w:rPr>
            </w:r>
            <w:r>
              <w:rPr>
                <w:sz w:val="17"/>
              </w:rPr>
              <w:t>Regime distribution (conditioning)</w:t>
            </w:r>
          </w:p>
        </w:tc>
      </w:tr>
      <w:tr>
        <w:tc>
          <w:tcPr>
            <w:tcW w:type="dxa" w:w="1080"/>
          </w:tcPr>
          <w:p>
            <w:pPr>
              <w:spacing w:after="20" w:before="20"/>
            </w:pPr>
            <w:r>
              <w:rPr>
                <w:sz w:val="17"/>
              </w:rPr>
            </w:r>
            <w:r>
              <w:rPr>
                <w:sz w:val="17"/>
              </w:rPr>
              <w:t>OUTPUT</w:t>
            </w:r>
          </w:p>
        </w:tc>
        <w:tc>
          <w:tcPr>
            <w:tcW w:type="dxa" w:w="2088"/>
          </w:tcPr>
          <w:p>
            <w:pPr>
              <w:spacing w:after="20" w:before="20"/>
            </w:pPr>
            <w:r/>
            <w:r>
              <w:rPr>
                <w:rFonts w:ascii="Consolas" w:hAnsi="Consolas"/>
                <w:sz w:val="16"/>
              </w:rPr>
              <w:t>value</w:t>
            </w:r>
          </w:p>
        </w:tc>
        <w:tc>
          <w:tcPr>
            <w:tcW w:type="dxa" w:w="2232"/>
          </w:tcPr>
          <w:p>
            <w:pPr>
              <w:spacing w:after="20" w:before="20"/>
            </w:pPr>
            <w:r/>
            <w:r>
              <w:rPr>
                <w:rFonts w:ascii="Consolas" w:hAnsi="Consolas"/>
                <w:sz w:val="16"/>
              </w:rPr>
              <w:t>(B,)</w:t>
            </w:r>
          </w:p>
        </w:tc>
        <w:tc>
          <w:tcPr>
            <w:tcW w:type="dxa" w:w="4824"/>
          </w:tcPr>
          <w:p>
            <w:pPr>
              <w:spacing w:after="20" w:before="20"/>
            </w:pPr>
            <w:r>
              <w:rPr>
                <w:sz w:val="17"/>
              </w:rPr>
            </w:r>
            <w:r>
              <w:rPr>
                <w:sz w:val="17"/>
              </w:rPr>
              <w:t>Scalar V(s) per observation</w:t>
            </w:r>
          </w:p>
        </w:tc>
      </w:tr>
    </w:tbl>
    <w:p>
      <w:pPr>
        <w:spacing w:after="40"/>
      </w:pPr>
    </w:p>
    <w:p>
      <w:pPr>
        <w:spacing w:after="160" w:before="80" w:line="240" w:lineRule="auto"/>
        <w:ind w:left="144"/>
      </w:pPr>
      <w:r>
        <w:rPr>
          <w:rFonts w:ascii="Consolas" w:hAnsi="Consolas"/>
          <w:sz w:val="17"/>
        </w:rPr>
        <w:t>features = feature_net(h_market)                    # 128→256→128</w:t>
        <w:br/>
        <w:t xml:space="preserve">                                                     # Linear+LayerNorm+ReLU+Dropout ×2</w:t>
        <w:br/>
        <w:t>features = features + regime_embed(regime_probs)</w:t>
        <w:br/>
        <w:t>value    = value_head(features).squeeze(-1)          # Linear 128→1</w:t>
      </w:r>
    </w:p>
    <w:p>
      <w:r>
        <w:rPr>
          <w:b/>
          <w:i w:val="0"/>
          <w:sz w:val="22"/>
        </w:rPr>
        <w:t>Why it stabilises training</w:t>
      </w:r>
    </w:p>
    <w:p>
      <w:r>
        <w:rPr>
          <w:b w:val="0"/>
          <w:i w:val="0"/>
        </w:rPr>
        <w:t>The advantage is A_t = R_t − V(s_t). If the critic is accurate, A_t isolates the effect of the specific action taken from the general quality of the market state. Without it, the policy gradient would reward every action taken during a bull market and punish every action taken during a crash, regardless of skill — the variance would swamp the signal. The critic is trained by the MSE value loss inside the same PPO objective.</w:t>
      </w:r>
    </w:p>
    <w:p>
      <w:pPr>
        <w:pStyle w:val="Heading1"/>
      </w:pPr>
      <w:r>
        <w:t>9. Stage 8 — Market Environment</w:t>
      </w:r>
    </w:p>
    <w:p>
      <w:r>
        <w:rPr>
          <w:b w:val="0"/>
          <w:i/>
        </w:rPr>
        <w:t>Module: src/environment/market_env.py — MarketEnvironment</w:t>
      </w:r>
    </w:p>
    <w:p>
      <w:r>
        <w:rPr>
          <w:b w:val="0"/>
          <w:i w:val="0"/>
        </w:rPr>
        <w:t>The environment turns a desired allocation into a realised, cost-aware outcome. It is the only part of the system that sees real prices in real units.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080"/>
            <w:shd w:val="clear" w:color="auto" w:fill="1F3B57"/>
          </w:tcPr>
          <w:p>
            <w:pPr>
              <w:spacing w:after="20" w:before="20"/>
            </w:pPr>
            <w:r/>
            <w:r>
              <w:rPr>
                <w:b/>
                <w:color w:val="FFFFFF"/>
                <w:sz w:val="17"/>
              </w:rPr>
              <w:t>Role</w:t>
            </w:r>
          </w:p>
        </w:tc>
        <w:tc>
          <w:tcPr>
            <w:tcW w:type="dxa" w:w="2088"/>
            <w:shd w:val="clear" w:color="auto" w:fill="1F3B57"/>
          </w:tcPr>
          <w:p>
            <w:pPr>
              <w:spacing w:after="20" w:before="20"/>
            </w:pPr>
            <w:r/>
            <w:r>
              <w:rPr>
                <w:b/>
                <w:color w:val="FFFFFF"/>
                <w:sz w:val="17"/>
              </w:rPr>
              <w:t>Tensor / object</w:t>
            </w:r>
          </w:p>
        </w:tc>
        <w:tc>
          <w:tcPr>
            <w:tcW w:type="dxa" w:w="2232"/>
            <w:shd w:val="clear" w:color="auto" w:fill="1F3B57"/>
          </w:tcPr>
          <w:p>
            <w:pPr>
              <w:spacing w:after="20" w:before="20"/>
            </w:pPr>
            <w:r/>
            <w:r>
              <w:rPr>
                <w:b/>
                <w:color w:val="FFFFFF"/>
                <w:sz w:val="17"/>
              </w:rPr>
              <w:t>Shape (concrete)</w:t>
            </w:r>
          </w:p>
        </w:tc>
        <w:tc>
          <w:tcPr>
            <w:tcW w:type="dxa" w:w="4824"/>
            <w:shd w:val="clear" w:color="auto" w:fill="1F3B57"/>
          </w:tcPr>
          <w:p>
            <w:pPr>
              <w:spacing w:after="20" w:before="20"/>
            </w:pPr>
            <w:r/>
            <w:r>
              <w:rPr>
                <w:b/>
                <w:color w:val="FFFFFF"/>
                <w:sz w:val="17"/>
              </w:rPr>
              <w:t>Meaning</w:t>
            </w:r>
          </w:p>
        </w:tc>
      </w:tr>
      <w:tr>
        <w:tc>
          <w:tcPr>
            <w:tcW w:type="dxa" w:w="1080"/>
          </w:tcPr>
          <w:p>
            <w:pPr>
              <w:spacing w:after="20" w:before="20"/>
            </w:pPr>
            <w:r>
              <w:rPr>
                <w:sz w:val="17"/>
              </w:rPr>
            </w:r>
            <w:r>
              <w:rPr>
                <w:sz w:val="17"/>
              </w:rPr>
              <w:t>INPUT</w:t>
            </w:r>
          </w:p>
        </w:tc>
        <w:tc>
          <w:tcPr>
            <w:tcW w:type="dxa" w:w="2088"/>
          </w:tcPr>
          <w:p>
            <w:pPr>
              <w:spacing w:after="20" w:before="20"/>
            </w:pPr>
            <w:r/>
            <w:r>
              <w:rPr>
                <w:rFonts w:ascii="Consolas" w:hAnsi="Consolas"/>
                <w:sz w:val="16"/>
              </w:rPr>
              <w:t>action</w:t>
            </w:r>
          </w:p>
        </w:tc>
        <w:tc>
          <w:tcPr>
            <w:tcW w:type="dxa" w:w="2232"/>
          </w:tcPr>
          <w:p>
            <w:pPr>
              <w:spacing w:after="20" w:before="20"/>
            </w:pPr>
            <w:r/>
            <w:r>
              <w:rPr>
                <w:rFonts w:ascii="Consolas" w:hAnsi="Consolas"/>
                <w:sz w:val="16"/>
              </w:rPr>
              <w:t>(10,)</w:t>
            </w:r>
          </w:p>
        </w:tc>
        <w:tc>
          <w:tcPr>
            <w:tcW w:type="dxa" w:w="4824"/>
          </w:tcPr>
          <w:p>
            <w:pPr>
              <w:spacing w:after="20" w:before="20"/>
            </w:pPr>
            <w:r>
              <w:rPr>
                <w:sz w:val="17"/>
              </w:rPr>
            </w:r>
            <w:r>
              <w:rPr>
                <w:sz w:val="17"/>
              </w:rPr>
              <w:t>Target weights from the actor</w:t>
            </w:r>
          </w:p>
        </w:tc>
      </w:tr>
      <w:tr>
        <w:tc>
          <w:tcPr>
            <w:tcW w:type="dxa" w:w="1080"/>
            <w:shd w:val="clear" w:color="auto" w:fill="F2F5F8"/>
          </w:tcPr>
          <w:p>
            <w:pPr>
              <w:spacing w:after="20" w:before="20"/>
            </w:pPr>
            <w:r>
              <w:rPr>
                <w:sz w:val="17"/>
              </w:rPr>
            </w:r>
            <w:r>
              <w:rPr>
                <w:sz w:val="17"/>
              </w:rPr>
              <w:t>STATE</w:t>
            </w:r>
          </w:p>
        </w:tc>
        <w:tc>
          <w:tcPr>
            <w:tcW w:type="dxa" w:w="2088"/>
            <w:shd w:val="clear" w:color="auto" w:fill="F2F5F8"/>
          </w:tcPr>
          <w:p>
            <w:pPr>
              <w:spacing w:after="20" w:before="20"/>
            </w:pPr>
            <w:r/>
            <w:r>
              <w:rPr>
                <w:rFonts w:ascii="Consolas" w:hAnsi="Consolas"/>
                <w:sz w:val="16"/>
              </w:rPr>
              <w:t>prices</w:t>
            </w:r>
          </w:p>
        </w:tc>
        <w:tc>
          <w:tcPr>
            <w:tcW w:type="dxa" w:w="2232"/>
            <w:shd w:val="clear" w:color="auto" w:fill="F2F5F8"/>
          </w:tcPr>
          <w:p>
            <w:pPr>
              <w:spacing w:after="20" w:before="20"/>
            </w:pPr>
            <w:r/>
            <w:r>
              <w:rPr>
                <w:rFonts w:ascii="Consolas" w:hAnsi="Consolas"/>
                <w:sz w:val="16"/>
              </w:rPr>
              <w:t>(542, 10)</w:t>
            </w:r>
          </w:p>
        </w:tc>
        <w:tc>
          <w:tcPr>
            <w:tcW w:type="dxa" w:w="4824"/>
            <w:shd w:val="clear" w:color="auto" w:fill="F2F5F8"/>
          </w:tcPr>
          <w:p>
            <w:pPr>
              <w:spacing w:after="20" w:before="20"/>
            </w:pPr>
            <w:r>
              <w:rPr>
                <w:sz w:val="17"/>
              </w:rPr>
            </w:r>
            <w:r>
              <w:rPr>
                <w:sz w:val="17"/>
              </w:rPr>
              <w:t>Closing prices aligned to window end dates</w:t>
            </w:r>
          </w:p>
        </w:tc>
      </w:tr>
      <w:tr>
        <w:tc>
          <w:tcPr>
            <w:tcW w:type="dxa" w:w="1080"/>
          </w:tcPr>
          <w:p>
            <w:pPr>
              <w:spacing w:after="20" w:before="20"/>
            </w:pPr>
            <w:r>
              <w:rPr>
                <w:sz w:val="17"/>
              </w:rPr>
            </w:r>
            <w:r>
              <w:rPr>
                <w:sz w:val="17"/>
              </w:rPr>
              <w:t>STATE</w:t>
            </w:r>
          </w:p>
        </w:tc>
        <w:tc>
          <w:tcPr>
            <w:tcW w:type="dxa" w:w="2088"/>
          </w:tcPr>
          <w:p>
            <w:pPr>
              <w:spacing w:after="20" w:before="20"/>
            </w:pPr>
            <w:r/>
            <w:r>
              <w:rPr>
                <w:rFonts w:ascii="Consolas" w:hAnsi="Consolas"/>
                <w:sz w:val="16"/>
              </w:rPr>
              <w:t>features</w:t>
            </w:r>
          </w:p>
        </w:tc>
        <w:tc>
          <w:tcPr>
            <w:tcW w:type="dxa" w:w="2232"/>
          </w:tcPr>
          <w:p>
            <w:pPr>
              <w:spacing w:after="20" w:before="20"/>
            </w:pPr>
            <w:r/>
            <w:r>
              <w:rPr>
                <w:rFonts w:ascii="Consolas" w:hAnsi="Consolas"/>
                <w:sz w:val="16"/>
              </w:rPr>
              <w:t>(542, 30, 150)</w:t>
            </w:r>
          </w:p>
        </w:tc>
        <w:tc>
          <w:tcPr>
            <w:tcW w:type="dxa" w:w="4824"/>
          </w:tcPr>
          <w:p>
            <w:pPr>
              <w:spacing w:after="20" w:before="20"/>
            </w:pPr>
            <w:r>
              <w:rPr>
                <w:sz w:val="17"/>
              </w:rPr>
            </w:r>
            <w:r>
              <w:rPr>
                <w:sz w:val="17"/>
              </w:rPr>
              <w:t>Pre-computed observation windows</w:t>
            </w:r>
          </w:p>
        </w:tc>
      </w:tr>
      <w:tr>
        <w:tc>
          <w:tcPr>
            <w:tcW w:type="dxa" w:w="1080"/>
            <w:shd w:val="clear" w:color="auto" w:fill="F2F5F8"/>
          </w:tcPr>
          <w:p>
            <w:pPr>
              <w:spacing w:after="20" w:before="20"/>
            </w:pPr>
            <w:r>
              <w:rPr>
                <w:sz w:val="17"/>
              </w:rPr>
            </w:r>
            <w:r>
              <w:rPr>
                <w:sz w:val="17"/>
              </w:rPr>
              <w:t>OUTPUT</w:t>
            </w:r>
          </w:p>
        </w:tc>
        <w:tc>
          <w:tcPr>
            <w:tcW w:type="dxa" w:w="2088"/>
            <w:shd w:val="clear" w:color="auto" w:fill="F2F5F8"/>
          </w:tcPr>
          <w:p>
            <w:pPr>
              <w:spacing w:after="20" w:before="20"/>
            </w:pPr>
            <w:r/>
            <w:r>
              <w:rPr>
                <w:rFonts w:ascii="Consolas" w:hAnsi="Consolas"/>
                <w:sz w:val="16"/>
              </w:rPr>
              <w:t>observation</w:t>
            </w:r>
          </w:p>
        </w:tc>
        <w:tc>
          <w:tcPr>
            <w:tcW w:type="dxa" w:w="2232"/>
            <w:shd w:val="clear" w:color="auto" w:fill="F2F5F8"/>
          </w:tcPr>
          <w:p>
            <w:pPr>
              <w:spacing w:after="20" w:before="20"/>
            </w:pPr>
            <w:r/>
            <w:r>
              <w:rPr>
                <w:rFonts w:ascii="Consolas" w:hAnsi="Consolas"/>
                <w:sz w:val="16"/>
              </w:rPr>
              <w:t>dict</w:t>
            </w:r>
          </w:p>
        </w:tc>
        <w:tc>
          <w:tcPr>
            <w:tcW w:type="dxa" w:w="4824"/>
            <w:shd w:val="clear" w:color="auto" w:fill="F2F5F8"/>
          </w:tcPr>
          <w:p>
            <w:pPr>
              <w:spacing w:after="20" w:before="20"/>
            </w:pPr>
            <w:r>
              <w:rPr>
                <w:sz w:val="17"/>
              </w:rPr>
            </w:r>
            <w:r>
              <w:rPr>
                <w:sz w:val="17"/>
              </w:rPr>
              <w:t>Next window, current weights, portfolio value, step</w:t>
            </w:r>
          </w:p>
        </w:tc>
      </w:tr>
      <w:tr>
        <w:tc>
          <w:tcPr>
            <w:tcW w:type="dxa" w:w="1080"/>
          </w:tcPr>
          <w:p>
            <w:pPr>
              <w:spacing w:after="20" w:before="20"/>
            </w:pPr>
            <w:r>
              <w:rPr>
                <w:sz w:val="17"/>
              </w:rPr>
            </w:r>
            <w:r>
              <w:rPr>
                <w:sz w:val="17"/>
              </w:rPr>
              <w:t>OUTPUT</w:t>
            </w:r>
          </w:p>
        </w:tc>
        <w:tc>
          <w:tcPr>
            <w:tcW w:type="dxa" w:w="2088"/>
          </w:tcPr>
          <w:p>
            <w:pPr>
              <w:spacing w:after="20" w:before="20"/>
            </w:pPr>
            <w:r/>
            <w:r>
              <w:rPr>
                <w:rFonts w:ascii="Consolas" w:hAnsi="Consolas"/>
                <w:sz w:val="16"/>
              </w:rPr>
              <w:t>portfolio_return</w:t>
            </w:r>
          </w:p>
        </w:tc>
        <w:tc>
          <w:tcPr>
            <w:tcW w:type="dxa" w:w="2232"/>
          </w:tcPr>
          <w:p>
            <w:pPr>
              <w:spacing w:after="20" w:before="20"/>
            </w:pPr>
            <w:r/>
            <w:r>
              <w:rPr>
                <w:rFonts w:ascii="Consolas" w:hAnsi="Consolas"/>
                <w:sz w:val="16"/>
              </w:rPr>
              <w:t>float</w:t>
            </w:r>
          </w:p>
        </w:tc>
        <w:tc>
          <w:tcPr>
            <w:tcW w:type="dxa" w:w="4824"/>
          </w:tcPr>
          <w:p>
            <w:pPr>
              <w:spacing w:after="20" w:before="20"/>
            </w:pPr>
            <w:r>
              <w:rPr>
                <w:sz w:val="17"/>
              </w:rPr>
            </w:r>
            <w:r>
              <w:rPr>
                <w:sz w:val="17"/>
              </w:rPr>
              <w:t>Realised return for the period</w:t>
            </w:r>
          </w:p>
        </w:tc>
      </w:tr>
      <w:tr>
        <w:tc>
          <w:tcPr>
            <w:tcW w:type="dxa" w:w="1080"/>
            <w:shd w:val="clear" w:color="auto" w:fill="F2F5F8"/>
          </w:tcPr>
          <w:p>
            <w:pPr>
              <w:spacing w:after="20" w:before="20"/>
            </w:pPr>
            <w:r>
              <w:rPr>
                <w:sz w:val="17"/>
              </w:rPr>
            </w:r>
            <w:r>
              <w:rPr>
                <w:sz w:val="17"/>
              </w:rPr>
              <w:t>OUTPUT</w:t>
            </w:r>
          </w:p>
        </w:tc>
        <w:tc>
          <w:tcPr>
            <w:tcW w:type="dxa" w:w="2088"/>
            <w:shd w:val="clear" w:color="auto" w:fill="F2F5F8"/>
          </w:tcPr>
          <w:p>
            <w:pPr>
              <w:spacing w:after="20" w:before="20"/>
            </w:pPr>
            <w:r/>
            <w:r>
              <w:rPr>
                <w:rFonts w:ascii="Consolas" w:hAnsi="Consolas"/>
                <w:sz w:val="16"/>
              </w:rPr>
              <w:t>done</w:t>
            </w:r>
          </w:p>
        </w:tc>
        <w:tc>
          <w:tcPr>
            <w:tcW w:type="dxa" w:w="2232"/>
            <w:shd w:val="clear" w:color="auto" w:fill="F2F5F8"/>
          </w:tcPr>
          <w:p>
            <w:pPr>
              <w:spacing w:after="20" w:before="20"/>
            </w:pPr>
            <w:r/>
            <w:r>
              <w:rPr>
                <w:rFonts w:ascii="Consolas" w:hAnsi="Consolas"/>
                <w:sz w:val="16"/>
              </w:rPr>
              <w:t>bool</w:t>
            </w:r>
          </w:p>
        </w:tc>
        <w:tc>
          <w:tcPr>
            <w:tcW w:type="dxa" w:w="4824"/>
            <w:shd w:val="clear" w:color="auto" w:fill="F2F5F8"/>
          </w:tcPr>
          <w:p>
            <w:pPr>
              <w:spacing w:after="20" w:before="20"/>
            </w:pPr>
            <w:r>
              <w:rPr>
                <w:sz w:val="17"/>
              </w:rPr>
            </w:r>
            <w:r>
              <w:rPr>
                <w:sz w:val="17"/>
              </w:rPr>
              <w:t>True at end of series or on capital wipe-out</w:t>
            </w:r>
          </w:p>
        </w:tc>
      </w:tr>
      <w:tr>
        <w:tc>
          <w:tcPr>
            <w:tcW w:type="dxa" w:w="1080"/>
          </w:tcPr>
          <w:p>
            <w:pPr>
              <w:spacing w:after="20" w:before="20"/>
            </w:pPr>
            <w:r>
              <w:rPr>
                <w:sz w:val="17"/>
              </w:rPr>
            </w:r>
            <w:r>
              <w:rPr>
                <w:sz w:val="17"/>
              </w:rPr>
              <w:t>OUTPUT</w:t>
            </w:r>
          </w:p>
        </w:tc>
        <w:tc>
          <w:tcPr>
            <w:tcW w:type="dxa" w:w="2088"/>
          </w:tcPr>
          <w:p>
            <w:pPr>
              <w:spacing w:after="20" w:before="20"/>
            </w:pPr>
            <w:r/>
            <w:r>
              <w:rPr>
                <w:rFonts w:ascii="Consolas" w:hAnsi="Consolas"/>
                <w:sz w:val="16"/>
              </w:rPr>
              <w:t>info</w:t>
            </w:r>
          </w:p>
        </w:tc>
        <w:tc>
          <w:tcPr>
            <w:tcW w:type="dxa" w:w="2232"/>
          </w:tcPr>
          <w:p>
            <w:pPr>
              <w:spacing w:after="20" w:before="20"/>
            </w:pPr>
            <w:r/>
            <w:r>
              <w:rPr>
                <w:rFonts w:ascii="Consolas" w:hAnsi="Consolas"/>
                <w:sz w:val="16"/>
              </w:rPr>
              <w:t>dict</w:t>
            </w:r>
          </w:p>
        </w:tc>
        <w:tc>
          <w:tcPr>
            <w:tcW w:type="dxa" w:w="4824"/>
          </w:tcPr>
          <w:p>
            <w:pPr>
              <w:spacing w:after="20" w:before="20"/>
            </w:pPr>
            <w:r>
              <w:rPr>
                <w:sz w:val="17"/>
              </w:rPr>
            </w:r>
            <w:r>
              <w:rPr>
                <w:sz w:val="17"/>
              </w:rPr>
              <w:t>Return, value, transaction cost, slippage, asset returns</w:t>
            </w:r>
          </w:p>
        </w:tc>
      </w:tr>
    </w:tbl>
    <w:p>
      <w:pPr>
        <w:spacing w:after="40"/>
      </w:pPr>
    </w:p>
    <w:p>
      <w:r>
        <w:rPr>
          <w:b/>
          <w:i w:val="0"/>
          <w:sz w:val="22"/>
        </w:rPr>
        <w:t>What happens inside step()</w:t>
      </w:r>
    </w:p>
    <w:p>
      <w:pPr>
        <w:pStyle w:val="ListNumber"/>
        <w:spacing w:after="40"/>
      </w:pPr>
      <w:r>
        <w:rPr>
          <w:b/>
        </w:rPr>
        <w:t>Volatility scaling (long/short only)</w:t>
      </w:r>
      <w:r>
        <w:t xml:space="preserve"> — </w:t>
      </w:r>
      <w:r>
        <w:rPr>
          <w:rFonts w:ascii="Consolas" w:hAnsi="Consolas"/>
          <w:sz w:val="19"/>
        </w:rPr>
        <w:t>action × vol_scale[t]</w:t>
      </w:r>
      <w:r>
        <w:t>, where vol_scale is a 63-day EWMA inverse-volatility factor centred at 1.0 across the cross-section (DeePM Eq. 11). Skipped in the current long-only run, because softmax weights are already a budget-constrained allocation rather than a signal to size. The estimate is shifted one day to avoid look-ahead.</w:t>
      </w:r>
    </w:p>
    <w:p>
      <w:pPr>
        <w:pStyle w:val="ListNumber"/>
        <w:spacing w:after="40"/>
      </w:pPr>
      <w:r>
        <w:rPr>
          <w:b/>
        </w:rPr>
        <w:t>Position-size cap</w:t>
      </w:r>
      <w:r>
        <w:t xml:space="preserve"> — each weight is clipped to 30%, then the long-only weights are renormalised back onto the simplex so the portfolio stays fully invested. In the long/short branch renormalisation is deliberately skipped: with signed weights the sum is net exposure, which can be near zero, and dividing by it explodes positions (the code records a case where a sum of 0.0248 inflated one weight to 7.75, i.e. 775% of capital in one asset).</w:t>
      </w:r>
    </w:p>
    <w:p>
      <w:pPr>
        <w:pStyle w:val="ListNumber"/>
        <w:spacing w:after="40"/>
      </w:pPr>
      <w:r>
        <w:rPr>
          <w:b/>
        </w:rPr>
        <w:t>Costs</w:t>
      </w:r>
      <w:r>
        <w:t xml:space="preserve"> — turnover = Σ|w_new − w_old|; transaction cost = 0.10% × turnover × portfolio value; slippage = 0.05% × turnover × portfolio value. Together these make excessive rebalancing genuinely expensive.</w:t>
      </w:r>
    </w:p>
    <w:p>
      <w:pPr>
        <w:pStyle w:val="ListNumber"/>
        <w:spacing w:after="40"/>
      </w:pPr>
      <w:r>
        <w:rPr>
          <w:b/>
        </w:rPr>
        <w:t>Return realisation</w:t>
      </w:r>
      <w:r>
        <w:t xml:space="preserve"> — asset returns r = (P_{t+1} − P_t)/P_t; portfolio return = w · r.</w:t>
      </w:r>
    </w:p>
    <w:p>
      <w:pPr>
        <w:pStyle w:val="ListNumber"/>
        <w:spacing w:after="40"/>
      </w:pPr>
      <w:r>
        <w:rPr>
          <w:b/>
        </w:rPr>
        <w:t>Value update</w:t>
      </w:r>
      <w:r>
        <w:t xml:space="preserve"> — </w:t>
      </w:r>
      <w:r>
        <w:rPr>
          <w:rFonts w:ascii="Consolas" w:hAnsi="Consolas"/>
          <w:sz w:val="19"/>
        </w:rPr>
        <w:t>value ← value × (1 + portfolio_return) − total_cost</w:t>
      </w:r>
      <w:r>
        <w:t>.</w:t>
      </w:r>
    </w:p>
    <w:p>
      <w:pPr>
        <w:pStyle w:val="ListNumber"/>
        <w:spacing w:after="40"/>
      </w:pPr>
      <w:r>
        <w:rPr>
          <w:b/>
        </w:rPr>
        <w:t>Bookkeeping</w:t>
      </w:r>
      <w:r>
        <w:t xml:space="preserve"> — value, weight, return and cost histories are appended for the performance summary.</w:t>
      </w:r>
    </w:p>
    <w:tbl>
      <w:tblPr>
        <w:tblStyle w:val="TableGrid"/>
        <w:tblW w:type="auto" w:w="0"/>
        <w:jc w:val="left"/>
        <w:tblLook w:firstColumn="1" w:firstRow="1" w:lastColumn="0" w:lastRow="0" w:noHBand="0" w:noVBand="1" w:val="04A0"/>
      </w:tblPr>
      <w:tblGrid>
        <w:gridCol w:w="3264"/>
        <w:gridCol w:w="3264"/>
        <w:gridCol w:w="3264"/>
      </w:tblGrid>
      <w:tr>
        <w:tc>
          <w:tcPr>
            <w:tcW w:type="dxa" w:w="2736"/>
            <w:shd w:val="clear" w:color="auto" w:fill="1F3B57"/>
          </w:tcPr>
          <w:p>
            <w:pPr>
              <w:spacing w:after="20" w:before="20"/>
            </w:pPr>
            <w:r/>
            <w:r>
              <w:rPr>
                <w:b/>
                <w:color w:val="FFFFFF"/>
                <w:sz w:val="17"/>
              </w:rPr>
              <w:t>Environment setting</w:t>
            </w:r>
          </w:p>
        </w:tc>
        <w:tc>
          <w:tcPr>
            <w:tcW w:type="dxa" w:w="2232"/>
            <w:shd w:val="clear" w:color="auto" w:fill="1F3B57"/>
          </w:tcPr>
          <w:p>
            <w:pPr>
              <w:spacing w:after="20" w:before="20"/>
            </w:pPr>
            <w:r/>
            <w:r>
              <w:rPr>
                <w:b/>
                <w:color w:val="FFFFFF"/>
                <w:sz w:val="17"/>
              </w:rPr>
              <w:t>Value</w:t>
            </w:r>
          </w:p>
        </w:tc>
        <w:tc>
          <w:tcPr>
            <w:tcW w:type="dxa" w:w="5112"/>
            <w:shd w:val="clear" w:color="auto" w:fill="1F3B57"/>
          </w:tcPr>
          <w:p>
            <w:pPr>
              <w:spacing w:after="20" w:before="20"/>
            </w:pPr>
            <w:r/>
            <w:r>
              <w:rPr>
                <w:b/>
                <w:color w:val="FFFFFF"/>
                <w:sz w:val="17"/>
              </w:rPr>
              <w:t>Note</w:t>
            </w:r>
          </w:p>
        </w:tc>
      </w:tr>
      <w:tr>
        <w:tc>
          <w:tcPr>
            <w:tcW w:type="dxa" w:w="2736"/>
          </w:tcPr>
          <w:p>
            <w:pPr>
              <w:spacing w:after="20" w:before="20"/>
            </w:pPr>
            <w:r>
              <w:rPr>
                <w:sz w:val="17"/>
              </w:rPr>
            </w:r>
            <w:r>
              <w:rPr>
                <w:sz w:val="17"/>
              </w:rPr>
              <w:t>Initial capital</w:t>
            </w:r>
          </w:p>
        </w:tc>
        <w:tc>
          <w:tcPr>
            <w:tcW w:type="dxa" w:w="2232"/>
          </w:tcPr>
          <w:p>
            <w:pPr>
              <w:spacing w:after="20" w:before="20"/>
            </w:pPr>
            <w:r>
              <w:rPr>
                <w:sz w:val="17"/>
              </w:rPr>
            </w:r>
            <w:r>
              <w:rPr>
                <w:sz w:val="17"/>
              </w:rPr>
              <w:t>LKR 1,000,000</w:t>
            </w:r>
          </w:p>
        </w:tc>
        <w:tc>
          <w:tcPr>
            <w:tcW w:type="dxa" w:w="5112"/>
          </w:tcPr>
          <w:p>
            <w:pPr>
              <w:spacing w:after="20" w:before="20"/>
            </w:pPr>
            <w:r>
              <w:rPr>
                <w:sz w:val="17"/>
              </w:rPr>
            </w:r>
            <w:r>
              <w:rPr>
                <w:sz w:val="17"/>
              </w:rPr>
              <w:t>Reporting base</w:t>
            </w:r>
          </w:p>
        </w:tc>
      </w:tr>
      <w:tr>
        <w:tc>
          <w:tcPr>
            <w:tcW w:type="dxa" w:w="2736"/>
            <w:shd w:val="clear" w:color="auto" w:fill="F2F5F8"/>
          </w:tcPr>
          <w:p>
            <w:pPr>
              <w:spacing w:after="20" w:before="20"/>
            </w:pPr>
            <w:r>
              <w:rPr>
                <w:sz w:val="17"/>
              </w:rPr>
            </w:r>
            <w:r>
              <w:rPr>
                <w:sz w:val="17"/>
              </w:rPr>
              <w:t>Transaction cost</w:t>
            </w:r>
          </w:p>
        </w:tc>
        <w:tc>
          <w:tcPr>
            <w:tcW w:type="dxa" w:w="2232"/>
            <w:shd w:val="clear" w:color="auto" w:fill="F2F5F8"/>
          </w:tcPr>
          <w:p>
            <w:pPr>
              <w:spacing w:after="20" w:before="20"/>
            </w:pPr>
            <w:r>
              <w:rPr>
                <w:sz w:val="17"/>
              </w:rPr>
            </w:r>
            <w:r>
              <w:rPr>
                <w:sz w:val="17"/>
              </w:rPr>
              <w:t>0.10% of turnover</w:t>
            </w:r>
          </w:p>
        </w:tc>
        <w:tc>
          <w:tcPr>
            <w:tcW w:type="dxa" w:w="5112"/>
            <w:shd w:val="clear" w:color="auto" w:fill="F2F5F8"/>
          </w:tcPr>
          <w:p>
            <w:pPr>
              <w:spacing w:after="20" w:before="20"/>
            </w:pPr>
            <w:r>
              <w:rPr>
                <w:sz w:val="17"/>
              </w:rPr>
            </w:r>
            <w:r>
              <w:rPr>
                <w:sz w:val="17"/>
              </w:rPr>
              <w:t>CSE-representative</w:t>
            </w:r>
          </w:p>
        </w:tc>
      </w:tr>
      <w:tr>
        <w:tc>
          <w:tcPr>
            <w:tcW w:type="dxa" w:w="2736"/>
          </w:tcPr>
          <w:p>
            <w:pPr>
              <w:spacing w:after="20" w:before="20"/>
            </w:pPr>
            <w:r>
              <w:rPr>
                <w:sz w:val="17"/>
              </w:rPr>
            </w:r>
            <w:r>
              <w:rPr>
                <w:sz w:val="17"/>
              </w:rPr>
              <w:t>Slippage</w:t>
            </w:r>
          </w:p>
        </w:tc>
        <w:tc>
          <w:tcPr>
            <w:tcW w:type="dxa" w:w="2232"/>
          </w:tcPr>
          <w:p>
            <w:pPr>
              <w:spacing w:after="20" w:before="20"/>
            </w:pPr>
            <w:r>
              <w:rPr>
                <w:sz w:val="17"/>
              </w:rPr>
            </w:r>
            <w:r>
              <w:rPr>
                <w:sz w:val="17"/>
              </w:rPr>
              <w:t>0.05% of turnover</w:t>
            </w:r>
          </w:p>
        </w:tc>
        <w:tc>
          <w:tcPr>
            <w:tcW w:type="dxa" w:w="5112"/>
          </w:tcPr>
          <w:p>
            <w:pPr>
              <w:spacing w:after="20" w:before="20"/>
            </w:pPr>
            <w:r>
              <w:rPr>
                <w:sz w:val="17"/>
              </w:rPr>
            </w:r>
            <w:r>
              <w:rPr>
                <w:sz w:val="17"/>
              </w:rPr>
              <w:t>Execution friction</w:t>
            </w:r>
          </w:p>
        </w:tc>
      </w:tr>
      <w:tr>
        <w:tc>
          <w:tcPr>
            <w:tcW w:type="dxa" w:w="2736"/>
            <w:shd w:val="clear" w:color="auto" w:fill="F2F5F8"/>
          </w:tcPr>
          <w:p>
            <w:pPr>
              <w:spacing w:after="20" w:before="20"/>
            </w:pPr>
            <w:r>
              <w:rPr>
                <w:sz w:val="17"/>
              </w:rPr>
            </w:r>
            <w:r>
              <w:rPr>
                <w:sz w:val="17"/>
              </w:rPr>
              <w:t>Max position size</w:t>
            </w:r>
          </w:p>
        </w:tc>
        <w:tc>
          <w:tcPr>
            <w:tcW w:type="dxa" w:w="2232"/>
            <w:shd w:val="clear" w:color="auto" w:fill="F2F5F8"/>
          </w:tcPr>
          <w:p>
            <w:pPr>
              <w:spacing w:after="20" w:before="20"/>
            </w:pPr>
            <w:r>
              <w:rPr>
                <w:sz w:val="17"/>
              </w:rPr>
            </w:r>
            <w:r>
              <w:rPr>
                <w:sz w:val="17"/>
              </w:rPr>
              <w:t>30% per asset</w:t>
            </w:r>
          </w:p>
        </w:tc>
        <w:tc>
          <w:tcPr>
            <w:tcW w:type="dxa" w:w="5112"/>
            <w:shd w:val="clear" w:color="auto" w:fill="F2F5F8"/>
          </w:tcPr>
          <w:p>
            <w:pPr>
              <w:spacing w:after="20" w:before="20"/>
            </w:pPr>
            <w:r>
              <w:rPr>
                <w:sz w:val="17"/>
              </w:rPr>
            </w:r>
            <w:r>
              <w:rPr>
                <w:sz w:val="17"/>
              </w:rPr>
              <w:t>Concentration limit</w:t>
            </w:r>
          </w:p>
        </w:tc>
      </w:tr>
      <w:tr>
        <w:tc>
          <w:tcPr>
            <w:tcW w:type="dxa" w:w="2736"/>
          </w:tcPr>
          <w:p>
            <w:pPr>
              <w:spacing w:after="20" w:before="20"/>
            </w:pPr>
            <w:r>
              <w:rPr>
                <w:sz w:val="17"/>
              </w:rPr>
            </w:r>
            <w:r>
              <w:rPr>
                <w:sz w:val="17"/>
              </w:rPr>
              <w:t>Rebalance frequency</w:t>
            </w:r>
          </w:p>
        </w:tc>
        <w:tc>
          <w:tcPr>
            <w:tcW w:type="dxa" w:w="2232"/>
          </w:tcPr>
          <w:p>
            <w:pPr>
              <w:spacing w:after="20" w:before="20"/>
            </w:pPr>
            <w:r>
              <w:rPr>
                <w:sz w:val="17"/>
              </w:rPr>
            </w:r>
            <w:r>
              <w:rPr>
                <w:sz w:val="17"/>
              </w:rPr>
              <w:t>Daily</w:t>
            </w:r>
          </w:p>
        </w:tc>
        <w:tc>
          <w:tcPr>
            <w:tcW w:type="dxa" w:w="5112"/>
          </w:tcPr>
          <w:p>
            <w:pPr>
              <w:spacing w:after="20" w:before="20"/>
            </w:pPr>
            <w:r>
              <w:rPr>
                <w:sz w:val="17"/>
              </w:rPr>
            </w:r>
            <w:r>
              <w:rPr>
                <w:sz w:val="17"/>
              </w:rPr>
              <w:t>One step = one trading day</w:t>
            </w:r>
          </w:p>
        </w:tc>
      </w:tr>
      <w:tr>
        <w:tc>
          <w:tcPr>
            <w:tcW w:type="dxa" w:w="2736"/>
            <w:shd w:val="clear" w:color="auto" w:fill="F2F5F8"/>
          </w:tcPr>
          <w:p>
            <w:pPr>
              <w:spacing w:after="20" w:before="20"/>
            </w:pPr>
            <w:r>
              <w:rPr>
                <w:sz w:val="17"/>
              </w:rPr>
            </w:r>
            <w:r>
              <w:rPr>
                <w:sz w:val="17"/>
              </w:rPr>
              <w:t>Short selling</w:t>
            </w:r>
          </w:p>
        </w:tc>
        <w:tc>
          <w:tcPr>
            <w:tcW w:type="dxa" w:w="2232"/>
            <w:shd w:val="clear" w:color="auto" w:fill="F2F5F8"/>
          </w:tcPr>
          <w:p>
            <w:pPr>
              <w:spacing w:after="20" w:before="20"/>
            </w:pPr>
            <w:r>
              <w:rPr>
                <w:sz w:val="17"/>
              </w:rPr>
            </w:r>
            <w:r>
              <w:rPr>
                <w:sz w:val="17"/>
              </w:rPr>
              <w:t>Disabled</w:t>
            </w:r>
          </w:p>
        </w:tc>
        <w:tc>
          <w:tcPr>
            <w:tcW w:type="dxa" w:w="5112"/>
            <w:shd w:val="clear" w:color="auto" w:fill="F2F5F8"/>
          </w:tcPr>
          <w:p>
            <w:pPr>
              <w:spacing w:after="20" w:before="20"/>
            </w:pPr>
            <w:r>
              <w:rPr>
                <w:sz w:val="17"/>
              </w:rPr>
            </w:r>
            <w:r>
              <w:rPr>
                <w:sz w:val="17"/>
              </w:rPr>
              <w:t>CSE SBL availability unverified</w:t>
            </w:r>
          </w:p>
        </w:tc>
      </w:tr>
    </w:tbl>
    <w:p>
      <w:pPr>
        <w:spacing w:after="40"/>
      </w:pPr>
    </w:p>
    <w:p>
      <w:pPr>
        <w:pStyle w:val="Heading1"/>
      </w:pPr>
      <w:r>
        <w:t>10. Stage 9 — Reward Module</w:t>
      </w:r>
    </w:p>
    <w:p>
      <w:r>
        <w:rPr>
          <w:b w:val="0"/>
          <w:i/>
        </w:rPr>
        <w:t>Module: src/environment/reward.py — RewardCalculator</w:t>
      </w:r>
    </w:p>
    <w:p>
      <w:r>
        <w:rPr>
          <w:b w:val="0"/>
          <w:i w:val="0"/>
        </w:rPr>
        <w:t>Raw return is the wrong objective: it rewards leverage and luck. The reward here is explicitly risk-adjusted and cost-aware, so the behaviour PPO learns to maximise is the behaviour a portfolio manager would actually want.</w:t>
      </w:r>
    </w:p>
    <w:p>
      <w:pPr>
        <w:spacing w:after="160" w:before="80" w:line="240" w:lineRule="auto"/>
        <w:ind w:left="144"/>
      </w:pPr>
      <w:r>
        <w:rPr>
          <w:rFonts w:ascii="Consolas" w:hAnsi="Consolas"/>
          <w:sz w:val="19"/>
        </w:rPr>
        <w:t>r_t  =  Sharpe component  +  EVaR penalty  +  cost penalty</w:t>
        <w:br/>
        <w:t xml:space="preserve">        (positive)          (≤ 0)             (≤ 0)</w:t>
      </w:r>
    </w:p>
    <w:tbl>
      <w:tblPr>
        <w:tblStyle w:val="TableGrid"/>
        <w:tblW w:type="auto" w:w="0"/>
        <w:jc w:val="left"/>
        <w:tblLook w:firstColumn="1" w:firstRow="1" w:lastColumn="0" w:lastRow="0" w:noHBand="0" w:noVBand="1" w:val="04A0"/>
      </w:tblPr>
      <w:tblGrid>
        <w:gridCol w:w="3264"/>
        <w:gridCol w:w="3264"/>
        <w:gridCol w:w="3264"/>
      </w:tblGrid>
      <w:tr>
        <w:tc>
          <w:tcPr>
            <w:tcW w:type="dxa" w:w="1944"/>
            <w:shd w:val="clear" w:color="auto" w:fill="1F3B57"/>
          </w:tcPr>
          <w:p>
            <w:pPr>
              <w:spacing w:after="20" w:before="20"/>
            </w:pPr>
            <w:r/>
            <w:r>
              <w:rPr>
                <w:b/>
                <w:color w:val="FFFFFF"/>
                <w:sz w:val="17"/>
              </w:rPr>
              <w:t>Component</w:t>
            </w:r>
          </w:p>
        </w:tc>
        <w:tc>
          <w:tcPr>
            <w:tcW w:type="dxa" w:w="3960"/>
            <w:shd w:val="clear" w:color="auto" w:fill="1F3B57"/>
          </w:tcPr>
          <w:p>
            <w:pPr>
              <w:spacing w:after="20" w:before="20"/>
            </w:pPr>
            <w:r/>
            <w:r>
              <w:rPr>
                <w:b/>
                <w:color w:val="FFFFFF"/>
                <w:sz w:val="17"/>
              </w:rPr>
              <w:t>Definition</w:t>
            </w:r>
          </w:p>
        </w:tc>
        <w:tc>
          <w:tcPr>
            <w:tcW w:type="dxa" w:w="4176"/>
            <w:shd w:val="clear" w:color="auto" w:fill="1F3B57"/>
          </w:tcPr>
          <w:p>
            <w:pPr>
              <w:spacing w:after="20" w:before="20"/>
            </w:pPr>
            <w:r/>
            <w:r>
              <w:rPr>
                <w:b/>
                <w:color w:val="FFFFFF"/>
                <w:sz w:val="17"/>
              </w:rPr>
              <w:t>Purpose</w:t>
            </w:r>
          </w:p>
        </w:tc>
      </w:tr>
      <w:tr>
        <w:tc>
          <w:tcPr>
            <w:tcW w:type="dxa" w:w="1944"/>
          </w:tcPr>
          <w:p>
            <w:pPr>
              <w:spacing w:after="20" w:before="20"/>
            </w:pPr>
            <w:r>
              <w:rPr>
                <w:sz w:val="17"/>
              </w:rPr>
            </w:r>
            <w:r>
              <w:rPr>
                <w:b/>
                <w:sz w:val="17"/>
              </w:rPr>
              <w:t>Sharpe component</w:t>
            </w:r>
          </w:p>
        </w:tc>
        <w:tc>
          <w:tcPr>
            <w:tcW w:type="dxa" w:w="3960"/>
          </w:tcPr>
          <w:p>
            <w:pPr>
              <w:spacing w:after="20" w:before="20"/>
            </w:pPr>
            <w:r>
              <w:rPr>
                <w:sz w:val="17"/>
              </w:rPr>
            </w:r>
            <w:r>
              <w:rPr>
                <w:sz w:val="17"/>
              </w:rPr>
              <w:t>20-day rolling window of portfolio returns; (mean(excess) / std(excess)) × √252, where excess = r − daily risk-free rate and the risk-free rate is 6% p.a. (Sri Lanka)</w:t>
            </w:r>
          </w:p>
        </w:tc>
        <w:tc>
          <w:tcPr>
            <w:tcW w:type="dxa" w:w="4176"/>
          </w:tcPr>
          <w:p>
            <w:pPr>
              <w:spacing w:after="20" w:before="20"/>
            </w:pPr>
            <w:r>
              <w:rPr>
                <w:sz w:val="17"/>
              </w:rPr>
            </w:r>
            <w:r>
              <w:rPr>
                <w:sz w:val="17"/>
              </w:rPr>
              <w:t>Rewards return per unit of risk rather than return alone</w:t>
            </w:r>
          </w:p>
        </w:tc>
      </w:tr>
      <w:tr>
        <w:tc>
          <w:tcPr>
            <w:tcW w:type="dxa" w:w="1944"/>
            <w:shd w:val="clear" w:color="auto" w:fill="F2F5F8"/>
          </w:tcPr>
          <w:p>
            <w:pPr>
              <w:spacing w:after="20" w:before="20"/>
            </w:pPr>
            <w:r>
              <w:rPr>
                <w:sz w:val="17"/>
              </w:rPr>
            </w:r>
            <w:r>
              <w:rPr>
                <w:b/>
                <w:sz w:val="17"/>
              </w:rPr>
              <w:t>EVaR penalty</w:t>
            </w:r>
          </w:p>
        </w:tc>
        <w:tc>
          <w:tcPr>
            <w:tcW w:type="dxa" w:w="3960"/>
            <w:shd w:val="clear" w:color="auto" w:fill="F2F5F8"/>
          </w:tcPr>
          <w:p>
            <w:pPr>
              <w:spacing w:after="20" w:before="20"/>
            </w:pPr>
            <w:r>
              <w:rPr>
                <w:sz w:val="17"/>
              </w:rPr>
            </w:r>
            <w:r>
              <w:rPr>
                <w:sz w:val="17"/>
              </w:rPr>
              <w:t>Entropic Value-at-Risk on the negative returns in the same 20-day window: EVaR = (1/z)·ln( E[e^{−z·X}] / α ) with z = 1, α = 0.05; contributes −0.1 × max(EVaR, 0)</w:t>
            </w:r>
          </w:p>
        </w:tc>
        <w:tc>
          <w:tcPr>
            <w:tcW w:type="dxa" w:w="4176"/>
            <w:shd w:val="clear" w:color="auto" w:fill="F2F5F8"/>
          </w:tcPr>
          <w:p>
            <w:pPr>
              <w:spacing w:after="20" w:before="20"/>
            </w:pPr>
            <w:r>
              <w:rPr>
                <w:sz w:val="17"/>
              </w:rPr>
            </w:r>
            <w:r>
              <w:rPr>
                <w:sz w:val="17"/>
              </w:rPr>
              <w:t>EVaR is a coherent risk measure that upper-bounds both VaR and CVaR, so it penalises fat left tails that volatility alone does not capture</w:t>
            </w:r>
          </w:p>
        </w:tc>
      </w:tr>
      <w:tr>
        <w:tc>
          <w:tcPr>
            <w:tcW w:type="dxa" w:w="1944"/>
          </w:tcPr>
          <w:p>
            <w:pPr>
              <w:spacing w:after="20" w:before="20"/>
            </w:pPr>
            <w:r>
              <w:rPr>
                <w:sz w:val="17"/>
              </w:rPr>
            </w:r>
            <w:r>
              <w:rPr>
                <w:b/>
                <w:sz w:val="17"/>
              </w:rPr>
              <w:t>Cost penalty</w:t>
            </w:r>
          </w:p>
        </w:tc>
        <w:tc>
          <w:tcPr>
            <w:tcW w:type="dxa" w:w="3960"/>
          </w:tcPr>
          <w:p>
            <w:pPr>
              <w:spacing w:after="20" w:before="20"/>
            </w:pPr>
            <w:r>
              <w:rPr>
                <w:sz w:val="17"/>
              </w:rPr>
            </w:r>
            <w:r>
              <w:rPr>
                <w:sz w:val="17"/>
              </w:rPr>
              <w:t>−(0.001 × turnover + 0.001 × turnover²)</w:t>
            </w:r>
          </w:p>
        </w:tc>
        <w:tc>
          <w:tcPr>
            <w:tcW w:type="dxa" w:w="4176"/>
          </w:tcPr>
          <w:p>
            <w:pPr>
              <w:spacing w:after="20" w:before="20"/>
            </w:pPr>
            <w:r>
              <w:rPr>
                <w:sz w:val="17"/>
              </w:rPr>
            </w:r>
            <w:r>
              <w:rPr>
                <w:sz w:val="17"/>
              </w:rPr>
              <w:t>Linear term mirrors the real fee; the quadratic term discourages the churn that an unconstrained policy naturally drifts into</w:t>
            </w:r>
          </w:p>
        </w:tc>
      </w:tr>
    </w:tbl>
    <w:p>
      <w:pPr>
        <w:spacing w:after="40"/>
      </w:pPr>
    </w:p>
    <w:tbl>
      <w:tblPr>
        <w:tblStyle w:val="TableGrid"/>
        <w:tblW w:type="auto" w:w="0"/>
        <w:jc w:val="left"/>
        <w:tblLook w:firstColumn="1" w:firstRow="1" w:lastColumn="0" w:lastRow="0" w:noHBand="0" w:noVBand="1" w:val="04A0"/>
      </w:tblPr>
      <w:tblGrid>
        <w:gridCol w:w="2448"/>
        <w:gridCol w:w="2448"/>
        <w:gridCol w:w="2448"/>
        <w:gridCol w:w="2448"/>
      </w:tblGrid>
      <w:tr>
        <w:tc>
          <w:tcPr>
            <w:tcW w:type="dxa" w:w="1080"/>
            <w:shd w:val="clear" w:color="auto" w:fill="1F3B57"/>
          </w:tcPr>
          <w:p>
            <w:pPr>
              <w:spacing w:after="20" w:before="20"/>
            </w:pPr>
            <w:r/>
            <w:r>
              <w:rPr>
                <w:b/>
                <w:color w:val="FFFFFF"/>
                <w:sz w:val="17"/>
              </w:rPr>
              <w:t>Role</w:t>
            </w:r>
          </w:p>
        </w:tc>
        <w:tc>
          <w:tcPr>
            <w:tcW w:type="dxa" w:w="2088"/>
            <w:shd w:val="clear" w:color="auto" w:fill="1F3B57"/>
          </w:tcPr>
          <w:p>
            <w:pPr>
              <w:spacing w:after="20" w:before="20"/>
            </w:pPr>
            <w:r/>
            <w:r>
              <w:rPr>
                <w:b/>
                <w:color w:val="FFFFFF"/>
                <w:sz w:val="17"/>
              </w:rPr>
              <w:t>Tensor / object</w:t>
            </w:r>
          </w:p>
        </w:tc>
        <w:tc>
          <w:tcPr>
            <w:tcW w:type="dxa" w:w="2232"/>
            <w:shd w:val="clear" w:color="auto" w:fill="1F3B57"/>
          </w:tcPr>
          <w:p>
            <w:pPr>
              <w:spacing w:after="20" w:before="20"/>
            </w:pPr>
            <w:r/>
            <w:r>
              <w:rPr>
                <w:b/>
                <w:color w:val="FFFFFF"/>
                <w:sz w:val="17"/>
              </w:rPr>
              <w:t>Shape (concrete)</w:t>
            </w:r>
          </w:p>
        </w:tc>
        <w:tc>
          <w:tcPr>
            <w:tcW w:type="dxa" w:w="4824"/>
            <w:shd w:val="clear" w:color="auto" w:fill="1F3B57"/>
          </w:tcPr>
          <w:p>
            <w:pPr>
              <w:spacing w:after="20" w:before="20"/>
            </w:pPr>
            <w:r/>
            <w:r>
              <w:rPr>
                <w:b/>
                <w:color w:val="FFFFFF"/>
                <w:sz w:val="17"/>
              </w:rPr>
              <w:t>Meaning</w:t>
            </w:r>
          </w:p>
        </w:tc>
      </w:tr>
      <w:tr>
        <w:tc>
          <w:tcPr>
            <w:tcW w:type="dxa" w:w="1080"/>
          </w:tcPr>
          <w:p>
            <w:pPr>
              <w:spacing w:after="20" w:before="20"/>
            </w:pPr>
            <w:r>
              <w:rPr>
                <w:sz w:val="17"/>
              </w:rPr>
            </w:r>
            <w:r>
              <w:rPr>
                <w:sz w:val="17"/>
              </w:rPr>
              <w:t>INPUT</w:t>
            </w:r>
          </w:p>
        </w:tc>
        <w:tc>
          <w:tcPr>
            <w:tcW w:type="dxa" w:w="2088"/>
          </w:tcPr>
          <w:p>
            <w:pPr>
              <w:spacing w:after="20" w:before="20"/>
            </w:pPr>
            <w:r/>
            <w:r>
              <w:rPr>
                <w:rFonts w:ascii="Consolas" w:hAnsi="Consolas"/>
                <w:sz w:val="16"/>
              </w:rPr>
              <w:t>portfolio_return</w:t>
            </w:r>
          </w:p>
        </w:tc>
        <w:tc>
          <w:tcPr>
            <w:tcW w:type="dxa" w:w="2232"/>
          </w:tcPr>
          <w:p>
            <w:pPr>
              <w:spacing w:after="20" w:before="20"/>
            </w:pPr>
            <w:r/>
            <w:r>
              <w:rPr>
                <w:rFonts w:ascii="Consolas" w:hAnsi="Consolas"/>
                <w:sz w:val="16"/>
              </w:rPr>
              <w:t>float</w:t>
            </w:r>
          </w:p>
        </w:tc>
        <w:tc>
          <w:tcPr>
            <w:tcW w:type="dxa" w:w="4824"/>
          </w:tcPr>
          <w:p>
            <w:pPr>
              <w:spacing w:after="20" w:before="20"/>
            </w:pPr>
            <w:r>
              <w:rPr>
                <w:sz w:val="17"/>
              </w:rPr>
            </w:r>
            <w:r>
              <w:rPr>
                <w:sz w:val="17"/>
              </w:rPr>
              <w:t>Realised return from the environment</w:t>
            </w:r>
          </w:p>
        </w:tc>
      </w:tr>
      <w:tr>
        <w:tc>
          <w:tcPr>
            <w:tcW w:type="dxa" w:w="1080"/>
            <w:shd w:val="clear" w:color="auto" w:fill="F2F5F8"/>
          </w:tcPr>
          <w:p>
            <w:pPr>
              <w:spacing w:after="20" w:before="20"/>
            </w:pPr>
            <w:r>
              <w:rPr>
                <w:sz w:val="17"/>
              </w:rPr>
            </w:r>
            <w:r>
              <w:rPr>
                <w:sz w:val="17"/>
              </w:rPr>
              <w:t>INPUT</w:t>
            </w:r>
          </w:p>
        </w:tc>
        <w:tc>
          <w:tcPr>
            <w:tcW w:type="dxa" w:w="2088"/>
            <w:shd w:val="clear" w:color="auto" w:fill="F2F5F8"/>
          </w:tcPr>
          <w:p>
            <w:pPr>
              <w:spacing w:after="20" w:before="20"/>
            </w:pPr>
            <w:r/>
            <w:r>
              <w:rPr>
                <w:rFonts w:ascii="Consolas" w:hAnsi="Consolas"/>
                <w:sz w:val="16"/>
              </w:rPr>
              <w:t>old_weights, new_weights</w:t>
            </w:r>
          </w:p>
        </w:tc>
        <w:tc>
          <w:tcPr>
            <w:tcW w:type="dxa" w:w="2232"/>
            <w:shd w:val="clear" w:color="auto" w:fill="F2F5F8"/>
          </w:tcPr>
          <w:p>
            <w:pPr>
              <w:spacing w:after="20" w:before="20"/>
            </w:pPr>
            <w:r/>
            <w:r>
              <w:rPr>
                <w:rFonts w:ascii="Consolas" w:hAnsi="Consolas"/>
                <w:sz w:val="16"/>
              </w:rPr>
              <w:t>(10,) each</w:t>
            </w:r>
          </w:p>
        </w:tc>
        <w:tc>
          <w:tcPr>
            <w:tcW w:type="dxa" w:w="4824"/>
            <w:shd w:val="clear" w:color="auto" w:fill="F2F5F8"/>
          </w:tcPr>
          <w:p>
            <w:pPr>
              <w:spacing w:after="20" w:before="20"/>
            </w:pPr>
            <w:r>
              <w:rPr>
                <w:sz w:val="17"/>
              </w:rPr>
            </w:r>
            <w:r>
              <w:rPr>
                <w:sz w:val="17"/>
              </w:rPr>
              <w:t>Used to compute turnover</w:t>
            </w:r>
          </w:p>
        </w:tc>
      </w:tr>
      <w:tr>
        <w:tc>
          <w:tcPr>
            <w:tcW w:type="dxa" w:w="1080"/>
          </w:tcPr>
          <w:p>
            <w:pPr>
              <w:spacing w:after="20" w:before="20"/>
            </w:pPr>
            <w:r>
              <w:rPr>
                <w:sz w:val="17"/>
              </w:rPr>
            </w:r>
            <w:r>
              <w:rPr>
                <w:sz w:val="17"/>
              </w:rPr>
              <w:t>OUTPUT</w:t>
            </w:r>
          </w:p>
        </w:tc>
        <w:tc>
          <w:tcPr>
            <w:tcW w:type="dxa" w:w="2088"/>
          </w:tcPr>
          <w:p>
            <w:pPr>
              <w:spacing w:after="20" w:before="20"/>
            </w:pPr>
            <w:r/>
            <w:r>
              <w:rPr>
                <w:rFonts w:ascii="Consolas" w:hAnsi="Consolas"/>
                <w:sz w:val="16"/>
              </w:rPr>
              <w:t>net_reward</w:t>
            </w:r>
          </w:p>
        </w:tc>
        <w:tc>
          <w:tcPr>
            <w:tcW w:type="dxa" w:w="2232"/>
          </w:tcPr>
          <w:p>
            <w:pPr>
              <w:spacing w:after="20" w:before="20"/>
            </w:pPr>
            <w:r/>
            <w:r>
              <w:rPr>
                <w:rFonts w:ascii="Consolas" w:hAnsi="Consolas"/>
                <w:sz w:val="16"/>
              </w:rPr>
              <w:t>float</w:t>
            </w:r>
          </w:p>
        </w:tc>
        <w:tc>
          <w:tcPr>
            <w:tcW w:type="dxa" w:w="4824"/>
          </w:tcPr>
          <w:p>
            <w:pPr>
              <w:spacing w:after="20" w:before="20"/>
            </w:pPr>
            <w:r>
              <w:rPr>
                <w:sz w:val="17"/>
              </w:rPr>
            </w:r>
            <w:r>
              <w:rPr>
                <w:sz w:val="17"/>
              </w:rPr>
              <w:t>The scalar PPO optimises</w:t>
            </w:r>
          </w:p>
        </w:tc>
      </w:tr>
      <w:tr>
        <w:tc>
          <w:tcPr>
            <w:tcW w:type="dxa" w:w="1080"/>
            <w:shd w:val="clear" w:color="auto" w:fill="F2F5F8"/>
          </w:tcPr>
          <w:p>
            <w:pPr>
              <w:spacing w:after="20" w:before="20"/>
            </w:pPr>
            <w:r>
              <w:rPr>
                <w:sz w:val="17"/>
              </w:rPr>
            </w:r>
            <w:r>
              <w:rPr>
                <w:sz w:val="17"/>
              </w:rPr>
              <w:t>OUTPUT</w:t>
            </w:r>
          </w:p>
        </w:tc>
        <w:tc>
          <w:tcPr>
            <w:tcW w:type="dxa" w:w="2088"/>
            <w:shd w:val="clear" w:color="auto" w:fill="F2F5F8"/>
          </w:tcPr>
          <w:p>
            <w:pPr>
              <w:spacing w:after="20" w:before="20"/>
            </w:pPr>
            <w:r/>
            <w:r>
              <w:rPr>
                <w:rFonts w:ascii="Consolas" w:hAnsi="Consolas"/>
                <w:sz w:val="16"/>
              </w:rPr>
              <w:t>components</w:t>
            </w:r>
          </w:p>
        </w:tc>
        <w:tc>
          <w:tcPr>
            <w:tcW w:type="dxa" w:w="2232"/>
            <w:shd w:val="clear" w:color="auto" w:fill="F2F5F8"/>
          </w:tcPr>
          <w:p>
            <w:pPr>
              <w:spacing w:after="20" w:before="20"/>
            </w:pPr>
            <w:r/>
            <w:r>
              <w:rPr>
                <w:rFonts w:ascii="Consolas" w:hAnsi="Consolas"/>
                <w:sz w:val="16"/>
              </w:rPr>
              <w:t>dict</w:t>
            </w:r>
          </w:p>
        </w:tc>
        <w:tc>
          <w:tcPr>
            <w:tcW w:type="dxa" w:w="4824"/>
            <w:shd w:val="clear" w:color="auto" w:fill="F2F5F8"/>
          </w:tcPr>
          <w:p>
            <w:pPr>
              <w:spacing w:after="20" w:before="20"/>
            </w:pPr>
            <w:r>
              <w:rPr>
                <w:sz w:val="17"/>
              </w:rPr>
            </w:r>
            <w:r>
              <w:rPr>
                <w:sz w:val="17"/>
              </w:rPr>
              <w:t>Sharpe / EVaR / cost breakdown, for diagnostics</w:t>
            </w:r>
          </w:p>
        </w:tc>
      </w:tr>
    </w:tbl>
    <w:p>
      <w:pPr>
        <w:spacing w:after="40"/>
      </w:pPr>
    </w:p>
    <w:p>
      <w:r>
        <w:rPr>
          <w:b/>
        </w:rPr>
        <w:t xml:space="preserve">Scale issue and how it is handled: </w:t>
      </w:r>
      <w:r>
        <w:t>the Sharpe component is annualised (×√252), so raw rewards land around ±15 and discounted returns reach the hundreds. The resulting value loss (~1e4) produces a critic gradient orders of magnitude larger than the actor's, and because `clip_grad_norm_` is applied to all parameters jointly it rescales the entire update, leaving the actor with an effective learning rate near zero. `RewardNormalizer` (src/training/advantage.py) divides rewards by a running estimate of the discounted-return standard deviation — dividing rather than mean-centring, so the sign of the Sharpe signal is preserved. This was a real diagnosed failure, and it is a good concrete example of joint optimisation being harder than training the parts separately.</w:t>
      </w:r>
    </w:p>
    <w:p>
      <w:r>
        <w:br w:type="page"/>
      </w:r>
    </w:p>
    <w:p>
      <w:pPr>
        <w:pStyle w:val="Heading1"/>
      </w:pPr>
      <w:r>
        <w:t>11. Stage 10 — Training: GAE, the PPO Objective, and the Joint Update</w:t>
      </w:r>
    </w:p>
    <w:p>
      <w:r>
        <w:rPr>
          <w:b w:val="0"/>
          <w:i/>
        </w:rPr>
        <w:t>Modules: src/training/trainer.py, advantage.py, optimizer.py</w:t>
      </w:r>
    </w:p>
    <w:p>
      <w:pPr>
        <w:pStyle w:val="Heading2"/>
      </w:pPr>
      <w:r>
        <w:t>11.1 Rollout collection</w:t>
      </w:r>
    </w:p>
    <w:p>
      <w:r>
        <w:rPr>
          <w:b w:val="0"/>
          <w:i w:val="0"/>
        </w:rPr>
        <w:t>The agent runs 256 consecutive days in the training environment under the current policy, storing one transition per day. The policy is in eval mode and sampling stochastically, and no LSTM state is carried between steps.</w:t>
      </w:r>
    </w:p>
    <w:tbl>
      <w:tblPr>
        <w:tblStyle w:val="TableGrid"/>
        <w:tblW w:type="auto" w:w="0"/>
        <w:jc w:val="left"/>
        <w:tblLook w:firstColumn="1" w:firstRow="1" w:lastColumn="0" w:lastRow="0" w:noHBand="0" w:noVBand="1" w:val="04A0"/>
      </w:tblPr>
      <w:tblGrid>
        <w:gridCol w:w="3264"/>
        <w:gridCol w:w="3264"/>
        <w:gridCol w:w="3264"/>
      </w:tblGrid>
      <w:tr>
        <w:tc>
          <w:tcPr>
            <w:tcW w:type="dxa" w:w="2520"/>
            <w:shd w:val="clear" w:color="auto" w:fill="1F3B57"/>
          </w:tcPr>
          <w:p>
            <w:pPr>
              <w:spacing w:after="20" w:before="20"/>
            </w:pPr>
            <w:r/>
            <w:r>
              <w:rPr>
                <w:b/>
                <w:color w:val="FFFFFF"/>
                <w:sz w:val="17"/>
              </w:rPr>
              <w:t>Stored per step</w:t>
            </w:r>
          </w:p>
        </w:tc>
        <w:tc>
          <w:tcPr>
            <w:tcW w:type="dxa" w:w="2016"/>
            <w:shd w:val="clear" w:color="auto" w:fill="1F3B57"/>
          </w:tcPr>
          <w:p>
            <w:pPr>
              <w:spacing w:after="20" w:before="20"/>
            </w:pPr>
            <w:r/>
            <w:r>
              <w:rPr>
                <w:b/>
                <w:color w:val="FFFFFF"/>
                <w:sz w:val="17"/>
              </w:rPr>
              <w:t>Shape</w:t>
            </w:r>
          </w:p>
        </w:tc>
        <w:tc>
          <w:tcPr>
            <w:tcW w:type="dxa" w:w="5544"/>
            <w:shd w:val="clear" w:color="auto" w:fill="1F3B57"/>
          </w:tcPr>
          <w:p>
            <w:pPr>
              <w:spacing w:after="20" w:before="20"/>
            </w:pPr>
            <w:r/>
            <w:r>
              <w:rPr>
                <w:b/>
                <w:color w:val="FFFFFF"/>
                <w:sz w:val="17"/>
              </w:rPr>
              <w:t>Used for</w:t>
            </w:r>
          </w:p>
        </w:tc>
      </w:tr>
      <w:tr>
        <w:tc>
          <w:tcPr>
            <w:tcW w:type="dxa" w:w="2520"/>
          </w:tcPr>
          <w:p>
            <w:pPr>
              <w:spacing w:after="20" w:before="20"/>
            </w:pPr>
            <w:r>
              <w:rPr>
                <w:sz w:val="17"/>
              </w:rPr>
            </w:r>
            <w:r>
              <w:rPr>
                <w:rFonts w:ascii="Consolas" w:hAnsi="Consolas"/>
                <w:sz w:val="17"/>
              </w:rPr>
              <w:t>observations</w:t>
            </w:r>
          </w:p>
        </w:tc>
        <w:tc>
          <w:tcPr>
            <w:tcW w:type="dxa" w:w="2016"/>
          </w:tcPr>
          <w:p>
            <w:pPr>
              <w:spacing w:after="20" w:before="20"/>
            </w:pPr>
            <w:r>
              <w:rPr>
                <w:sz w:val="17"/>
              </w:rPr>
            </w:r>
            <w:r>
              <w:rPr>
                <w:sz w:val="17"/>
              </w:rPr>
              <w:t>(256, 30, 150)</w:t>
            </w:r>
          </w:p>
        </w:tc>
        <w:tc>
          <w:tcPr>
            <w:tcW w:type="dxa" w:w="5544"/>
          </w:tcPr>
          <w:p>
            <w:pPr>
              <w:spacing w:after="20" w:before="20"/>
            </w:pPr>
            <w:r>
              <w:rPr>
                <w:sz w:val="17"/>
              </w:rPr>
            </w:r>
            <w:r>
              <w:rPr>
                <w:sz w:val="17"/>
              </w:rPr>
              <w:t>Re-encoded during the update</w:t>
            </w:r>
          </w:p>
        </w:tc>
      </w:tr>
      <w:tr>
        <w:tc>
          <w:tcPr>
            <w:tcW w:type="dxa" w:w="2520"/>
            <w:shd w:val="clear" w:color="auto" w:fill="F2F5F8"/>
          </w:tcPr>
          <w:p>
            <w:pPr>
              <w:spacing w:after="20" w:before="20"/>
            </w:pPr>
            <w:r>
              <w:rPr>
                <w:sz w:val="17"/>
              </w:rPr>
            </w:r>
            <w:r>
              <w:rPr>
                <w:rFonts w:ascii="Consolas" w:hAnsi="Consolas"/>
                <w:sz w:val="17"/>
              </w:rPr>
              <w:t>actions</w:t>
            </w:r>
            <w:r>
              <w:rPr>
                <w:sz w:val="17"/>
              </w:rPr>
              <w:t xml:space="preserve"> (raw_action)</w:t>
            </w:r>
          </w:p>
        </w:tc>
        <w:tc>
          <w:tcPr>
            <w:tcW w:type="dxa" w:w="2016"/>
            <w:shd w:val="clear" w:color="auto" w:fill="F2F5F8"/>
          </w:tcPr>
          <w:p>
            <w:pPr>
              <w:spacing w:after="20" w:before="20"/>
            </w:pPr>
            <w:r>
              <w:rPr>
                <w:sz w:val="17"/>
              </w:rPr>
            </w:r>
            <w:r>
              <w:rPr>
                <w:sz w:val="17"/>
              </w:rPr>
              <w:t>(256, 10)</w:t>
            </w:r>
          </w:p>
        </w:tc>
        <w:tc>
          <w:tcPr>
            <w:tcW w:type="dxa" w:w="5544"/>
            <w:shd w:val="clear" w:color="auto" w:fill="F2F5F8"/>
          </w:tcPr>
          <w:p>
            <w:pPr>
              <w:spacing w:after="20" w:before="20"/>
            </w:pPr>
            <w:r>
              <w:rPr>
                <w:sz w:val="17"/>
              </w:rPr>
            </w:r>
            <w:r>
              <w:rPr>
                <w:sz w:val="17"/>
              </w:rPr>
              <w:t>Re-evaluated to form the PPO ratio</w:t>
            </w:r>
          </w:p>
        </w:tc>
      </w:tr>
      <w:tr>
        <w:tc>
          <w:tcPr>
            <w:tcW w:type="dxa" w:w="2520"/>
          </w:tcPr>
          <w:p>
            <w:pPr>
              <w:spacing w:after="20" w:before="20"/>
            </w:pPr>
            <w:r>
              <w:rPr>
                <w:sz w:val="17"/>
              </w:rPr>
            </w:r>
            <w:r>
              <w:rPr>
                <w:rFonts w:ascii="Consolas" w:hAnsi="Consolas"/>
                <w:sz w:val="17"/>
              </w:rPr>
              <w:t>log_probs</w:t>
            </w:r>
          </w:p>
        </w:tc>
        <w:tc>
          <w:tcPr>
            <w:tcW w:type="dxa" w:w="2016"/>
          </w:tcPr>
          <w:p>
            <w:pPr>
              <w:spacing w:after="20" w:before="20"/>
            </w:pPr>
            <w:r>
              <w:rPr>
                <w:sz w:val="17"/>
              </w:rPr>
            </w:r>
            <w:r>
              <w:rPr>
                <w:sz w:val="17"/>
              </w:rPr>
              <w:t>(256,)</w:t>
            </w:r>
          </w:p>
        </w:tc>
        <w:tc>
          <w:tcPr>
            <w:tcW w:type="dxa" w:w="5544"/>
          </w:tcPr>
          <w:p>
            <w:pPr>
              <w:spacing w:after="20" w:before="20"/>
            </w:pPr>
            <w:r>
              <w:rPr>
                <w:sz w:val="17"/>
              </w:rPr>
            </w:r>
            <w:r>
              <w:rPr>
                <w:sz w:val="17"/>
              </w:rPr>
              <w:t>The "old" policy density</w:t>
            </w:r>
          </w:p>
        </w:tc>
      </w:tr>
      <w:tr>
        <w:tc>
          <w:tcPr>
            <w:tcW w:type="dxa" w:w="2520"/>
            <w:shd w:val="clear" w:color="auto" w:fill="F2F5F8"/>
          </w:tcPr>
          <w:p>
            <w:pPr>
              <w:spacing w:after="20" w:before="20"/>
            </w:pPr>
            <w:r>
              <w:rPr>
                <w:sz w:val="17"/>
              </w:rPr>
            </w:r>
            <w:r>
              <w:rPr>
                <w:rFonts w:ascii="Consolas" w:hAnsi="Consolas"/>
                <w:sz w:val="17"/>
              </w:rPr>
              <w:t>values</w:t>
            </w:r>
          </w:p>
        </w:tc>
        <w:tc>
          <w:tcPr>
            <w:tcW w:type="dxa" w:w="2016"/>
            <w:shd w:val="clear" w:color="auto" w:fill="F2F5F8"/>
          </w:tcPr>
          <w:p>
            <w:pPr>
              <w:spacing w:after="20" w:before="20"/>
            </w:pPr>
            <w:r>
              <w:rPr>
                <w:sz w:val="17"/>
              </w:rPr>
            </w:r>
            <w:r>
              <w:rPr>
                <w:sz w:val="17"/>
              </w:rPr>
              <w:t>(256,)</w:t>
            </w:r>
          </w:p>
        </w:tc>
        <w:tc>
          <w:tcPr>
            <w:tcW w:type="dxa" w:w="5544"/>
            <w:shd w:val="clear" w:color="auto" w:fill="F2F5F8"/>
          </w:tcPr>
          <w:p>
            <w:pPr>
              <w:spacing w:after="20" w:before="20"/>
            </w:pPr>
            <w:r>
              <w:rPr>
                <w:sz w:val="17"/>
              </w:rPr>
            </w:r>
            <w:r>
              <w:rPr>
                <w:sz w:val="17"/>
              </w:rPr>
              <w:t>Critic baseline for GAE</w:t>
            </w:r>
          </w:p>
        </w:tc>
      </w:tr>
      <w:tr>
        <w:tc>
          <w:tcPr>
            <w:tcW w:type="dxa" w:w="2520"/>
          </w:tcPr>
          <w:p>
            <w:pPr>
              <w:spacing w:after="20" w:before="20"/>
            </w:pPr>
            <w:r>
              <w:rPr>
                <w:sz w:val="17"/>
              </w:rPr>
            </w:r>
            <w:r>
              <w:rPr>
                <w:rFonts w:ascii="Consolas" w:hAnsi="Consolas"/>
                <w:sz w:val="17"/>
              </w:rPr>
              <w:t>rewards</w:t>
            </w:r>
          </w:p>
        </w:tc>
        <w:tc>
          <w:tcPr>
            <w:tcW w:type="dxa" w:w="2016"/>
          </w:tcPr>
          <w:p>
            <w:pPr>
              <w:spacing w:after="20" w:before="20"/>
            </w:pPr>
            <w:r>
              <w:rPr>
                <w:sz w:val="17"/>
              </w:rPr>
            </w:r>
            <w:r>
              <w:rPr>
                <w:sz w:val="17"/>
              </w:rPr>
              <w:t>(256,)</w:t>
            </w:r>
          </w:p>
        </w:tc>
        <w:tc>
          <w:tcPr>
            <w:tcW w:type="dxa" w:w="5544"/>
          </w:tcPr>
          <w:p>
            <w:pPr>
              <w:spacing w:after="20" w:before="20"/>
            </w:pPr>
            <w:r>
              <w:rPr>
                <w:sz w:val="17"/>
              </w:rPr>
            </w:r>
            <w:r>
              <w:rPr>
                <w:sz w:val="17"/>
              </w:rPr>
              <w:t>Net reward from the reward module</w:t>
            </w:r>
          </w:p>
        </w:tc>
      </w:tr>
      <w:tr>
        <w:tc>
          <w:tcPr>
            <w:tcW w:type="dxa" w:w="2520"/>
            <w:shd w:val="clear" w:color="auto" w:fill="F2F5F8"/>
          </w:tcPr>
          <w:p>
            <w:pPr>
              <w:spacing w:after="20" w:before="20"/>
            </w:pPr>
            <w:r>
              <w:rPr>
                <w:sz w:val="17"/>
              </w:rPr>
            </w:r>
            <w:r>
              <w:rPr>
                <w:rFonts w:ascii="Consolas" w:hAnsi="Consolas"/>
                <w:sz w:val="17"/>
              </w:rPr>
              <w:t>dones</w:t>
            </w:r>
          </w:p>
        </w:tc>
        <w:tc>
          <w:tcPr>
            <w:tcW w:type="dxa" w:w="2016"/>
            <w:shd w:val="clear" w:color="auto" w:fill="F2F5F8"/>
          </w:tcPr>
          <w:p>
            <w:pPr>
              <w:spacing w:after="20" w:before="20"/>
            </w:pPr>
            <w:r>
              <w:rPr>
                <w:sz w:val="17"/>
              </w:rPr>
            </w:r>
            <w:r>
              <w:rPr>
                <w:sz w:val="17"/>
              </w:rPr>
              <w:t>(256,)</w:t>
            </w:r>
          </w:p>
        </w:tc>
        <w:tc>
          <w:tcPr>
            <w:tcW w:type="dxa" w:w="5544"/>
            <w:shd w:val="clear" w:color="auto" w:fill="F2F5F8"/>
          </w:tcPr>
          <w:p>
            <w:pPr>
              <w:spacing w:after="20" w:before="20"/>
            </w:pPr>
            <w:r>
              <w:rPr>
                <w:sz w:val="17"/>
              </w:rPr>
            </w:r>
            <w:r>
              <w:rPr>
                <w:sz w:val="17"/>
              </w:rPr>
              <w:t>Episode boundaries</w:t>
            </w:r>
          </w:p>
        </w:tc>
      </w:tr>
      <w:tr>
        <w:tc>
          <w:tcPr>
            <w:tcW w:type="dxa" w:w="2520"/>
          </w:tcPr>
          <w:p>
            <w:pPr>
              <w:spacing w:after="20" w:before="20"/>
            </w:pPr>
            <w:r>
              <w:rPr>
                <w:sz w:val="17"/>
              </w:rPr>
            </w:r>
            <w:r>
              <w:rPr>
                <w:rFonts w:ascii="Consolas" w:hAnsi="Consolas"/>
                <w:sz w:val="17"/>
              </w:rPr>
              <w:t>regime_probs</w:t>
            </w:r>
          </w:p>
        </w:tc>
        <w:tc>
          <w:tcPr>
            <w:tcW w:type="dxa" w:w="2016"/>
          </w:tcPr>
          <w:p>
            <w:pPr>
              <w:spacing w:after="20" w:before="20"/>
            </w:pPr>
            <w:r>
              <w:rPr>
                <w:sz w:val="17"/>
              </w:rPr>
            </w:r>
            <w:r>
              <w:rPr>
                <w:sz w:val="17"/>
              </w:rPr>
              <w:t>(256, 3)</w:t>
            </w:r>
          </w:p>
        </w:tc>
        <w:tc>
          <w:tcPr>
            <w:tcW w:type="dxa" w:w="5544"/>
          </w:tcPr>
          <w:p>
            <w:pPr>
              <w:spacing w:after="20" w:before="20"/>
            </w:pPr>
            <w:r>
              <w:rPr>
                <w:sz w:val="17"/>
              </w:rPr>
            </w:r>
            <w:r>
              <w:rPr>
                <w:sz w:val="17"/>
              </w:rPr>
              <w:t>Regime-entropy diagnostics</w:t>
            </w:r>
          </w:p>
        </w:tc>
      </w:tr>
      <w:tr>
        <w:tc>
          <w:tcPr>
            <w:tcW w:type="dxa" w:w="2520"/>
            <w:shd w:val="clear" w:color="auto" w:fill="F2F5F8"/>
          </w:tcPr>
          <w:p>
            <w:pPr>
              <w:spacing w:after="20" w:before="20"/>
            </w:pPr>
            <w:r>
              <w:rPr>
                <w:sz w:val="17"/>
              </w:rPr>
            </w:r>
            <w:r>
              <w:rPr>
                <w:rFonts w:ascii="Consolas" w:hAnsi="Consolas"/>
                <w:sz w:val="17"/>
              </w:rPr>
              <w:t>portfolio_returns</w:t>
            </w:r>
          </w:p>
        </w:tc>
        <w:tc>
          <w:tcPr>
            <w:tcW w:type="dxa" w:w="2016"/>
            <w:shd w:val="clear" w:color="auto" w:fill="F2F5F8"/>
          </w:tcPr>
          <w:p>
            <w:pPr>
              <w:spacing w:after="20" w:before="20"/>
            </w:pPr>
            <w:r>
              <w:rPr>
                <w:sz w:val="17"/>
              </w:rPr>
            </w:r>
            <w:r>
              <w:rPr>
                <w:sz w:val="17"/>
              </w:rPr>
              <w:t>(256,)</w:t>
            </w:r>
          </w:p>
        </w:tc>
        <w:tc>
          <w:tcPr>
            <w:tcW w:type="dxa" w:w="5544"/>
            <w:shd w:val="clear" w:color="auto" w:fill="F2F5F8"/>
          </w:tcPr>
          <w:p>
            <w:pPr>
              <w:spacing w:after="20" w:before="20"/>
            </w:pPr>
            <w:r>
              <w:rPr>
                <w:sz w:val="17"/>
              </w:rPr>
            </w:r>
            <w:r>
              <w:rPr>
                <w:sz w:val="17"/>
              </w:rPr>
              <w:t>Adaptive fine-tuning trigger</w:t>
            </w:r>
          </w:p>
        </w:tc>
      </w:tr>
    </w:tbl>
    <w:p>
      <w:pPr>
        <w:spacing w:after="40"/>
      </w:pPr>
    </w:p>
    <w:p>
      <w:pPr>
        <w:pStyle w:val="Heading2"/>
      </w:pPr>
      <w:r>
        <w:t>11.2 Generalized Advantage Estimation</w:t>
      </w:r>
    </w:p>
    <w:p>
      <w:pPr>
        <w:spacing w:after="160" w:before="80" w:line="240" w:lineRule="auto"/>
        <w:ind w:left="144"/>
      </w:pPr>
      <w:r>
        <w:rPr>
          <w:rFonts w:ascii="Consolas" w:hAnsi="Consolas"/>
          <w:sz w:val="17"/>
        </w:rPr>
        <w:t>delta_t     = r_t + γ·V(s_{t+1})·(1 − done_t) − V(s_t)      # TD error</w:t>
        <w:br/>
        <w:t>A_t         = delta_t + γ·λ·(1 − done_t)·A_{t+1}           # computed backwards</w:t>
        <w:br/>
        <w:t>R_t         = A_t + V(s_t)                                 # value-loss target</w:t>
        <w:br/>
        <w:t>A           = (A − mean(A)) / (std(A) + 1e-8)              # per-batch normalisation</w:t>
        <w:br/>
        <w:br/>
        <w:t>γ = 0.99   discount factor</w:t>
        <w:br/>
        <w:t>λ = 0.95   bias–variance trade-off</w:t>
      </w:r>
    </w:p>
    <w:p>
      <w:r>
        <w:rPr>
          <w:b w:val="0"/>
          <w:i w:val="0"/>
        </w:rPr>
        <w:t>λ interpolates between a high-bias one-step TD estimate (λ = 0) and a high-variance Monte-Carlo return (λ = 1). 0.95 is the standard compromise.</w:t>
      </w:r>
    </w:p>
    <w:p>
      <w:pPr>
        <w:pStyle w:val="Heading2"/>
      </w:pPr>
      <w:r>
        <w:t>11.3 The PPO objective</w:t>
      </w:r>
    </w:p>
    <w:p>
      <w:pPr>
        <w:spacing w:after="160" w:before="80" w:line="240" w:lineRule="auto"/>
        <w:ind w:left="144"/>
      </w:pPr>
      <w:r>
        <w:rPr>
          <w:rFonts w:ascii="Consolas" w:hAnsi="Consolas"/>
          <w:sz w:val="17"/>
        </w:rPr>
        <w:t>ratio        = exp( log π_new(a|s) − log π_old(a|s) )</w:t>
        <w:br/>
        <w:br/>
        <w:t>L_policy     = − E[ min( ratio · A ,  clip(ratio, 1−ε, 1+ε) · A ) ]      ε = 0.2</w:t>
        <w:br/>
        <w:t>L_value      =   E[ ( V(s) − R )² ]</w:t>
        <w:br/>
        <w:t>L_entropy    = − E[ H(π) ]</w:t>
        <w:br/>
        <w:br/>
        <w:t>L_total      = L_policy + 0.5 · L_value + 0.01 · L_entropy</w:t>
      </w:r>
    </w:p>
    <w:tbl>
      <w:tblPr>
        <w:tblStyle w:val="TableGrid"/>
        <w:tblW w:type="auto" w:w="0"/>
        <w:jc w:val="left"/>
        <w:tblLook w:firstColumn="1" w:firstRow="1" w:lastColumn="0" w:lastRow="0" w:noHBand="0" w:noVBand="1" w:val="04A0"/>
      </w:tblPr>
      <w:tblGrid>
        <w:gridCol w:w="4896"/>
        <w:gridCol w:w="4896"/>
      </w:tblGrid>
      <w:tr>
        <w:tc>
          <w:tcPr>
            <w:tcW w:type="dxa" w:w="2448"/>
            <w:shd w:val="clear" w:color="auto" w:fill="1F3B57"/>
          </w:tcPr>
          <w:p>
            <w:pPr>
              <w:spacing w:after="20" w:before="20"/>
            </w:pPr>
            <w:r/>
            <w:r>
              <w:rPr>
                <w:b/>
                <w:color w:val="FFFFFF"/>
                <w:sz w:val="17"/>
              </w:rPr>
              <w:t>Term</w:t>
            </w:r>
          </w:p>
        </w:tc>
        <w:tc>
          <w:tcPr>
            <w:tcW w:type="dxa" w:w="7632"/>
            <w:shd w:val="clear" w:color="auto" w:fill="1F3B57"/>
          </w:tcPr>
          <w:p>
            <w:pPr>
              <w:spacing w:after="20" w:before="20"/>
            </w:pPr>
            <w:r/>
            <w:r>
              <w:rPr>
                <w:b/>
                <w:color w:val="FFFFFF"/>
                <w:sz w:val="17"/>
              </w:rPr>
              <w:t>Effect</w:t>
            </w:r>
          </w:p>
        </w:tc>
      </w:tr>
      <w:tr>
        <w:tc>
          <w:tcPr>
            <w:tcW w:type="dxa" w:w="2448"/>
          </w:tcPr>
          <w:p>
            <w:pPr>
              <w:spacing w:after="20" w:before="20"/>
            </w:pPr>
            <w:r>
              <w:rPr>
                <w:sz w:val="17"/>
              </w:rPr>
            </w:r>
            <w:r>
              <w:rPr>
                <w:b/>
                <w:sz w:val="17"/>
              </w:rPr>
              <w:t>Clipped policy loss</w:t>
            </w:r>
          </w:p>
        </w:tc>
        <w:tc>
          <w:tcPr>
            <w:tcW w:type="dxa" w:w="7632"/>
          </w:tcPr>
          <w:p>
            <w:pPr>
              <w:spacing w:after="20" w:before="20"/>
            </w:pPr>
            <w:r>
              <w:rPr>
                <w:sz w:val="17"/>
              </w:rPr>
            </w:r>
            <w:r>
              <w:rPr>
                <w:sz w:val="17"/>
              </w:rPr>
              <w:t>Increases the probability of actions with positive advantage, but the clip caps how far the policy may move in one update. This is what makes PPO stable without a trust-region constraint</w:t>
            </w:r>
          </w:p>
        </w:tc>
      </w:tr>
      <w:tr>
        <w:tc>
          <w:tcPr>
            <w:tcW w:type="dxa" w:w="2448"/>
            <w:shd w:val="clear" w:color="auto" w:fill="F2F5F8"/>
          </w:tcPr>
          <w:p>
            <w:pPr>
              <w:spacing w:after="20" w:before="20"/>
            </w:pPr>
            <w:r>
              <w:rPr>
                <w:sz w:val="17"/>
              </w:rPr>
            </w:r>
            <w:r>
              <w:rPr>
                <w:b/>
                <w:sz w:val="17"/>
              </w:rPr>
              <w:t>Value loss (×0.5)</w:t>
            </w:r>
          </w:p>
        </w:tc>
        <w:tc>
          <w:tcPr>
            <w:tcW w:type="dxa" w:w="7632"/>
            <w:shd w:val="clear" w:color="auto" w:fill="F2F5F8"/>
          </w:tcPr>
          <w:p>
            <w:pPr>
              <w:spacing w:after="20" w:before="20"/>
            </w:pPr>
            <w:r>
              <w:rPr>
                <w:sz w:val="17"/>
              </w:rPr>
            </w:r>
            <w:r>
              <w:rPr>
                <w:sz w:val="17"/>
              </w:rPr>
              <w:t>Trains the critic to predict the GAE returns, which in turn keeps the advantages informative</w:t>
            </w:r>
          </w:p>
        </w:tc>
      </w:tr>
      <w:tr>
        <w:tc>
          <w:tcPr>
            <w:tcW w:type="dxa" w:w="2448"/>
          </w:tcPr>
          <w:p>
            <w:pPr>
              <w:spacing w:after="20" w:before="20"/>
            </w:pPr>
            <w:r>
              <w:rPr>
                <w:sz w:val="17"/>
              </w:rPr>
            </w:r>
            <w:r>
              <w:rPr>
                <w:b/>
                <w:sz w:val="17"/>
              </w:rPr>
              <w:t>Entropy bonus (×0.01)</w:t>
            </w:r>
          </w:p>
        </w:tc>
        <w:tc>
          <w:tcPr>
            <w:tcW w:type="dxa" w:w="7632"/>
          </w:tcPr>
          <w:p>
            <w:pPr>
              <w:spacing w:after="20" w:before="20"/>
            </w:pPr>
            <w:r>
              <w:rPr>
                <w:sz w:val="17"/>
              </w:rPr>
            </w:r>
            <w:r>
              <w:rPr>
                <w:sz w:val="17"/>
              </w:rPr>
              <w:t>Rewards a spread-out policy, preventing premature collapse onto a single allocation</w:t>
            </w:r>
          </w:p>
        </w:tc>
      </w:tr>
    </w:tbl>
    <w:p>
      <w:pPr>
        <w:spacing w:after="40"/>
      </w:pPr>
    </w:p>
    <w:p>
      <w:r>
        <w:rPr>
          <w:b w:val="0"/>
          <w:i w:val="0"/>
        </w:rPr>
        <w:t>Diagnostics logged: `approx_kl` (how far the policy moved) and `clip_fraction` (how often the clip was active). A clip fraction persistently above ~0.3 means the learning rate is too high for the clip range.</w:t>
      </w:r>
    </w:p>
    <w:p>
      <w:pPr>
        <w:pStyle w:val="Heading2"/>
      </w:pPr>
      <w:r>
        <w:t>11.4 The joint end-to-end update</w:t>
      </w:r>
    </w:p>
    <w:p>
      <w:r>
        <w:rPr>
          <w:b w:val="0"/>
          <w:i w:val="0"/>
        </w:rPr>
        <w:t>This is the step that makes the architecture "jointly optimised". One backward call produces gradients for every parameter in the system, and one optimiser step applies them all.</w:t>
      </w:r>
    </w:p>
    <w:p>
      <w:pPr>
        <w:spacing w:after="160" w:before="80" w:line="240" w:lineRule="auto"/>
        <w:ind w:left="144"/>
      </w:pPr>
      <w:r>
        <w:rPr>
          <w:rFonts w:ascii="Consolas" w:hAnsi="Consolas"/>
          <w:sz w:val="17"/>
        </w:rPr>
        <w:t>losses["total_loss"].backward()</w:t>
        <w:br/>
        <w:t xml:space="preserve">        │</w:t>
        <w:br/>
        <w:t xml:space="preserve">        ├──► Critic         ◄── value loss</w:t>
        <w:br/>
        <w:t xml:space="preserve">        ├──► Actor          ◄── policy loss + entropy bonus</w:t>
        <w:br/>
        <w:t xml:space="preserve">        └──► Regime Encoder ◄── BOTH, flowing back through h_asset and h_market</w:t>
        <w:br/>
        <w:t xml:space="preserve">                                 └─► Fusion MLP</w:t>
        <w:br/>
        <w:t xml:space="preserve">                                     └─► GAT layers</w:t>
        <w:br/>
        <w:t xml:space="preserve">                                         └─► Temporal attention</w:t>
        <w:br/>
        <w:t xml:space="preserve">                                             └─► LSTM</w:t>
        <w:br/>
        <w:t xml:space="preserve">                                                 └─► VSN  (feature-selection weights)</w:t>
        <w:br/>
        <w:br/>
        <w:t>clip_grad_norm_(agent.parameters(), 0.5)      # single global norm over ALL parameters</w:t>
        <w:br/>
        <w:t>optimizer.step()</w:t>
      </w:r>
    </w:p>
    <w:p>
      <w:r>
        <w:rPr>
          <w:b w:val="0"/>
          <w:i w:val="0"/>
        </w:rPr>
        <w:t>The consequence: the VSN's feature-importance weights, the attention patterns and the learned regime definitions are all shaped by whether they helped the portfolio, not by any auxiliary reconstruction or classification target. Nothing in the loss says what a "regime" is — the encoder invents whatever partition of market conditions makes the policy more profitable.</w:t>
      </w:r>
    </w:p>
    <w:p>
      <w:r>
        <w:rPr>
          <w:b/>
          <w:i w:val="0"/>
          <w:sz w:val="22"/>
        </w:rPr>
        <w:t>Optimiser configuration</w:t>
      </w:r>
    </w:p>
    <w:tbl>
      <w:tblPr>
        <w:tblStyle w:val="TableGrid"/>
        <w:tblW w:type="auto" w:w="0"/>
        <w:jc w:val="left"/>
        <w:tblLook w:firstColumn="1" w:firstRow="1" w:lastColumn="0" w:lastRow="0" w:noHBand="0" w:noVBand="1" w:val="04A0"/>
      </w:tblPr>
      <w:tblGrid>
        <w:gridCol w:w="3264"/>
        <w:gridCol w:w="3264"/>
        <w:gridCol w:w="3264"/>
      </w:tblGrid>
      <w:tr>
        <w:tc>
          <w:tcPr>
            <w:tcW w:type="dxa" w:w="2376"/>
            <w:shd w:val="clear" w:color="auto" w:fill="1F3B57"/>
          </w:tcPr>
          <w:p>
            <w:pPr>
              <w:spacing w:after="20" w:before="20"/>
            </w:pPr>
            <w:r/>
            <w:r>
              <w:rPr>
                <w:b/>
                <w:color w:val="FFFFFF"/>
                <w:sz w:val="17"/>
              </w:rPr>
              <w:t>Setting</w:t>
            </w:r>
          </w:p>
        </w:tc>
        <w:tc>
          <w:tcPr>
            <w:tcW w:type="dxa" w:w="2304"/>
            <w:shd w:val="clear" w:color="auto" w:fill="1F3B57"/>
          </w:tcPr>
          <w:p>
            <w:pPr>
              <w:spacing w:after="20" w:before="20"/>
            </w:pPr>
            <w:r/>
            <w:r>
              <w:rPr>
                <w:b/>
                <w:color w:val="FFFFFF"/>
                <w:sz w:val="17"/>
              </w:rPr>
              <w:t>Value</w:t>
            </w:r>
          </w:p>
        </w:tc>
        <w:tc>
          <w:tcPr>
            <w:tcW w:type="dxa" w:w="5400"/>
            <w:shd w:val="clear" w:color="auto" w:fill="1F3B57"/>
          </w:tcPr>
          <w:p>
            <w:pPr>
              <w:spacing w:after="20" w:before="20"/>
            </w:pPr>
            <w:r/>
            <w:r>
              <w:rPr>
                <w:b/>
                <w:color w:val="FFFFFF"/>
                <w:sz w:val="17"/>
              </w:rPr>
              <w:t>Reason</w:t>
            </w:r>
          </w:p>
        </w:tc>
      </w:tr>
      <w:tr>
        <w:tc>
          <w:tcPr>
            <w:tcW w:type="dxa" w:w="2376"/>
          </w:tcPr>
          <w:p>
            <w:pPr>
              <w:spacing w:after="20" w:before="20"/>
            </w:pPr>
            <w:r>
              <w:rPr>
                <w:sz w:val="17"/>
              </w:rPr>
            </w:r>
            <w:r>
              <w:rPr>
                <w:sz w:val="17"/>
              </w:rPr>
              <w:t>Optimiser</w:t>
            </w:r>
          </w:p>
        </w:tc>
        <w:tc>
          <w:tcPr>
            <w:tcW w:type="dxa" w:w="2304"/>
          </w:tcPr>
          <w:p>
            <w:pPr>
              <w:spacing w:after="20" w:before="20"/>
            </w:pPr>
            <w:r>
              <w:rPr>
                <w:sz w:val="17"/>
              </w:rPr>
            </w:r>
            <w:r>
              <w:rPr>
                <w:sz w:val="17"/>
              </w:rPr>
              <w:t>AdamW, weight decay 1e-5</w:t>
            </w:r>
          </w:p>
        </w:tc>
        <w:tc>
          <w:tcPr>
            <w:tcW w:type="dxa" w:w="5400"/>
          </w:tcPr>
          <w:p>
            <w:pPr>
              <w:spacing w:after="20" w:before="20"/>
            </w:pPr>
            <w:r>
              <w:rPr>
                <w:sz w:val="17"/>
              </w:rPr>
            </w:r>
            <w:r>
              <w:rPr>
                <w:sz w:val="17"/>
              </w:rPr>
              <w:t>Decoupled weight decay</w:t>
            </w:r>
          </w:p>
        </w:tc>
      </w:tr>
      <w:tr>
        <w:tc>
          <w:tcPr>
            <w:tcW w:type="dxa" w:w="2376"/>
            <w:shd w:val="clear" w:color="auto" w:fill="F2F5F8"/>
          </w:tcPr>
          <w:p>
            <w:pPr>
              <w:spacing w:after="20" w:before="20"/>
            </w:pPr>
            <w:r>
              <w:rPr>
                <w:sz w:val="17"/>
              </w:rPr>
            </w:r>
            <w:r>
              <w:rPr>
                <w:sz w:val="17"/>
              </w:rPr>
              <w:t>Encoder learning rate</w:t>
            </w:r>
          </w:p>
        </w:tc>
        <w:tc>
          <w:tcPr>
            <w:tcW w:type="dxa" w:w="2304"/>
            <w:shd w:val="clear" w:color="auto" w:fill="F2F5F8"/>
          </w:tcPr>
          <w:p>
            <w:pPr>
              <w:spacing w:after="20" w:before="20"/>
            </w:pPr>
            <w:r>
              <w:rPr>
                <w:sz w:val="17"/>
              </w:rPr>
            </w:r>
            <w:r>
              <w:rPr>
                <w:sz w:val="17"/>
              </w:rPr>
              <w:t>1.5e-4 (0.5 × base)</w:t>
            </w:r>
          </w:p>
        </w:tc>
        <w:tc>
          <w:tcPr>
            <w:tcW w:type="dxa" w:w="5400"/>
            <w:shd w:val="clear" w:color="auto" w:fill="F2F5F8"/>
          </w:tcPr>
          <w:p>
            <w:pPr>
              <w:spacing w:after="20" w:before="20"/>
            </w:pPr>
            <w:r>
              <w:rPr>
                <w:sz w:val="17"/>
              </w:rPr>
            </w:r>
            <w:r>
              <w:rPr>
                <w:sz w:val="17"/>
              </w:rPr>
              <w:t>The encoder is the deepest component and shared by both heads; a lower rate keeps the representation from shifting faster than the actor and critic can track</w:t>
            </w:r>
          </w:p>
        </w:tc>
      </w:tr>
      <w:tr>
        <w:tc>
          <w:tcPr>
            <w:tcW w:type="dxa" w:w="2376"/>
          </w:tcPr>
          <w:p>
            <w:pPr>
              <w:spacing w:after="20" w:before="20"/>
            </w:pPr>
            <w:r>
              <w:rPr>
                <w:sz w:val="17"/>
              </w:rPr>
            </w:r>
            <w:r>
              <w:rPr>
                <w:sz w:val="17"/>
              </w:rPr>
              <w:t>Actor / critic learning rate</w:t>
            </w:r>
          </w:p>
        </w:tc>
        <w:tc>
          <w:tcPr>
            <w:tcW w:type="dxa" w:w="2304"/>
          </w:tcPr>
          <w:p>
            <w:pPr>
              <w:spacing w:after="20" w:before="20"/>
            </w:pPr>
            <w:r>
              <w:rPr>
                <w:sz w:val="17"/>
              </w:rPr>
            </w:r>
            <w:r>
              <w:rPr>
                <w:sz w:val="17"/>
              </w:rPr>
              <w:t>3e-4</w:t>
            </w:r>
          </w:p>
        </w:tc>
        <w:tc>
          <w:tcPr>
            <w:tcW w:type="dxa" w:w="5400"/>
          </w:tcPr>
          <w:p>
            <w:pPr>
              <w:spacing w:after="20" w:before="20"/>
            </w:pPr>
            <w:r>
              <w:rPr>
                <w:sz w:val="17"/>
              </w:rPr>
            </w:r>
            <w:r>
              <w:rPr>
                <w:sz w:val="17"/>
              </w:rPr>
              <w:t>PPO default</w:t>
            </w:r>
          </w:p>
        </w:tc>
      </w:tr>
      <w:tr>
        <w:tc>
          <w:tcPr>
            <w:tcW w:type="dxa" w:w="2376"/>
            <w:shd w:val="clear" w:color="auto" w:fill="F2F5F8"/>
          </w:tcPr>
          <w:p>
            <w:pPr>
              <w:spacing w:after="20" w:before="20"/>
            </w:pPr>
            <w:r>
              <w:rPr>
                <w:sz w:val="17"/>
              </w:rPr>
            </w:r>
            <w:r>
              <w:rPr>
                <w:sz w:val="17"/>
              </w:rPr>
              <w:t>Schedule</w:t>
            </w:r>
          </w:p>
        </w:tc>
        <w:tc>
          <w:tcPr>
            <w:tcW w:type="dxa" w:w="2304"/>
            <w:shd w:val="clear" w:color="auto" w:fill="F2F5F8"/>
          </w:tcPr>
          <w:p>
            <w:pPr>
              <w:spacing w:after="20" w:before="20"/>
            </w:pPr>
            <w:r>
              <w:rPr>
                <w:sz w:val="17"/>
              </w:rPr>
            </w:r>
            <w:r>
              <w:rPr>
                <w:sz w:val="17"/>
              </w:rPr>
              <w:t>1000-step linear warm-up, then cosine decay to 10%</w:t>
            </w:r>
          </w:p>
        </w:tc>
        <w:tc>
          <w:tcPr>
            <w:tcW w:type="dxa" w:w="5400"/>
            <w:shd w:val="clear" w:color="auto" w:fill="F2F5F8"/>
          </w:tcPr>
          <w:p>
            <w:pPr>
              <w:spacing w:after="20" w:before="20"/>
            </w:pPr>
            <w:r>
              <w:rPr>
                <w:sz w:val="17"/>
              </w:rPr>
            </w:r>
            <w:r>
              <w:rPr>
                <w:sz w:val="17"/>
              </w:rPr>
              <w:t>Warm-up avoids destroying the initialisation while the critic is still untrained</w:t>
            </w:r>
          </w:p>
        </w:tc>
      </w:tr>
      <w:tr>
        <w:tc>
          <w:tcPr>
            <w:tcW w:type="dxa" w:w="2376"/>
          </w:tcPr>
          <w:p>
            <w:pPr>
              <w:spacing w:after="20" w:before="20"/>
            </w:pPr>
            <w:r>
              <w:rPr>
                <w:sz w:val="17"/>
              </w:rPr>
            </w:r>
            <w:r>
              <w:rPr>
                <w:sz w:val="17"/>
              </w:rPr>
              <w:t>Gradient clipping</w:t>
            </w:r>
          </w:p>
        </w:tc>
        <w:tc>
          <w:tcPr>
            <w:tcW w:type="dxa" w:w="2304"/>
          </w:tcPr>
          <w:p>
            <w:pPr>
              <w:spacing w:after="20" w:before="20"/>
            </w:pPr>
            <w:r>
              <w:rPr>
                <w:sz w:val="17"/>
              </w:rPr>
            </w:r>
            <w:r>
              <w:rPr>
                <w:sz w:val="17"/>
              </w:rPr>
              <w:t>Global norm 0.5</w:t>
            </w:r>
          </w:p>
        </w:tc>
        <w:tc>
          <w:tcPr>
            <w:tcW w:type="dxa" w:w="5400"/>
          </w:tcPr>
          <w:p>
            <w:pPr>
              <w:spacing w:after="20" w:before="20"/>
            </w:pPr>
            <w:r>
              <w:rPr>
                <w:sz w:val="17"/>
              </w:rPr>
            </w:r>
            <w:r>
              <w:rPr>
                <w:sz w:val="17"/>
              </w:rPr>
              <w:t>Standard PPO stabiliser</w:t>
            </w:r>
          </w:p>
        </w:tc>
      </w:tr>
      <w:tr>
        <w:tc>
          <w:tcPr>
            <w:tcW w:type="dxa" w:w="2376"/>
            <w:shd w:val="clear" w:color="auto" w:fill="F2F5F8"/>
          </w:tcPr>
          <w:p>
            <w:pPr>
              <w:spacing w:after="20" w:before="20"/>
            </w:pPr>
            <w:r>
              <w:rPr>
                <w:sz w:val="17"/>
              </w:rPr>
            </w:r>
            <w:r>
              <w:rPr>
                <w:sz w:val="17"/>
              </w:rPr>
              <w:t>Epochs per rollout</w:t>
            </w:r>
          </w:p>
        </w:tc>
        <w:tc>
          <w:tcPr>
            <w:tcW w:type="dxa" w:w="2304"/>
            <w:shd w:val="clear" w:color="auto" w:fill="F2F5F8"/>
          </w:tcPr>
          <w:p>
            <w:pPr>
              <w:spacing w:after="20" w:before="20"/>
            </w:pPr>
            <w:r>
              <w:rPr>
                <w:sz w:val="17"/>
              </w:rPr>
            </w:r>
            <w:r>
              <w:rPr>
                <w:sz w:val="17"/>
              </w:rPr>
              <w:t>10 (+2 adaptive)</w:t>
            </w:r>
          </w:p>
        </w:tc>
        <w:tc>
          <w:tcPr>
            <w:tcW w:type="dxa" w:w="5400"/>
            <w:shd w:val="clear" w:color="auto" w:fill="F2F5F8"/>
          </w:tcPr>
          <w:p>
            <w:pPr>
              <w:spacing w:after="20" w:before="20"/>
            </w:pPr>
            <w:r>
              <w:rPr>
                <w:sz w:val="17"/>
              </w:rPr>
            </w:r>
            <w:r>
              <w:rPr>
                <w:sz w:val="17"/>
              </w:rPr>
              <w:t>Data reuse; two extra epochs are added when a rollout had negative average return or a single day worse than −2%</w:t>
            </w:r>
          </w:p>
        </w:tc>
      </w:tr>
      <w:tr>
        <w:tc>
          <w:tcPr>
            <w:tcW w:type="dxa" w:w="2376"/>
          </w:tcPr>
          <w:p>
            <w:pPr>
              <w:spacing w:after="20" w:before="20"/>
            </w:pPr>
            <w:r>
              <w:rPr>
                <w:sz w:val="17"/>
              </w:rPr>
            </w:r>
            <w:r>
              <w:rPr>
                <w:sz w:val="17"/>
              </w:rPr>
              <w:t>Mini-batch size</w:t>
            </w:r>
          </w:p>
        </w:tc>
        <w:tc>
          <w:tcPr>
            <w:tcW w:type="dxa" w:w="2304"/>
          </w:tcPr>
          <w:p>
            <w:pPr>
              <w:spacing w:after="20" w:before="20"/>
            </w:pPr>
            <w:r>
              <w:rPr>
                <w:sz w:val="17"/>
              </w:rPr>
            </w:r>
            <w:r>
              <w:rPr>
                <w:sz w:val="17"/>
              </w:rPr>
              <w:t>64</w:t>
            </w:r>
          </w:p>
        </w:tc>
        <w:tc>
          <w:tcPr>
            <w:tcW w:type="dxa" w:w="5400"/>
          </w:tcPr>
          <w:p>
            <w:pPr>
              <w:spacing w:after="20" w:before="20"/>
            </w:pPr>
            <w:r>
              <w:rPr>
                <w:sz w:val="17"/>
              </w:rPr>
            </w:r>
            <w:r>
              <w:rPr>
                <w:sz w:val="17"/>
              </w:rPr>
              <w:t>4 mini-batches per epoch over 256 transitions</w:t>
            </w:r>
          </w:p>
        </w:tc>
      </w:tr>
    </w:tbl>
    <w:p>
      <w:pPr>
        <w:spacing w:after="40"/>
      </w:pPr>
    </w:p>
    <w:p>
      <w:pPr>
        <w:pStyle w:val="Heading2"/>
      </w:pPr>
      <w:r>
        <w:t>11.5 Model selection and evaluation</w:t>
      </w:r>
    </w:p>
    <w:p>
      <w:pPr>
        <w:pStyle w:val="ListNumber"/>
        <w:spacing w:after="40"/>
      </w:pPr>
      <w:r>
        <w:t xml:space="preserve">Every </w:t>
      </w:r>
      <w:r>
        <w:rPr>
          <w:rFonts w:ascii="Consolas" w:hAnsi="Consolas"/>
          <w:sz w:val="19"/>
        </w:rPr>
        <w:t>eval_frequency</w:t>
      </w:r>
      <w:r>
        <w:t xml:space="preserve"> steps the agent runs the </w:t>
      </w:r>
      <w:r>
        <w:rPr>
          <w:b/>
        </w:rPr>
        <w:t>entire validation environment</w:t>
      </w:r>
      <w:r>
        <w:t xml:space="preserve"> deterministically (mean action, no sampling) and reports a performance summary.</w:t>
      </w:r>
    </w:p>
    <w:p>
      <w:pPr>
        <w:pStyle w:val="ListNumber"/>
        <w:spacing w:after="40"/>
      </w:pPr>
      <w:r>
        <w:t xml:space="preserve">If the validation Sharpe ratio beats the previous best, </w:t>
      </w:r>
      <w:r>
        <w:rPr>
          <w:rFonts w:ascii="Consolas" w:hAnsi="Consolas"/>
          <w:sz w:val="19"/>
        </w:rPr>
        <w:t>best_model.pt</w:t>
      </w:r>
      <w:r>
        <w:t xml:space="preserve"> is written and the patience counter resets; otherwise the counter increments and training stops after 20 consecutive failures to improve.</w:t>
      </w:r>
    </w:p>
    <w:p>
      <w:pPr>
        <w:pStyle w:val="ListNumber"/>
        <w:spacing w:after="40"/>
      </w:pPr>
      <w:r>
        <w:t xml:space="preserve">After training, </w:t>
      </w:r>
      <w:r>
        <w:rPr>
          <w:rFonts w:ascii="Consolas" w:hAnsi="Consolas"/>
          <w:sz w:val="19"/>
        </w:rPr>
        <w:t>best_model.pt</w:t>
      </w:r>
      <w:r>
        <w:t xml:space="preserve"> is reloaded and the </w:t>
      </w:r>
      <w:r>
        <w:rPr>
          <w:b/>
        </w:rPr>
        <w:t>test environment</w:t>
      </w:r>
      <w:r>
        <w:t xml:space="preserve"> is run once. Results are written to results/test_summary.json, results/test_weights.csv and results/test_raw_weights.xlsx.</w:t>
      </w:r>
    </w:p>
    <w:p>
      <w:r>
        <w:rPr>
          <w:b/>
        </w:rPr>
        <w:t xml:space="preserve">Configuration trap: </w:t>
      </w:r>
      <w:r>
        <w:t xml:space="preserve">the trainer checks `global_step % eval_frequency == 0`, and `global_step` advances in jumps of `rollout_length`. If eval_frequency is not an integer multiple of rollout_length the condition never fires — evaluation never runs, `best_model.pt` is never written, and early stopping never triggers. The command-line defaults in main.py (rollout 256, eval 5000, save 10000) are </w:t>
      </w:r>
      <w:r>
        <w:rPr>
          <w:b/>
          <w:i/>
        </w:rPr>
        <w:t>not</w:t>
      </w:r>
      <w:r>
        <w:t xml:space="preserve"> multiples, so a plain `python main.py --mode train` silently skips all evaluation. The notebook sets `EVAL_FREQUENCY = 8 × ROLLOUT_LENGTH` and asserts the multiple, which is why the notebook is the reliable entry point. This is worth mentioning before anyone reproduces the run from the CLI.</w:t>
      </w:r>
    </w:p>
    <w:p>
      <w:r>
        <w:br w:type="page"/>
      </w:r>
    </w:p>
    <w:p>
      <w:pPr>
        <w:pStyle w:val="Heading1"/>
      </w:pPr>
      <w:r>
        <w:t>12. End-to-End Shape Reference</w:t>
      </w:r>
    </w:p>
    <w:p>
      <w:r>
        <w:rPr>
          <w:b w:val="0"/>
          <w:i w:val="0"/>
        </w:rPr>
        <w:t>One table tracing a single observation through the whole system. Batch dimension is omitted; B = 64 during the PPO update.</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461"/>
            <w:shd w:val="clear" w:color="auto" w:fill="1F3B57"/>
          </w:tcPr>
          <w:p>
            <w:pPr>
              <w:spacing w:after="20" w:before="20"/>
            </w:pPr>
            <w:r/>
            <w:r>
              <w:rPr>
                <w:b/>
                <w:color w:val="FFFFFF"/>
                <w:sz w:val="16"/>
              </w:rPr>
              <w:t>#</w:t>
            </w:r>
          </w:p>
        </w:tc>
        <w:tc>
          <w:tcPr>
            <w:tcW w:type="dxa" w:w="2160"/>
            <w:shd w:val="clear" w:color="auto" w:fill="1F3B57"/>
          </w:tcPr>
          <w:p>
            <w:pPr>
              <w:spacing w:after="20" w:before="20"/>
            </w:pPr>
            <w:r/>
            <w:r>
              <w:rPr>
                <w:b/>
                <w:color w:val="FFFFFF"/>
                <w:sz w:val="16"/>
              </w:rPr>
              <w:t>Stage / module</w:t>
            </w:r>
          </w:p>
        </w:tc>
        <w:tc>
          <w:tcPr>
            <w:tcW w:type="dxa" w:w="1728"/>
            <w:shd w:val="clear" w:color="auto" w:fill="1F3B57"/>
          </w:tcPr>
          <w:p>
            <w:pPr>
              <w:spacing w:after="20" w:before="20"/>
            </w:pPr>
            <w:r/>
            <w:r>
              <w:rPr>
                <w:b/>
                <w:color w:val="FFFFFF"/>
                <w:sz w:val="16"/>
              </w:rPr>
              <w:t>Input</w:t>
            </w:r>
          </w:p>
        </w:tc>
        <w:tc>
          <w:tcPr>
            <w:tcW w:type="dxa" w:w="2664"/>
            <w:shd w:val="clear" w:color="auto" w:fill="1F3B57"/>
          </w:tcPr>
          <w:p>
            <w:pPr>
              <w:spacing w:after="20" w:before="20"/>
            </w:pPr>
            <w:r/>
            <w:r>
              <w:rPr>
                <w:b/>
                <w:color w:val="FFFFFF"/>
                <w:sz w:val="16"/>
              </w:rPr>
              <w:t>Output</w:t>
            </w:r>
          </w:p>
        </w:tc>
        <w:tc>
          <w:tcPr>
            <w:tcW w:type="dxa" w:w="3283"/>
            <w:shd w:val="clear" w:color="auto" w:fill="1F3B57"/>
          </w:tcPr>
          <w:p>
            <w:pPr>
              <w:spacing w:after="20" w:before="20"/>
            </w:pPr>
            <w:r/>
            <w:r>
              <w:rPr>
                <w:b/>
                <w:color w:val="FFFFFF"/>
                <w:sz w:val="16"/>
              </w:rPr>
              <w:t>Operation</w:t>
            </w:r>
          </w:p>
        </w:tc>
      </w:tr>
      <w:tr>
        <w:tc>
          <w:tcPr>
            <w:tcW w:type="dxa" w:w="461"/>
          </w:tcPr>
          <w:p>
            <w:pPr>
              <w:spacing w:after="20" w:before="20"/>
            </w:pPr>
            <w:r>
              <w:rPr>
                <w:sz w:val="16"/>
              </w:rPr>
            </w:r>
            <w:r>
              <w:rPr>
                <w:sz w:val="16"/>
              </w:rPr>
              <w:t>0</w:t>
            </w:r>
          </w:p>
        </w:tc>
        <w:tc>
          <w:tcPr>
            <w:tcW w:type="dxa" w:w="2160"/>
          </w:tcPr>
          <w:p>
            <w:pPr>
              <w:spacing w:after="20" w:before="20"/>
            </w:pPr>
            <w:r>
              <w:rPr>
                <w:sz w:val="16"/>
              </w:rPr>
            </w:r>
            <w:r>
              <w:rPr>
                <w:sz w:val="16"/>
              </w:rPr>
              <w:t>Raw CSV files</w:t>
            </w:r>
          </w:p>
        </w:tc>
        <w:tc>
          <w:tcPr>
            <w:tcW w:type="dxa" w:w="1728"/>
          </w:tcPr>
          <w:p>
            <w:pPr>
              <w:spacing w:after="20" w:before="20"/>
            </w:pPr>
            <w:r>
              <w:rPr>
                <w:sz w:val="16"/>
              </w:rPr>
            </w:r>
            <w:r>
              <w:rPr>
                <w:sz w:val="16"/>
              </w:rPr>
              <w:t>long format</w:t>
            </w:r>
          </w:p>
        </w:tc>
        <w:tc>
          <w:tcPr>
            <w:tcW w:type="dxa" w:w="2664"/>
          </w:tcPr>
          <w:p>
            <w:pPr>
              <w:spacing w:after="20" w:before="20"/>
            </w:pPr>
            <w:r>
              <w:rPr>
                <w:sz w:val="16"/>
              </w:rPr>
            </w:r>
            <w:r>
              <w:rPr>
                <w:rFonts w:ascii="Consolas" w:hAnsi="Consolas"/>
                <w:sz w:val="16"/>
              </w:rPr>
              <w:t>(T_raw, 10)</w:t>
            </w:r>
            <w:r>
              <w:rPr>
                <w:sz w:val="16"/>
              </w:rPr>
              <w:t xml:space="preserve"> × 2</w:t>
            </w:r>
          </w:p>
        </w:tc>
        <w:tc>
          <w:tcPr>
            <w:tcW w:type="dxa" w:w="3283"/>
          </w:tcPr>
          <w:p>
            <w:pPr>
              <w:spacing w:after="20" w:before="20"/>
            </w:pPr>
            <w:r>
              <w:rPr>
                <w:sz w:val="16"/>
              </w:rPr>
            </w:r>
            <w:r>
              <w:rPr>
                <w:sz w:val="16"/>
              </w:rPr>
              <w:t>Parse, clean, pivot to price and volume matrices</w:t>
            </w:r>
          </w:p>
        </w:tc>
      </w:tr>
      <w:tr>
        <w:tc>
          <w:tcPr>
            <w:tcW w:type="dxa" w:w="461"/>
            <w:shd w:val="clear" w:color="auto" w:fill="F2F5F8"/>
          </w:tcPr>
          <w:p>
            <w:pPr>
              <w:spacing w:after="20" w:before="20"/>
            </w:pPr>
            <w:r>
              <w:rPr>
                <w:sz w:val="16"/>
              </w:rPr>
            </w:r>
            <w:r>
              <w:rPr>
                <w:sz w:val="16"/>
              </w:rPr>
              <w:t>1</w:t>
            </w:r>
          </w:p>
        </w:tc>
        <w:tc>
          <w:tcPr>
            <w:tcW w:type="dxa" w:w="2160"/>
            <w:shd w:val="clear" w:color="auto" w:fill="F2F5F8"/>
          </w:tcPr>
          <w:p>
            <w:pPr>
              <w:spacing w:after="20" w:before="20"/>
            </w:pPr>
            <w:r>
              <w:rPr>
                <w:sz w:val="16"/>
              </w:rPr>
            </w:r>
            <w:r>
              <w:rPr>
                <w:rFonts w:ascii="Consolas" w:hAnsi="Consolas"/>
                <w:sz w:val="16"/>
              </w:rPr>
              <w:t>engineer_features</w:t>
            </w:r>
          </w:p>
        </w:tc>
        <w:tc>
          <w:tcPr>
            <w:tcW w:type="dxa" w:w="1728"/>
            <w:shd w:val="clear" w:color="auto" w:fill="F2F5F8"/>
          </w:tcPr>
          <w:p>
            <w:pPr>
              <w:spacing w:after="20" w:before="20"/>
            </w:pPr>
            <w:r>
              <w:rPr>
                <w:sz w:val="16"/>
              </w:rPr>
            </w:r>
            <w:r>
              <w:rPr>
                <w:rFonts w:ascii="Consolas" w:hAnsi="Consolas"/>
                <w:sz w:val="16"/>
              </w:rPr>
              <w:t>(T_raw, 10)</w:t>
            </w:r>
            <w:r>
              <w:rPr>
                <w:sz w:val="16"/>
              </w:rPr>
              <w:t xml:space="preserve"> × 2</w:t>
            </w:r>
          </w:p>
        </w:tc>
        <w:tc>
          <w:tcPr>
            <w:tcW w:type="dxa" w:w="2664"/>
            <w:shd w:val="clear" w:color="auto" w:fill="F2F5F8"/>
          </w:tcPr>
          <w:p>
            <w:pPr>
              <w:spacing w:after="20" w:before="20"/>
            </w:pPr>
            <w:r>
              <w:rPr>
                <w:sz w:val="16"/>
              </w:rPr>
            </w:r>
            <w:r>
              <w:rPr>
                <w:rFonts w:ascii="Consolas" w:hAnsi="Consolas"/>
                <w:sz w:val="16"/>
              </w:rPr>
              <w:t>(816, 150)</w:t>
            </w:r>
          </w:p>
        </w:tc>
        <w:tc>
          <w:tcPr>
            <w:tcW w:type="dxa" w:w="3283"/>
            <w:shd w:val="clear" w:color="auto" w:fill="F2F5F8"/>
          </w:tcPr>
          <w:p>
            <w:pPr>
              <w:spacing w:after="20" w:before="20"/>
            </w:pPr>
            <w:r>
              <w:rPr>
                <w:sz w:val="16"/>
              </w:rPr>
            </w:r>
            <w:r>
              <w:rPr>
                <w:sz w:val="16"/>
              </w:rPr>
              <w:t>15 technical indicators per asset</w:t>
            </w:r>
          </w:p>
        </w:tc>
      </w:tr>
      <w:tr>
        <w:tc>
          <w:tcPr>
            <w:tcW w:type="dxa" w:w="461"/>
          </w:tcPr>
          <w:p>
            <w:pPr>
              <w:spacing w:after="20" w:before="20"/>
            </w:pPr>
            <w:r>
              <w:rPr>
                <w:sz w:val="16"/>
              </w:rPr>
            </w:r>
            <w:r>
              <w:rPr>
                <w:sz w:val="16"/>
              </w:rPr>
              <w:t>2</w:t>
            </w:r>
          </w:p>
        </w:tc>
        <w:tc>
          <w:tcPr>
            <w:tcW w:type="dxa" w:w="2160"/>
          </w:tcPr>
          <w:p>
            <w:pPr>
              <w:spacing w:after="20" w:before="20"/>
            </w:pPr>
            <w:r>
              <w:rPr>
                <w:sz w:val="16"/>
              </w:rPr>
            </w:r>
            <w:r>
              <w:rPr>
                <w:rFonts w:ascii="Consolas" w:hAnsi="Consolas"/>
                <w:sz w:val="16"/>
              </w:rPr>
              <w:t>reorder_per_asset</w:t>
            </w:r>
          </w:p>
        </w:tc>
        <w:tc>
          <w:tcPr>
            <w:tcW w:type="dxa" w:w="1728"/>
          </w:tcPr>
          <w:p>
            <w:pPr>
              <w:spacing w:after="20" w:before="20"/>
            </w:pPr>
            <w:r>
              <w:rPr>
                <w:sz w:val="16"/>
              </w:rPr>
            </w:r>
            <w:r>
              <w:rPr>
                <w:rFonts w:ascii="Consolas" w:hAnsi="Consolas"/>
                <w:sz w:val="16"/>
              </w:rPr>
              <w:t>(816, 150)</w:t>
            </w:r>
          </w:p>
        </w:tc>
        <w:tc>
          <w:tcPr>
            <w:tcW w:type="dxa" w:w="2664"/>
          </w:tcPr>
          <w:p>
            <w:pPr>
              <w:spacing w:after="20" w:before="20"/>
            </w:pPr>
            <w:r>
              <w:rPr>
                <w:sz w:val="16"/>
              </w:rPr>
            </w:r>
            <w:r>
              <w:rPr>
                <w:rFonts w:ascii="Consolas" w:hAnsi="Consolas"/>
                <w:sz w:val="16"/>
              </w:rPr>
              <w:t>(816, 150)</w:t>
            </w:r>
          </w:p>
        </w:tc>
        <w:tc>
          <w:tcPr>
            <w:tcW w:type="dxa" w:w="3283"/>
          </w:tcPr>
          <w:p>
            <w:pPr>
              <w:spacing w:after="20" w:before="20"/>
            </w:pPr>
            <w:r>
              <w:rPr>
                <w:sz w:val="16"/>
              </w:rPr>
            </w:r>
            <w:r>
              <w:rPr>
                <w:sz w:val="16"/>
              </w:rPr>
              <w:t>Regroup columns into contiguous per-asset blocks</w:t>
            </w:r>
          </w:p>
        </w:tc>
      </w:tr>
      <w:tr>
        <w:tc>
          <w:tcPr>
            <w:tcW w:type="dxa" w:w="461"/>
            <w:shd w:val="clear" w:color="auto" w:fill="F2F5F8"/>
          </w:tcPr>
          <w:p>
            <w:pPr>
              <w:spacing w:after="20" w:before="20"/>
            </w:pPr>
            <w:r>
              <w:rPr>
                <w:sz w:val="16"/>
              </w:rPr>
            </w:r>
            <w:r>
              <w:rPr>
                <w:sz w:val="16"/>
              </w:rPr>
              <w:t>3</w:t>
            </w:r>
          </w:p>
        </w:tc>
        <w:tc>
          <w:tcPr>
            <w:tcW w:type="dxa" w:w="2160"/>
            <w:shd w:val="clear" w:color="auto" w:fill="F2F5F8"/>
          </w:tcPr>
          <w:p>
            <w:pPr>
              <w:spacing w:after="20" w:before="20"/>
            </w:pPr>
            <w:r>
              <w:rPr>
                <w:sz w:val="16"/>
              </w:rPr>
            </w:r>
            <w:r>
              <w:rPr>
                <w:sz w:val="16"/>
              </w:rPr>
              <w:t>Chronological split</w:t>
            </w:r>
          </w:p>
        </w:tc>
        <w:tc>
          <w:tcPr>
            <w:tcW w:type="dxa" w:w="1728"/>
            <w:shd w:val="clear" w:color="auto" w:fill="F2F5F8"/>
          </w:tcPr>
          <w:p>
            <w:pPr>
              <w:spacing w:after="20" w:before="20"/>
            </w:pPr>
            <w:r>
              <w:rPr>
                <w:sz w:val="16"/>
              </w:rPr>
            </w:r>
            <w:r>
              <w:rPr>
                <w:rFonts w:ascii="Consolas" w:hAnsi="Consolas"/>
                <w:sz w:val="16"/>
              </w:rPr>
              <w:t>(816, 150)</w:t>
            </w:r>
          </w:p>
        </w:tc>
        <w:tc>
          <w:tcPr>
            <w:tcW w:type="dxa" w:w="2664"/>
            <w:shd w:val="clear" w:color="auto" w:fill="F2F5F8"/>
          </w:tcPr>
          <w:p>
            <w:pPr>
              <w:spacing w:after="20" w:before="20"/>
            </w:pPr>
            <w:r>
              <w:rPr>
                <w:sz w:val="16"/>
              </w:rPr>
            </w:r>
            <w:r>
              <w:rPr>
                <w:sz w:val="16"/>
              </w:rPr>
              <w:t>571 / 122 / 123</w:t>
            </w:r>
          </w:p>
        </w:tc>
        <w:tc>
          <w:tcPr>
            <w:tcW w:type="dxa" w:w="3283"/>
            <w:shd w:val="clear" w:color="auto" w:fill="F2F5F8"/>
          </w:tcPr>
          <w:p>
            <w:pPr>
              <w:spacing w:after="20" w:before="20"/>
            </w:pPr>
            <w:r>
              <w:rPr>
                <w:sz w:val="16"/>
              </w:rPr>
            </w:r>
            <w:r>
              <w:rPr>
                <w:sz w:val="16"/>
              </w:rPr>
              <w:t>70 / 15 / 15 in time order</w:t>
            </w:r>
          </w:p>
        </w:tc>
      </w:tr>
      <w:tr>
        <w:tc>
          <w:tcPr>
            <w:tcW w:type="dxa" w:w="461"/>
          </w:tcPr>
          <w:p>
            <w:pPr>
              <w:spacing w:after="20" w:before="20"/>
            </w:pPr>
            <w:r>
              <w:rPr>
                <w:sz w:val="16"/>
              </w:rPr>
            </w:r>
            <w:r>
              <w:rPr>
                <w:sz w:val="16"/>
              </w:rPr>
              <w:t>4</w:t>
            </w:r>
          </w:p>
        </w:tc>
        <w:tc>
          <w:tcPr>
            <w:tcW w:type="dxa" w:w="2160"/>
          </w:tcPr>
          <w:p>
            <w:pPr>
              <w:spacing w:after="20" w:before="20"/>
            </w:pPr>
            <w:r>
              <w:rPr>
                <w:sz w:val="16"/>
              </w:rPr>
            </w:r>
            <w:r>
              <w:rPr>
                <w:rFonts w:ascii="Consolas" w:hAnsi="Consolas"/>
                <w:sz w:val="16"/>
              </w:rPr>
              <w:t>fit_normalize</w:t>
            </w:r>
          </w:p>
        </w:tc>
        <w:tc>
          <w:tcPr>
            <w:tcW w:type="dxa" w:w="1728"/>
          </w:tcPr>
          <w:p>
            <w:pPr>
              <w:spacing w:after="20" w:before="20"/>
            </w:pPr>
            <w:r>
              <w:rPr>
                <w:sz w:val="16"/>
              </w:rPr>
            </w:r>
            <w:r>
              <w:rPr>
                <w:rFonts w:ascii="Consolas" w:hAnsi="Consolas"/>
                <w:sz w:val="16"/>
              </w:rPr>
              <w:t>(571, 150)</w:t>
            </w:r>
          </w:p>
        </w:tc>
        <w:tc>
          <w:tcPr>
            <w:tcW w:type="dxa" w:w="2664"/>
          </w:tcPr>
          <w:p>
            <w:pPr>
              <w:spacing w:after="20" w:before="20"/>
            </w:pPr>
            <w:r>
              <w:rPr>
                <w:sz w:val="16"/>
              </w:rPr>
            </w:r>
            <w:r>
              <w:rPr>
                <w:rFonts w:ascii="Consolas" w:hAnsi="Consolas"/>
                <w:sz w:val="16"/>
              </w:rPr>
              <w:t>(571, 150)</w:t>
            </w:r>
          </w:p>
        </w:tc>
        <w:tc>
          <w:tcPr>
            <w:tcW w:type="dxa" w:w="3283"/>
          </w:tcPr>
          <w:p>
            <w:pPr>
              <w:spacing w:after="20" w:before="20"/>
            </w:pPr>
            <w:r>
              <w:rPr>
                <w:sz w:val="16"/>
              </w:rPr>
            </w:r>
            <w:r>
              <w:rPr>
                <w:sz w:val="16"/>
              </w:rPr>
              <w:t>Z-score with train-only μ and σ</w:t>
            </w:r>
          </w:p>
        </w:tc>
      </w:tr>
      <w:tr>
        <w:tc>
          <w:tcPr>
            <w:tcW w:type="dxa" w:w="461"/>
            <w:shd w:val="clear" w:color="auto" w:fill="F2F5F8"/>
          </w:tcPr>
          <w:p>
            <w:pPr>
              <w:spacing w:after="20" w:before="20"/>
            </w:pPr>
            <w:r>
              <w:rPr>
                <w:sz w:val="16"/>
              </w:rPr>
            </w:r>
            <w:r>
              <w:rPr>
                <w:sz w:val="16"/>
              </w:rPr>
              <w:t>5</w:t>
            </w:r>
          </w:p>
        </w:tc>
        <w:tc>
          <w:tcPr>
            <w:tcW w:type="dxa" w:w="2160"/>
            <w:shd w:val="clear" w:color="auto" w:fill="F2F5F8"/>
          </w:tcPr>
          <w:p>
            <w:pPr>
              <w:spacing w:after="20" w:before="20"/>
            </w:pPr>
            <w:r>
              <w:rPr>
                <w:sz w:val="16"/>
              </w:rPr>
            </w:r>
            <w:r>
              <w:rPr>
                <w:rFonts w:ascii="Consolas" w:hAnsi="Consolas"/>
                <w:sz w:val="16"/>
              </w:rPr>
              <w:t>create_windows</w:t>
            </w:r>
          </w:p>
        </w:tc>
        <w:tc>
          <w:tcPr>
            <w:tcW w:type="dxa" w:w="1728"/>
            <w:shd w:val="clear" w:color="auto" w:fill="F2F5F8"/>
          </w:tcPr>
          <w:p>
            <w:pPr>
              <w:spacing w:after="20" w:before="20"/>
            </w:pPr>
            <w:r>
              <w:rPr>
                <w:sz w:val="16"/>
              </w:rPr>
            </w:r>
            <w:r>
              <w:rPr>
                <w:rFonts w:ascii="Consolas" w:hAnsi="Consolas"/>
                <w:sz w:val="16"/>
              </w:rPr>
              <w:t>(571, 150)</w:t>
            </w:r>
          </w:p>
        </w:tc>
        <w:tc>
          <w:tcPr>
            <w:tcW w:type="dxa" w:w="2664"/>
            <w:shd w:val="clear" w:color="auto" w:fill="F2F5F8"/>
          </w:tcPr>
          <w:p>
            <w:pPr>
              <w:spacing w:after="20" w:before="20"/>
            </w:pPr>
            <w:r>
              <w:rPr>
                <w:sz w:val="16"/>
              </w:rPr>
            </w:r>
            <w:r>
              <w:rPr>
                <w:rFonts w:ascii="Consolas" w:hAnsi="Consolas"/>
                <w:sz w:val="16"/>
              </w:rPr>
              <w:t>(542, 30, 150)</w:t>
            </w:r>
          </w:p>
        </w:tc>
        <w:tc>
          <w:tcPr>
            <w:tcW w:type="dxa" w:w="3283"/>
            <w:shd w:val="clear" w:color="auto" w:fill="F2F5F8"/>
          </w:tcPr>
          <w:p>
            <w:pPr>
              <w:spacing w:after="20" w:before="20"/>
            </w:pPr>
            <w:r>
              <w:rPr>
                <w:sz w:val="16"/>
              </w:rPr>
            </w:r>
            <w:r>
              <w:rPr>
                <w:sz w:val="16"/>
              </w:rPr>
              <w:t>Sliding 30-day windows, stride 1</w:t>
            </w:r>
          </w:p>
        </w:tc>
      </w:tr>
      <w:tr>
        <w:tc>
          <w:tcPr>
            <w:tcW w:type="dxa" w:w="461"/>
          </w:tcPr>
          <w:p>
            <w:pPr>
              <w:spacing w:after="20" w:before="20"/>
            </w:pPr>
            <w:r>
              <w:rPr>
                <w:sz w:val="16"/>
              </w:rPr>
            </w:r>
            <w:r>
              <w:rPr>
                <w:sz w:val="16"/>
              </w:rPr>
              <w:t>6</w:t>
            </w:r>
          </w:p>
        </w:tc>
        <w:tc>
          <w:tcPr>
            <w:tcW w:type="dxa" w:w="2160"/>
          </w:tcPr>
          <w:p>
            <w:pPr>
              <w:spacing w:after="20" w:before="20"/>
            </w:pPr>
            <w:r>
              <w:rPr>
                <w:sz w:val="16"/>
              </w:rPr>
            </w:r>
            <w:r>
              <w:rPr>
                <w:sz w:val="16"/>
              </w:rPr>
              <w:t>Encoder reshape</w:t>
            </w:r>
          </w:p>
        </w:tc>
        <w:tc>
          <w:tcPr>
            <w:tcW w:type="dxa" w:w="1728"/>
          </w:tcPr>
          <w:p>
            <w:pPr>
              <w:spacing w:after="20" w:before="20"/>
            </w:pPr>
            <w:r>
              <w:rPr>
                <w:sz w:val="16"/>
              </w:rPr>
            </w:r>
            <w:r>
              <w:rPr>
                <w:rFonts w:ascii="Consolas" w:hAnsi="Consolas"/>
                <w:sz w:val="16"/>
              </w:rPr>
              <w:t>(30, 150)</w:t>
            </w:r>
          </w:p>
        </w:tc>
        <w:tc>
          <w:tcPr>
            <w:tcW w:type="dxa" w:w="2664"/>
          </w:tcPr>
          <w:p>
            <w:pPr>
              <w:spacing w:after="20" w:before="20"/>
            </w:pPr>
            <w:r>
              <w:rPr>
                <w:sz w:val="16"/>
              </w:rPr>
            </w:r>
            <w:r>
              <w:rPr>
                <w:rFonts w:ascii="Consolas" w:hAnsi="Consolas"/>
                <w:sz w:val="16"/>
              </w:rPr>
              <w:t>(10, 30, 15)</w:t>
            </w:r>
          </w:p>
        </w:tc>
        <w:tc>
          <w:tcPr>
            <w:tcW w:type="dxa" w:w="3283"/>
          </w:tcPr>
          <w:p>
            <w:pPr>
              <w:spacing w:after="20" w:before="20"/>
            </w:pPr>
            <w:r>
              <w:rPr>
                <w:sz w:val="16"/>
              </w:rPr>
            </w:r>
            <w:r>
              <w:rPr>
                <w:sz w:val="16"/>
              </w:rPr>
              <w:t>View as (time, asset, feature), permute to (asset, time, feature)</w:t>
            </w:r>
          </w:p>
        </w:tc>
      </w:tr>
      <w:tr>
        <w:tc>
          <w:tcPr>
            <w:tcW w:type="dxa" w:w="461"/>
            <w:shd w:val="clear" w:color="auto" w:fill="F2F5F8"/>
          </w:tcPr>
          <w:p>
            <w:pPr>
              <w:spacing w:after="20" w:before="20"/>
            </w:pPr>
            <w:r>
              <w:rPr>
                <w:sz w:val="16"/>
              </w:rPr>
            </w:r>
            <w:r>
              <w:rPr>
                <w:sz w:val="16"/>
              </w:rPr>
              <w:t>7</w:t>
            </w:r>
          </w:p>
        </w:tc>
        <w:tc>
          <w:tcPr>
            <w:tcW w:type="dxa" w:w="2160"/>
            <w:shd w:val="clear" w:color="auto" w:fill="F2F5F8"/>
          </w:tcPr>
          <w:p>
            <w:pPr>
              <w:spacing w:after="20" w:before="20"/>
            </w:pPr>
            <w:r>
              <w:rPr>
                <w:sz w:val="16"/>
              </w:rPr>
            </w:r>
            <w:r>
              <w:rPr>
                <w:sz w:val="16"/>
              </w:rPr>
              <w:t>V-VSN</w:t>
            </w:r>
          </w:p>
        </w:tc>
        <w:tc>
          <w:tcPr>
            <w:tcW w:type="dxa" w:w="1728"/>
            <w:shd w:val="clear" w:color="auto" w:fill="F2F5F8"/>
          </w:tcPr>
          <w:p>
            <w:pPr>
              <w:spacing w:after="20" w:before="20"/>
            </w:pPr>
            <w:r>
              <w:rPr>
                <w:sz w:val="16"/>
              </w:rPr>
            </w:r>
            <w:r>
              <w:rPr>
                <w:rFonts w:ascii="Consolas" w:hAnsi="Consolas"/>
                <w:sz w:val="16"/>
              </w:rPr>
              <w:t>(10, 30, 15)</w:t>
            </w:r>
          </w:p>
        </w:tc>
        <w:tc>
          <w:tcPr>
            <w:tcW w:type="dxa" w:w="2664"/>
            <w:shd w:val="clear" w:color="auto" w:fill="F2F5F8"/>
          </w:tcPr>
          <w:p>
            <w:pPr>
              <w:spacing w:after="20" w:before="20"/>
            </w:pPr>
            <w:r>
              <w:rPr>
                <w:sz w:val="16"/>
              </w:rPr>
            </w:r>
            <w:r>
              <w:rPr>
                <w:rFonts w:ascii="Consolas" w:hAnsi="Consolas"/>
                <w:sz w:val="16"/>
              </w:rPr>
              <w:t>(10, 30, 64)</w:t>
            </w:r>
            <w:r>
              <w:rPr>
                <w:sz w:val="16"/>
              </w:rPr>
              <w:t xml:space="preserve"> + weights </w:t>
            </w:r>
            <w:r>
              <w:rPr>
                <w:rFonts w:ascii="Consolas" w:hAnsi="Consolas"/>
                <w:sz w:val="16"/>
              </w:rPr>
              <w:t>(10, 30, 15)</w:t>
            </w:r>
          </w:p>
        </w:tc>
        <w:tc>
          <w:tcPr>
            <w:tcW w:type="dxa" w:w="3283"/>
            <w:shd w:val="clear" w:color="auto" w:fill="F2F5F8"/>
          </w:tcPr>
          <w:p>
            <w:pPr>
              <w:spacing w:after="20" w:before="20"/>
            </w:pPr>
            <w:r>
              <w:rPr>
                <w:sz w:val="16"/>
              </w:rPr>
            </w:r>
            <w:r>
              <w:rPr>
                <w:sz w:val="16"/>
              </w:rPr>
              <w:t>Softmax feature selection, weighted sum of embeddings</w:t>
            </w:r>
          </w:p>
        </w:tc>
      </w:tr>
      <w:tr>
        <w:tc>
          <w:tcPr>
            <w:tcW w:type="dxa" w:w="461"/>
          </w:tcPr>
          <w:p>
            <w:pPr>
              <w:spacing w:after="20" w:before="20"/>
            </w:pPr>
            <w:r>
              <w:rPr>
                <w:sz w:val="16"/>
              </w:rPr>
            </w:r>
            <w:r>
              <w:rPr>
                <w:sz w:val="16"/>
              </w:rPr>
              <w:t>8</w:t>
            </w:r>
          </w:p>
        </w:tc>
        <w:tc>
          <w:tcPr>
            <w:tcW w:type="dxa" w:w="2160"/>
          </w:tcPr>
          <w:p>
            <w:pPr>
              <w:spacing w:after="20" w:before="20"/>
            </w:pPr>
            <w:r>
              <w:rPr>
                <w:sz w:val="16"/>
              </w:rPr>
            </w:r>
            <w:r>
              <w:rPr>
                <w:sz w:val="16"/>
              </w:rPr>
              <w:t>LSTM ×2</w:t>
            </w:r>
          </w:p>
        </w:tc>
        <w:tc>
          <w:tcPr>
            <w:tcW w:type="dxa" w:w="1728"/>
          </w:tcPr>
          <w:p>
            <w:pPr>
              <w:spacing w:after="20" w:before="20"/>
            </w:pPr>
            <w:r>
              <w:rPr>
                <w:sz w:val="16"/>
              </w:rPr>
            </w:r>
            <w:r>
              <w:rPr>
                <w:rFonts w:ascii="Consolas" w:hAnsi="Consolas"/>
                <w:sz w:val="16"/>
              </w:rPr>
              <w:t>(10, 30, 64)</w:t>
            </w:r>
          </w:p>
        </w:tc>
        <w:tc>
          <w:tcPr>
            <w:tcW w:type="dxa" w:w="2664"/>
          </w:tcPr>
          <w:p>
            <w:pPr>
              <w:spacing w:after="20" w:before="20"/>
            </w:pPr>
            <w:r>
              <w:rPr>
                <w:sz w:val="16"/>
              </w:rPr>
            </w:r>
            <w:r>
              <w:rPr>
                <w:rFonts w:ascii="Consolas" w:hAnsi="Consolas"/>
                <w:sz w:val="16"/>
              </w:rPr>
              <w:t>(10, 30, 128)</w:t>
            </w:r>
          </w:p>
        </w:tc>
        <w:tc>
          <w:tcPr>
            <w:tcW w:type="dxa" w:w="3283"/>
          </w:tcPr>
          <w:p>
            <w:pPr>
              <w:spacing w:after="20" w:before="20"/>
            </w:pPr>
            <w:r>
              <w:rPr>
                <w:sz w:val="16"/>
              </w:rPr>
            </w:r>
            <w:r>
              <w:rPr>
                <w:sz w:val="16"/>
              </w:rPr>
              <w:t>Temporal memory; LayerNorm + linear projection</w:t>
            </w:r>
          </w:p>
        </w:tc>
      </w:tr>
      <w:tr>
        <w:tc>
          <w:tcPr>
            <w:tcW w:type="dxa" w:w="461"/>
            <w:shd w:val="clear" w:color="auto" w:fill="F2F5F8"/>
          </w:tcPr>
          <w:p>
            <w:pPr>
              <w:spacing w:after="20" w:before="20"/>
            </w:pPr>
            <w:r>
              <w:rPr>
                <w:sz w:val="16"/>
              </w:rPr>
            </w:r>
            <w:r>
              <w:rPr>
                <w:sz w:val="16"/>
              </w:rPr>
              <w:t>9</w:t>
            </w:r>
          </w:p>
        </w:tc>
        <w:tc>
          <w:tcPr>
            <w:tcW w:type="dxa" w:w="2160"/>
            <w:shd w:val="clear" w:color="auto" w:fill="F2F5F8"/>
          </w:tcPr>
          <w:p>
            <w:pPr>
              <w:spacing w:after="20" w:before="20"/>
            </w:pPr>
            <w:r>
              <w:rPr>
                <w:sz w:val="16"/>
              </w:rPr>
            </w:r>
            <w:r>
              <w:rPr>
                <w:sz w:val="16"/>
              </w:rPr>
              <w:t>Temporal MHA</w:t>
            </w:r>
          </w:p>
        </w:tc>
        <w:tc>
          <w:tcPr>
            <w:tcW w:type="dxa" w:w="1728"/>
            <w:shd w:val="clear" w:color="auto" w:fill="F2F5F8"/>
          </w:tcPr>
          <w:p>
            <w:pPr>
              <w:spacing w:after="20" w:before="20"/>
            </w:pPr>
            <w:r>
              <w:rPr>
                <w:sz w:val="16"/>
              </w:rPr>
            </w:r>
            <w:r>
              <w:rPr>
                <w:rFonts w:ascii="Consolas" w:hAnsi="Consolas"/>
                <w:sz w:val="16"/>
              </w:rPr>
              <w:t>(10, 30, 128)</w:t>
            </w:r>
          </w:p>
        </w:tc>
        <w:tc>
          <w:tcPr>
            <w:tcW w:type="dxa" w:w="2664"/>
            <w:shd w:val="clear" w:color="auto" w:fill="F2F5F8"/>
          </w:tcPr>
          <w:p>
            <w:pPr>
              <w:spacing w:after="20" w:before="20"/>
            </w:pPr>
            <w:r>
              <w:rPr>
                <w:sz w:val="16"/>
              </w:rPr>
            </w:r>
            <w:r>
              <w:rPr>
                <w:rFonts w:ascii="Consolas" w:hAnsi="Consolas"/>
                <w:sz w:val="16"/>
              </w:rPr>
              <w:t>(10, 30, 128)</w:t>
            </w:r>
            <w:r>
              <w:rPr>
                <w:sz w:val="16"/>
              </w:rPr>
              <w:t xml:space="preserve"> + attn </w:t>
            </w:r>
            <w:r>
              <w:rPr>
                <w:rFonts w:ascii="Consolas" w:hAnsi="Consolas"/>
                <w:sz w:val="16"/>
              </w:rPr>
              <w:t>(10, 4, 30, 30)</w:t>
            </w:r>
          </w:p>
        </w:tc>
        <w:tc>
          <w:tcPr>
            <w:tcW w:type="dxa" w:w="3283"/>
            <w:shd w:val="clear" w:color="auto" w:fill="F2F5F8"/>
          </w:tcPr>
          <w:p>
            <w:pPr>
              <w:spacing w:after="20" w:before="20"/>
            </w:pPr>
            <w:r>
              <w:rPr>
                <w:sz w:val="16"/>
              </w:rPr>
            </w:r>
            <w:r>
              <w:rPr>
                <w:sz w:val="16"/>
              </w:rPr>
              <w:t>4-head self-attention over days, + FFN, residual, LayerNorm</w:t>
            </w:r>
          </w:p>
        </w:tc>
      </w:tr>
      <w:tr>
        <w:tc>
          <w:tcPr>
            <w:tcW w:type="dxa" w:w="461"/>
          </w:tcPr>
          <w:p>
            <w:pPr>
              <w:spacing w:after="20" w:before="20"/>
            </w:pPr>
            <w:r>
              <w:rPr>
                <w:sz w:val="16"/>
              </w:rPr>
            </w:r>
            <w:r>
              <w:rPr>
                <w:sz w:val="16"/>
              </w:rPr>
              <w:t>10</w:t>
            </w:r>
          </w:p>
        </w:tc>
        <w:tc>
          <w:tcPr>
            <w:tcW w:type="dxa" w:w="2160"/>
          </w:tcPr>
          <w:p>
            <w:pPr>
              <w:spacing w:after="20" w:before="20"/>
            </w:pPr>
            <w:r>
              <w:rPr>
                <w:sz w:val="16"/>
              </w:rPr>
            </w:r>
            <w:r>
              <w:rPr>
                <w:sz w:val="16"/>
              </w:rPr>
              <w:t>Last-step slice</w:t>
            </w:r>
          </w:p>
        </w:tc>
        <w:tc>
          <w:tcPr>
            <w:tcW w:type="dxa" w:w="1728"/>
          </w:tcPr>
          <w:p>
            <w:pPr>
              <w:spacing w:after="20" w:before="20"/>
            </w:pPr>
            <w:r>
              <w:rPr>
                <w:sz w:val="16"/>
              </w:rPr>
            </w:r>
            <w:r>
              <w:rPr>
                <w:rFonts w:ascii="Consolas" w:hAnsi="Consolas"/>
                <w:sz w:val="16"/>
              </w:rPr>
              <w:t>(10, 30, 128)</w:t>
            </w:r>
          </w:p>
        </w:tc>
        <w:tc>
          <w:tcPr>
            <w:tcW w:type="dxa" w:w="2664"/>
          </w:tcPr>
          <w:p>
            <w:pPr>
              <w:spacing w:after="20" w:before="20"/>
            </w:pPr>
            <w:r>
              <w:rPr>
                <w:sz w:val="16"/>
              </w:rPr>
            </w:r>
            <w:r>
              <w:rPr>
                <w:rFonts w:ascii="Consolas" w:hAnsi="Consolas"/>
                <w:sz w:val="16"/>
              </w:rPr>
              <w:t>(10, 128)</w:t>
            </w:r>
            <w:r>
              <w:rPr>
                <w:sz w:val="16"/>
              </w:rPr>
              <w:t xml:space="preserve">  = H</w:t>
            </w:r>
          </w:p>
        </w:tc>
        <w:tc>
          <w:tcPr>
            <w:tcW w:type="dxa" w:w="3283"/>
          </w:tcPr>
          <w:p>
            <w:pPr>
              <w:spacing w:after="20" w:before="20"/>
            </w:pPr>
            <w:r>
              <w:rPr>
                <w:sz w:val="16"/>
              </w:rPr>
            </w:r>
            <w:r>
              <w:rPr>
                <w:sz w:val="16"/>
              </w:rPr>
              <w:t>Take position 29 as the window summary</w:t>
            </w:r>
          </w:p>
        </w:tc>
      </w:tr>
      <w:tr>
        <w:tc>
          <w:tcPr>
            <w:tcW w:type="dxa" w:w="461"/>
            <w:shd w:val="clear" w:color="auto" w:fill="F2F5F8"/>
          </w:tcPr>
          <w:p>
            <w:pPr>
              <w:spacing w:after="20" w:before="20"/>
            </w:pPr>
            <w:r>
              <w:rPr>
                <w:sz w:val="16"/>
              </w:rPr>
            </w:r>
            <w:r>
              <w:rPr>
                <w:sz w:val="16"/>
              </w:rPr>
              <w:t>11</w:t>
            </w:r>
          </w:p>
        </w:tc>
        <w:tc>
          <w:tcPr>
            <w:tcW w:type="dxa" w:w="2160"/>
            <w:shd w:val="clear" w:color="auto" w:fill="F2F5F8"/>
          </w:tcPr>
          <w:p>
            <w:pPr>
              <w:spacing w:after="20" w:before="20"/>
            </w:pPr>
            <w:r>
              <w:rPr>
                <w:sz w:val="16"/>
              </w:rPr>
            </w:r>
            <w:r>
              <w:rPr>
                <w:sz w:val="16"/>
              </w:rPr>
              <w:t>GAT ×2</w:t>
            </w:r>
          </w:p>
        </w:tc>
        <w:tc>
          <w:tcPr>
            <w:tcW w:type="dxa" w:w="1728"/>
            <w:shd w:val="clear" w:color="auto" w:fill="F2F5F8"/>
          </w:tcPr>
          <w:p>
            <w:pPr>
              <w:spacing w:after="20" w:before="20"/>
            </w:pPr>
            <w:r>
              <w:rPr>
                <w:sz w:val="16"/>
              </w:rPr>
            </w:r>
            <w:r>
              <w:rPr>
                <w:rFonts w:ascii="Consolas" w:hAnsi="Consolas"/>
                <w:sz w:val="16"/>
              </w:rPr>
              <w:t>(10, 128)</w:t>
            </w:r>
          </w:p>
        </w:tc>
        <w:tc>
          <w:tcPr>
            <w:tcW w:type="dxa" w:w="2664"/>
            <w:shd w:val="clear" w:color="auto" w:fill="F2F5F8"/>
          </w:tcPr>
          <w:p>
            <w:pPr>
              <w:spacing w:after="20" w:before="20"/>
            </w:pPr>
            <w:r>
              <w:rPr>
                <w:sz w:val="16"/>
              </w:rPr>
            </w:r>
            <w:r>
              <w:rPr>
                <w:rFonts w:ascii="Consolas" w:hAnsi="Consolas"/>
                <w:sz w:val="16"/>
              </w:rPr>
              <w:t>(10, 64)</w:t>
            </w:r>
            <w:r>
              <w:rPr>
                <w:sz w:val="16"/>
              </w:rPr>
              <w:t xml:space="preserve"> + attn </w:t>
            </w:r>
            <w:r>
              <w:rPr>
                <w:rFonts w:ascii="Consolas" w:hAnsi="Consolas"/>
                <w:sz w:val="16"/>
              </w:rPr>
              <w:t>(2, 10, 10)</w:t>
            </w:r>
          </w:p>
        </w:tc>
        <w:tc>
          <w:tcPr>
            <w:tcW w:type="dxa" w:w="3283"/>
            <w:shd w:val="clear" w:color="auto" w:fill="F2F5F8"/>
          </w:tcPr>
          <w:p>
            <w:pPr>
              <w:spacing w:after="20" w:before="20"/>
            </w:pPr>
            <w:r>
              <w:rPr>
                <w:sz w:val="16"/>
              </w:rPr>
            </w:r>
            <w:r>
              <w:rPr>
                <w:sz w:val="16"/>
              </w:rPr>
              <w:t>Attention-weighted message passing between assets</w:t>
            </w:r>
          </w:p>
        </w:tc>
      </w:tr>
      <w:tr>
        <w:tc>
          <w:tcPr>
            <w:tcW w:type="dxa" w:w="461"/>
          </w:tcPr>
          <w:p>
            <w:pPr>
              <w:spacing w:after="20" w:before="20"/>
            </w:pPr>
            <w:r>
              <w:rPr>
                <w:sz w:val="16"/>
              </w:rPr>
            </w:r>
            <w:r>
              <w:rPr>
                <w:sz w:val="16"/>
              </w:rPr>
              <w:t>12</w:t>
            </w:r>
          </w:p>
        </w:tc>
        <w:tc>
          <w:tcPr>
            <w:tcW w:type="dxa" w:w="2160"/>
          </w:tcPr>
          <w:p>
            <w:pPr>
              <w:spacing w:after="20" w:before="20"/>
            </w:pPr>
            <w:r>
              <w:rPr>
                <w:sz w:val="16"/>
              </w:rPr>
            </w:r>
            <w:r>
              <w:rPr>
                <w:sz w:val="16"/>
              </w:rPr>
              <w:t>Fusion MLP</w:t>
            </w:r>
          </w:p>
        </w:tc>
        <w:tc>
          <w:tcPr>
            <w:tcW w:type="dxa" w:w="1728"/>
          </w:tcPr>
          <w:p>
            <w:pPr>
              <w:spacing w:after="20" w:before="20"/>
            </w:pPr>
            <w:r>
              <w:rPr>
                <w:sz w:val="16"/>
              </w:rPr>
            </w:r>
            <w:r>
              <w:rPr>
                <w:rFonts w:ascii="Consolas" w:hAnsi="Consolas"/>
                <w:sz w:val="16"/>
              </w:rPr>
              <w:t>(10, 192)</w:t>
            </w:r>
          </w:p>
        </w:tc>
        <w:tc>
          <w:tcPr>
            <w:tcW w:type="dxa" w:w="2664"/>
          </w:tcPr>
          <w:p>
            <w:pPr>
              <w:spacing w:after="20" w:before="20"/>
            </w:pPr>
            <w:r>
              <w:rPr>
                <w:sz w:val="16"/>
              </w:rPr>
            </w:r>
            <w:r>
              <w:rPr>
                <w:rFonts w:ascii="Consolas" w:hAnsi="Consolas"/>
                <w:sz w:val="16"/>
              </w:rPr>
              <w:t>(10, 128)</w:t>
            </w:r>
            <w:r>
              <w:rPr>
                <w:sz w:val="16"/>
              </w:rPr>
              <w:t xml:space="preserve"> = h_asset</w:t>
            </w:r>
          </w:p>
        </w:tc>
        <w:tc>
          <w:tcPr>
            <w:tcW w:type="dxa" w:w="3283"/>
          </w:tcPr>
          <w:p>
            <w:pPr>
              <w:spacing w:after="20" w:before="20"/>
            </w:pPr>
            <w:r>
              <w:rPr>
                <w:sz w:val="16"/>
              </w:rPr>
            </w:r>
            <w:r>
              <w:rPr>
                <w:sz w:val="16"/>
              </w:rPr>
              <w:t>concat(H, node_emb) → Linear → GELU → Linear → LayerNorm</w:t>
            </w:r>
          </w:p>
        </w:tc>
      </w:tr>
      <w:tr>
        <w:tc>
          <w:tcPr>
            <w:tcW w:type="dxa" w:w="461"/>
            <w:shd w:val="clear" w:color="auto" w:fill="F2F5F8"/>
          </w:tcPr>
          <w:p>
            <w:pPr>
              <w:spacing w:after="20" w:before="20"/>
            </w:pPr>
            <w:r>
              <w:rPr>
                <w:sz w:val="16"/>
              </w:rPr>
            </w:r>
            <w:r>
              <w:rPr>
                <w:sz w:val="16"/>
              </w:rPr>
              <w:t>13</w:t>
            </w:r>
          </w:p>
        </w:tc>
        <w:tc>
          <w:tcPr>
            <w:tcW w:type="dxa" w:w="2160"/>
            <w:shd w:val="clear" w:color="auto" w:fill="F2F5F8"/>
          </w:tcPr>
          <w:p>
            <w:pPr>
              <w:spacing w:after="20" w:before="20"/>
            </w:pPr>
            <w:r>
              <w:rPr>
                <w:sz w:val="16"/>
              </w:rPr>
            </w:r>
            <w:r>
              <w:rPr>
                <w:sz w:val="16"/>
              </w:rPr>
              <w:t>Mean pool</w:t>
            </w:r>
          </w:p>
        </w:tc>
        <w:tc>
          <w:tcPr>
            <w:tcW w:type="dxa" w:w="1728"/>
            <w:shd w:val="clear" w:color="auto" w:fill="F2F5F8"/>
          </w:tcPr>
          <w:p>
            <w:pPr>
              <w:spacing w:after="20" w:before="20"/>
            </w:pPr>
            <w:r>
              <w:rPr>
                <w:sz w:val="16"/>
              </w:rPr>
            </w:r>
            <w:r>
              <w:rPr>
                <w:rFonts w:ascii="Consolas" w:hAnsi="Consolas"/>
                <w:sz w:val="16"/>
              </w:rPr>
              <w:t>(10, 128)</w:t>
            </w:r>
          </w:p>
        </w:tc>
        <w:tc>
          <w:tcPr>
            <w:tcW w:type="dxa" w:w="2664"/>
            <w:shd w:val="clear" w:color="auto" w:fill="F2F5F8"/>
          </w:tcPr>
          <w:p>
            <w:pPr>
              <w:spacing w:after="20" w:before="20"/>
            </w:pPr>
            <w:r>
              <w:rPr>
                <w:sz w:val="16"/>
              </w:rPr>
            </w:r>
            <w:r>
              <w:rPr>
                <w:rFonts w:ascii="Consolas" w:hAnsi="Consolas"/>
                <w:sz w:val="16"/>
              </w:rPr>
              <w:t>(128,)</w:t>
            </w:r>
            <w:r>
              <w:rPr>
                <w:sz w:val="16"/>
              </w:rPr>
              <w:t xml:space="preserve"> = h_market</w:t>
            </w:r>
          </w:p>
        </w:tc>
        <w:tc>
          <w:tcPr>
            <w:tcW w:type="dxa" w:w="3283"/>
            <w:shd w:val="clear" w:color="auto" w:fill="F2F5F8"/>
          </w:tcPr>
          <w:p>
            <w:pPr>
              <w:spacing w:after="20" w:before="20"/>
            </w:pPr>
            <w:r>
              <w:rPr>
                <w:sz w:val="16"/>
              </w:rPr>
            </w:r>
            <w:r>
              <w:rPr>
                <w:sz w:val="16"/>
              </w:rPr>
              <w:t>Average across assets</w:t>
            </w:r>
          </w:p>
        </w:tc>
      </w:tr>
      <w:tr>
        <w:tc>
          <w:tcPr>
            <w:tcW w:type="dxa" w:w="461"/>
          </w:tcPr>
          <w:p>
            <w:pPr>
              <w:spacing w:after="20" w:before="20"/>
            </w:pPr>
            <w:r>
              <w:rPr>
                <w:sz w:val="16"/>
              </w:rPr>
            </w:r>
            <w:r>
              <w:rPr>
                <w:sz w:val="16"/>
              </w:rPr>
              <w:t>14</w:t>
            </w:r>
          </w:p>
        </w:tc>
        <w:tc>
          <w:tcPr>
            <w:tcW w:type="dxa" w:w="2160"/>
          </w:tcPr>
          <w:p>
            <w:pPr>
              <w:spacing w:after="20" w:before="20"/>
            </w:pPr>
            <w:r>
              <w:rPr>
                <w:sz w:val="16"/>
              </w:rPr>
            </w:r>
            <w:r>
              <w:rPr>
                <w:sz w:val="16"/>
              </w:rPr>
              <w:t>Regime classifier</w:t>
            </w:r>
          </w:p>
        </w:tc>
        <w:tc>
          <w:tcPr>
            <w:tcW w:type="dxa" w:w="1728"/>
          </w:tcPr>
          <w:p>
            <w:pPr>
              <w:spacing w:after="20" w:before="20"/>
            </w:pPr>
            <w:r>
              <w:rPr>
                <w:sz w:val="16"/>
              </w:rPr>
            </w:r>
            <w:r>
              <w:rPr>
                <w:rFonts w:ascii="Consolas" w:hAnsi="Consolas"/>
                <w:sz w:val="16"/>
              </w:rPr>
              <w:t>(128,)</w:t>
            </w:r>
          </w:p>
        </w:tc>
        <w:tc>
          <w:tcPr>
            <w:tcW w:type="dxa" w:w="2664"/>
          </w:tcPr>
          <w:p>
            <w:pPr>
              <w:spacing w:after="20" w:before="20"/>
            </w:pPr>
            <w:r>
              <w:rPr>
                <w:sz w:val="16"/>
              </w:rPr>
            </w:r>
            <w:r>
              <w:rPr>
                <w:rFonts w:ascii="Consolas" w:hAnsi="Consolas"/>
                <w:sz w:val="16"/>
              </w:rPr>
              <w:t>(3,)</w:t>
            </w:r>
            <w:r>
              <w:rPr>
                <w:sz w:val="16"/>
              </w:rPr>
              <w:t xml:space="preserve"> regime_probs</w:t>
            </w:r>
          </w:p>
        </w:tc>
        <w:tc>
          <w:tcPr>
            <w:tcW w:type="dxa" w:w="3283"/>
          </w:tcPr>
          <w:p>
            <w:pPr>
              <w:spacing w:after="20" w:before="20"/>
            </w:pPr>
            <w:r>
              <w:rPr>
                <w:sz w:val="16"/>
              </w:rPr>
            </w:r>
            <w:r>
              <w:rPr>
                <w:sz w:val="16"/>
              </w:rPr>
              <w:t>MLP → softmax with learnable temperature</w:t>
            </w:r>
          </w:p>
        </w:tc>
      </w:tr>
      <w:tr>
        <w:tc>
          <w:tcPr>
            <w:tcW w:type="dxa" w:w="461"/>
            <w:shd w:val="clear" w:color="auto" w:fill="F2F5F8"/>
          </w:tcPr>
          <w:p>
            <w:pPr>
              <w:spacing w:after="20" w:before="20"/>
            </w:pPr>
            <w:r>
              <w:rPr>
                <w:sz w:val="16"/>
              </w:rPr>
            </w:r>
            <w:r>
              <w:rPr>
                <w:sz w:val="16"/>
              </w:rPr>
              <w:t>15</w:t>
            </w:r>
          </w:p>
        </w:tc>
        <w:tc>
          <w:tcPr>
            <w:tcW w:type="dxa" w:w="2160"/>
            <w:shd w:val="clear" w:color="auto" w:fill="F2F5F8"/>
          </w:tcPr>
          <w:p>
            <w:pPr>
              <w:spacing w:after="20" w:before="20"/>
            </w:pPr>
            <w:r>
              <w:rPr>
                <w:sz w:val="16"/>
              </w:rPr>
            </w:r>
            <w:r>
              <w:rPr>
                <w:sz w:val="16"/>
              </w:rPr>
              <w:t>Actor</w:t>
            </w:r>
          </w:p>
        </w:tc>
        <w:tc>
          <w:tcPr>
            <w:tcW w:type="dxa" w:w="1728"/>
            <w:shd w:val="clear" w:color="auto" w:fill="F2F5F8"/>
          </w:tcPr>
          <w:p>
            <w:pPr>
              <w:spacing w:after="20" w:before="20"/>
            </w:pPr>
            <w:r>
              <w:rPr>
                <w:sz w:val="16"/>
              </w:rPr>
            </w:r>
            <w:r>
              <w:rPr>
                <w:rFonts w:ascii="Consolas" w:hAnsi="Consolas"/>
                <w:sz w:val="16"/>
              </w:rPr>
              <w:t>(10, 128)</w:t>
            </w:r>
            <w:r>
              <w:rPr>
                <w:sz w:val="16"/>
              </w:rPr>
              <w:t xml:space="preserve"> + </w:t>
            </w:r>
            <w:r>
              <w:rPr>
                <w:rFonts w:ascii="Consolas" w:hAnsi="Consolas"/>
                <w:sz w:val="16"/>
              </w:rPr>
              <w:t>(3,)</w:t>
            </w:r>
          </w:p>
        </w:tc>
        <w:tc>
          <w:tcPr>
            <w:tcW w:type="dxa" w:w="2664"/>
            <w:shd w:val="clear" w:color="auto" w:fill="F2F5F8"/>
          </w:tcPr>
          <w:p>
            <w:pPr>
              <w:spacing w:after="20" w:before="20"/>
            </w:pPr>
            <w:r>
              <w:rPr>
                <w:sz w:val="16"/>
              </w:rPr>
            </w:r>
            <w:r>
              <w:rPr>
                <w:rFonts w:ascii="Consolas" w:hAnsi="Consolas"/>
                <w:sz w:val="16"/>
              </w:rPr>
              <w:t>(10,)</w:t>
            </w:r>
            <w:r>
              <w:rPr>
                <w:sz w:val="16"/>
              </w:rPr>
              <w:t xml:space="preserve"> weights, </w:t>
            </w:r>
            <w:r>
              <w:rPr>
                <w:rFonts w:ascii="Consolas" w:hAnsi="Consolas"/>
                <w:sz w:val="16"/>
              </w:rPr>
              <w:t>(10,)</w:t>
            </w:r>
            <w:r>
              <w:rPr>
                <w:sz w:val="16"/>
              </w:rPr>
              <w:t xml:space="preserve"> raw, </w:t>
            </w:r>
            <w:r>
              <w:rPr>
                <w:rFonts w:ascii="Consolas" w:hAnsi="Consolas"/>
                <w:sz w:val="16"/>
              </w:rPr>
              <w:t>()</w:t>
            </w:r>
            <w:r>
              <w:rPr>
                <w:sz w:val="16"/>
              </w:rPr>
              <w:t xml:space="preserve"> log_prob</w:t>
            </w:r>
          </w:p>
        </w:tc>
        <w:tc>
          <w:tcPr>
            <w:tcW w:type="dxa" w:w="3283"/>
            <w:shd w:val="clear" w:color="auto" w:fill="F2F5F8"/>
          </w:tcPr>
          <w:p>
            <w:pPr>
              <w:spacing w:after="20" w:before="20"/>
            </w:pPr>
            <w:r>
              <w:rPr>
                <w:sz w:val="16"/>
              </w:rPr>
            </w:r>
            <w:r>
              <w:rPr>
                <w:sz w:val="16"/>
              </w:rPr>
              <w:t>Shared per-asset MLP → Gaussian → softmax</w:t>
            </w:r>
          </w:p>
        </w:tc>
      </w:tr>
      <w:tr>
        <w:tc>
          <w:tcPr>
            <w:tcW w:type="dxa" w:w="461"/>
          </w:tcPr>
          <w:p>
            <w:pPr>
              <w:spacing w:after="20" w:before="20"/>
            </w:pPr>
            <w:r>
              <w:rPr>
                <w:sz w:val="16"/>
              </w:rPr>
            </w:r>
            <w:r>
              <w:rPr>
                <w:sz w:val="16"/>
              </w:rPr>
              <w:t>16</w:t>
            </w:r>
          </w:p>
        </w:tc>
        <w:tc>
          <w:tcPr>
            <w:tcW w:type="dxa" w:w="2160"/>
          </w:tcPr>
          <w:p>
            <w:pPr>
              <w:spacing w:after="20" w:before="20"/>
            </w:pPr>
            <w:r>
              <w:rPr>
                <w:sz w:val="16"/>
              </w:rPr>
            </w:r>
            <w:r>
              <w:rPr>
                <w:sz w:val="16"/>
              </w:rPr>
              <w:t>Critic</w:t>
            </w:r>
          </w:p>
        </w:tc>
        <w:tc>
          <w:tcPr>
            <w:tcW w:type="dxa" w:w="1728"/>
          </w:tcPr>
          <w:p>
            <w:pPr>
              <w:spacing w:after="20" w:before="20"/>
            </w:pPr>
            <w:r>
              <w:rPr>
                <w:sz w:val="16"/>
              </w:rPr>
            </w:r>
            <w:r>
              <w:rPr>
                <w:rFonts w:ascii="Consolas" w:hAnsi="Consolas"/>
                <w:sz w:val="16"/>
              </w:rPr>
              <w:t>(128,)</w:t>
            </w:r>
            <w:r>
              <w:rPr>
                <w:sz w:val="16"/>
              </w:rPr>
              <w:t xml:space="preserve"> + </w:t>
            </w:r>
            <w:r>
              <w:rPr>
                <w:rFonts w:ascii="Consolas" w:hAnsi="Consolas"/>
                <w:sz w:val="16"/>
              </w:rPr>
              <w:t>(3,)</w:t>
            </w:r>
          </w:p>
        </w:tc>
        <w:tc>
          <w:tcPr>
            <w:tcW w:type="dxa" w:w="2664"/>
          </w:tcPr>
          <w:p>
            <w:pPr>
              <w:spacing w:after="20" w:before="20"/>
            </w:pPr>
            <w:r>
              <w:rPr>
                <w:sz w:val="16"/>
              </w:rPr>
            </w:r>
            <w:r>
              <w:rPr>
                <w:rFonts w:ascii="Consolas" w:hAnsi="Consolas"/>
                <w:sz w:val="16"/>
              </w:rPr>
              <w:t>()</w:t>
            </w:r>
            <w:r>
              <w:rPr>
                <w:sz w:val="16"/>
              </w:rPr>
              <w:t xml:space="preserve"> value</w:t>
            </w:r>
          </w:p>
        </w:tc>
        <w:tc>
          <w:tcPr>
            <w:tcW w:type="dxa" w:w="3283"/>
          </w:tcPr>
          <w:p>
            <w:pPr>
              <w:spacing w:after="20" w:before="20"/>
            </w:pPr>
            <w:r>
              <w:rPr>
                <w:sz w:val="16"/>
              </w:rPr>
            </w:r>
            <w:r>
              <w:rPr>
                <w:sz w:val="16"/>
              </w:rPr>
              <w:t>MLP → scalar V(s)</w:t>
            </w:r>
          </w:p>
        </w:tc>
      </w:tr>
      <w:tr>
        <w:tc>
          <w:tcPr>
            <w:tcW w:type="dxa" w:w="461"/>
            <w:shd w:val="clear" w:color="auto" w:fill="F2F5F8"/>
          </w:tcPr>
          <w:p>
            <w:pPr>
              <w:spacing w:after="20" w:before="20"/>
            </w:pPr>
            <w:r>
              <w:rPr>
                <w:sz w:val="16"/>
              </w:rPr>
            </w:r>
            <w:r>
              <w:rPr>
                <w:sz w:val="16"/>
              </w:rPr>
              <w:t>17</w:t>
            </w:r>
          </w:p>
        </w:tc>
        <w:tc>
          <w:tcPr>
            <w:tcW w:type="dxa" w:w="2160"/>
            <w:shd w:val="clear" w:color="auto" w:fill="F2F5F8"/>
          </w:tcPr>
          <w:p>
            <w:pPr>
              <w:spacing w:after="20" w:before="20"/>
            </w:pPr>
            <w:r>
              <w:rPr>
                <w:sz w:val="16"/>
              </w:rPr>
            </w:r>
            <w:r>
              <w:rPr>
                <w:sz w:val="16"/>
              </w:rPr>
              <w:t>Environment</w:t>
            </w:r>
          </w:p>
        </w:tc>
        <w:tc>
          <w:tcPr>
            <w:tcW w:type="dxa" w:w="1728"/>
            <w:shd w:val="clear" w:color="auto" w:fill="F2F5F8"/>
          </w:tcPr>
          <w:p>
            <w:pPr>
              <w:spacing w:after="20" w:before="20"/>
            </w:pPr>
            <w:r>
              <w:rPr>
                <w:sz w:val="16"/>
              </w:rPr>
            </w:r>
            <w:r>
              <w:rPr>
                <w:rFonts w:ascii="Consolas" w:hAnsi="Consolas"/>
                <w:sz w:val="16"/>
              </w:rPr>
              <w:t>(10,)</w:t>
            </w:r>
            <w:r>
              <w:rPr>
                <w:sz w:val="16"/>
              </w:rPr>
              <w:t xml:space="preserve"> weights</w:t>
            </w:r>
          </w:p>
        </w:tc>
        <w:tc>
          <w:tcPr>
            <w:tcW w:type="dxa" w:w="2664"/>
            <w:shd w:val="clear" w:color="auto" w:fill="F2F5F8"/>
          </w:tcPr>
          <w:p>
            <w:pPr>
              <w:spacing w:after="20" w:before="20"/>
            </w:pPr>
            <w:r>
              <w:rPr>
                <w:sz w:val="16"/>
              </w:rPr>
            </w:r>
            <w:r>
              <w:rPr>
                <w:sz w:val="16"/>
              </w:rPr>
              <w:t>return, cost, next obs</w:t>
            </w:r>
          </w:p>
        </w:tc>
        <w:tc>
          <w:tcPr>
            <w:tcW w:type="dxa" w:w="3283"/>
            <w:shd w:val="clear" w:color="auto" w:fill="F2F5F8"/>
          </w:tcPr>
          <w:p>
            <w:pPr>
              <w:spacing w:after="20" w:before="20"/>
            </w:pPr>
            <w:r>
              <w:rPr>
                <w:sz w:val="16"/>
              </w:rPr>
            </w:r>
            <w:r>
              <w:rPr>
                <w:sz w:val="16"/>
              </w:rPr>
              <w:t>Cap at 30%, renormalise, charge costs, realise return</w:t>
            </w:r>
          </w:p>
        </w:tc>
      </w:tr>
      <w:tr>
        <w:tc>
          <w:tcPr>
            <w:tcW w:type="dxa" w:w="461"/>
          </w:tcPr>
          <w:p>
            <w:pPr>
              <w:spacing w:after="20" w:before="20"/>
            </w:pPr>
            <w:r>
              <w:rPr>
                <w:sz w:val="16"/>
              </w:rPr>
            </w:r>
            <w:r>
              <w:rPr>
                <w:sz w:val="16"/>
              </w:rPr>
              <w:t>18</w:t>
            </w:r>
          </w:p>
        </w:tc>
        <w:tc>
          <w:tcPr>
            <w:tcW w:type="dxa" w:w="2160"/>
          </w:tcPr>
          <w:p>
            <w:pPr>
              <w:spacing w:after="20" w:before="20"/>
            </w:pPr>
            <w:r>
              <w:rPr>
                <w:sz w:val="16"/>
              </w:rPr>
            </w:r>
            <w:r>
              <w:rPr>
                <w:sz w:val="16"/>
              </w:rPr>
              <w:t>Reward module</w:t>
            </w:r>
          </w:p>
        </w:tc>
        <w:tc>
          <w:tcPr>
            <w:tcW w:type="dxa" w:w="1728"/>
          </w:tcPr>
          <w:p>
            <w:pPr>
              <w:spacing w:after="20" w:before="20"/>
            </w:pPr>
            <w:r>
              <w:rPr>
                <w:sz w:val="16"/>
              </w:rPr>
            </w:r>
            <w:r>
              <w:rPr>
                <w:sz w:val="16"/>
              </w:rPr>
              <w:t>return, weight change</w:t>
            </w:r>
          </w:p>
        </w:tc>
        <w:tc>
          <w:tcPr>
            <w:tcW w:type="dxa" w:w="2664"/>
          </w:tcPr>
          <w:p>
            <w:pPr>
              <w:spacing w:after="20" w:before="20"/>
            </w:pPr>
            <w:r>
              <w:rPr>
                <w:sz w:val="16"/>
              </w:rPr>
            </w:r>
            <w:r>
              <w:rPr>
                <w:rFonts w:ascii="Consolas" w:hAnsi="Consolas"/>
                <w:sz w:val="16"/>
              </w:rPr>
              <w:t>()</w:t>
            </w:r>
            <w:r>
              <w:rPr>
                <w:sz w:val="16"/>
              </w:rPr>
              <w:t xml:space="preserve"> net_reward</w:t>
            </w:r>
          </w:p>
        </w:tc>
        <w:tc>
          <w:tcPr>
            <w:tcW w:type="dxa" w:w="3283"/>
          </w:tcPr>
          <w:p>
            <w:pPr>
              <w:spacing w:after="20" w:before="20"/>
            </w:pPr>
            <w:r>
              <w:rPr>
                <w:sz w:val="16"/>
              </w:rPr>
            </w:r>
            <w:r>
              <w:rPr>
                <w:sz w:val="16"/>
              </w:rPr>
              <w:t>Rolling Sharpe − EVaR penalty − cost penalty</w:t>
            </w:r>
          </w:p>
        </w:tc>
      </w:tr>
      <w:tr>
        <w:tc>
          <w:tcPr>
            <w:tcW w:type="dxa" w:w="461"/>
            <w:shd w:val="clear" w:color="auto" w:fill="F2F5F8"/>
          </w:tcPr>
          <w:p>
            <w:pPr>
              <w:spacing w:after="20" w:before="20"/>
            </w:pPr>
            <w:r>
              <w:rPr>
                <w:sz w:val="16"/>
              </w:rPr>
            </w:r>
            <w:r>
              <w:rPr>
                <w:sz w:val="16"/>
              </w:rPr>
              <w:t>19</w:t>
            </w:r>
          </w:p>
        </w:tc>
        <w:tc>
          <w:tcPr>
            <w:tcW w:type="dxa" w:w="2160"/>
            <w:shd w:val="clear" w:color="auto" w:fill="F2F5F8"/>
          </w:tcPr>
          <w:p>
            <w:pPr>
              <w:spacing w:after="20" w:before="20"/>
            </w:pPr>
            <w:r>
              <w:rPr>
                <w:sz w:val="16"/>
              </w:rPr>
            </w:r>
            <w:r>
              <w:rPr>
                <w:sz w:val="16"/>
              </w:rPr>
              <w:t>GAE</w:t>
            </w:r>
          </w:p>
        </w:tc>
        <w:tc>
          <w:tcPr>
            <w:tcW w:type="dxa" w:w="1728"/>
            <w:shd w:val="clear" w:color="auto" w:fill="F2F5F8"/>
          </w:tcPr>
          <w:p>
            <w:pPr>
              <w:spacing w:after="20" w:before="20"/>
            </w:pPr>
            <w:r>
              <w:rPr>
                <w:sz w:val="16"/>
              </w:rPr>
            </w:r>
            <w:r>
              <w:rPr>
                <w:rFonts w:ascii="Consolas" w:hAnsi="Consolas"/>
                <w:sz w:val="16"/>
              </w:rPr>
              <w:t>(256,)</w:t>
            </w:r>
            <w:r>
              <w:rPr>
                <w:sz w:val="16"/>
              </w:rPr>
              <w:t xml:space="preserve"> × 3</w:t>
            </w:r>
          </w:p>
        </w:tc>
        <w:tc>
          <w:tcPr>
            <w:tcW w:type="dxa" w:w="2664"/>
            <w:shd w:val="clear" w:color="auto" w:fill="F2F5F8"/>
          </w:tcPr>
          <w:p>
            <w:pPr>
              <w:spacing w:after="20" w:before="20"/>
            </w:pPr>
            <w:r>
              <w:rPr>
                <w:sz w:val="16"/>
              </w:rPr>
            </w:r>
            <w:r>
              <w:rPr>
                <w:rFonts w:ascii="Consolas" w:hAnsi="Consolas"/>
                <w:sz w:val="16"/>
              </w:rPr>
              <w:t>(256,)</w:t>
            </w:r>
            <w:r>
              <w:rPr>
                <w:sz w:val="16"/>
              </w:rPr>
              <w:t xml:space="preserve"> × 2</w:t>
            </w:r>
          </w:p>
        </w:tc>
        <w:tc>
          <w:tcPr>
            <w:tcW w:type="dxa" w:w="3283"/>
            <w:shd w:val="clear" w:color="auto" w:fill="F2F5F8"/>
          </w:tcPr>
          <w:p>
            <w:pPr>
              <w:spacing w:after="20" w:before="20"/>
            </w:pPr>
            <w:r>
              <w:rPr>
                <w:sz w:val="16"/>
              </w:rPr>
            </w:r>
            <w:r>
              <w:rPr>
                <w:sz w:val="16"/>
              </w:rPr>
              <w:t>Advantages and value targets</w:t>
            </w:r>
          </w:p>
        </w:tc>
      </w:tr>
      <w:tr>
        <w:tc>
          <w:tcPr>
            <w:tcW w:type="dxa" w:w="461"/>
          </w:tcPr>
          <w:p>
            <w:pPr>
              <w:spacing w:after="20" w:before="20"/>
            </w:pPr>
            <w:r>
              <w:rPr>
                <w:sz w:val="16"/>
              </w:rPr>
            </w:r>
            <w:r>
              <w:rPr>
                <w:sz w:val="16"/>
              </w:rPr>
              <w:t>20</w:t>
            </w:r>
          </w:p>
        </w:tc>
        <w:tc>
          <w:tcPr>
            <w:tcW w:type="dxa" w:w="2160"/>
          </w:tcPr>
          <w:p>
            <w:pPr>
              <w:spacing w:after="20" w:before="20"/>
            </w:pPr>
            <w:r>
              <w:rPr>
                <w:sz w:val="16"/>
              </w:rPr>
            </w:r>
            <w:r>
              <w:rPr>
                <w:sz w:val="16"/>
              </w:rPr>
              <w:t>PPO update</w:t>
            </w:r>
          </w:p>
        </w:tc>
        <w:tc>
          <w:tcPr>
            <w:tcW w:type="dxa" w:w="1728"/>
          </w:tcPr>
          <w:p>
            <w:pPr>
              <w:spacing w:after="20" w:before="20"/>
            </w:pPr>
            <w:r>
              <w:rPr>
                <w:sz w:val="16"/>
              </w:rPr>
            </w:r>
            <w:r>
              <w:rPr>
                <w:sz w:val="16"/>
              </w:rPr>
              <w:t>batch of 64</w:t>
            </w:r>
          </w:p>
        </w:tc>
        <w:tc>
          <w:tcPr>
            <w:tcW w:type="dxa" w:w="2664"/>
          </w:tcPr>
          <w:p>
            <w:pPr>
              <w:spacing w:after="20" w:before="20"/>
            </w:pPr>
            <w:r>
              <w:rPr>
                <w:sz w:val="16"/>
              </w:rPr>
            </w:r>
            <w:r>
              <w:rPr>
                <w:sz w:val="16"/>
              </w:rPr>
              <w:t>one AdamW step</w:t>
            </w:r>
          </w:p>
        </w:tc>
        <w:tc>
          <w:tcPr>
            <w:tcW w:type="dxa" w:w="3283"/>
          </w:tcPr>
          <w:p>
            <w:pPr>
              <w:spacing w:after="20" w:before="20"/>
            </w:pPr>
            <w:r>
              <w:rPr>
                <w:sz w:val="16"/>
              </w:rPr>
            </w:r>
            <w:r>
              <w:rPr>
                <w:sz w:val="16"/>
              </w:rPr>
              <w:t>Clipped policy + value + entropy; updates all 640,657 parameters jointly</w:t>
            </w:r>
          </w:p>
        </w:tc>
      </w:tr>
    </w:tbl>
    <w:p>
      <w:pPr>
        <w:spacing w:after="40"/>
      </w:pPr>
    </w:p>
    <w:p>
      <w:pPr>
        <w:pStyle w:val="Heading1"/>
      </w:pPr>
      <w:r>
        <w:t>13. Complete Hyperparameter Reference</w:t>
      </w:r>
    </w:p>
    <w:p>
      <w:r>
        <w:rPr>
          <w:b w:val="0"/>
          <w:i/>
        </w:rPr>
        <w:t>Source: src/config/config.py</w:t>
      </w:r>
    </w:p>
    <w:tbl>
      <w:tblPr>
        <w:tblStyle w:val="TableGrid"/>
        <w:tblW w:type="auto" w:w="0"/>
        <w:jc w:val="left"/>
        <w:tblLook w:firstColumn="1" w:firstRow="1" w:lastColumn="0" w:lastRow="0" w:noHBand="0" w:noVBand="1" w:val="04A0"/>
      </w:tblPr>
      <w:tblGrid>
        <w:gridCol w:w="3264"/>
        <w:gridCol w:w="3264"/>
        <w:gridCol w:w="3264"/>
      </w:tblGrid>
      <w:tr>
        <w:tc>
          <w:tcPr>
            <w:tcW w:type="dxa" w:w="1584"/>
            <w:shd w:val="clear" w:color="auto" w:fill="1F3B57"/>
          </w:tcPr>
          <w:p>
            <w:pPr>
              <w:spacing w:after="20" w:before="20"/>
            </w:pPr>
            <w:r/>
            <w:r>
              <w:rPr>
                <w:b/>
                <w:color w:val="FFFFFF"/>
                <w:sz w:val="17"/>
              </w:rPr>
              <w:t>Group</w:t>
            </w:r>
          </w:p>
        </w:tc>
        <w:tc>
          <w:tcPr>
            <w:tcW w:type="dxa" w:w="4608"/>
            <w:shd w:val="clear" w:color="auto" w:fill="1F3B57"/>
          </w:tcPr>
          <w:p>
            <w:pPr>
              <w:spacing w:after="20" w:before="20"/>
            </w:pPr>
            <w:r/>
            <w:r>
              <w:rPr>
                <w:b/>
                <w:color w:val="FFFFFF"/>
                <w:sz w:val="17"/>
              </w:rPr>
              <w:t>Parameter</w:t>
            </w:r>
          </w:p>
        </w:tc>
        <w:tc>
          <w:tcPr>
            <w:tcW w:type="dxa" w:w="4104"/>
            <w:shd w:val="clear" w:color="auto" w:fill="1F3B57"/>
          </w:tcPr>
          <w:p>
            <w:pPr>
              <w:spacing w:after="20" w:before="20"/>
            </w:pPr>
            <w:r/>
            <w:r>
              <w:rPr>
                <w:b/>
                <w:color w:val="FFFFFF"/>
                <w:sz w:val="17"/>
              </w:rPr>
              <w:t>Value</w:t>
            </w:r>
          </w:p>
        </w:tc>
      </w:tr>
      <w:tr>
        <w:tc>
          <w:tcPr>
            <w:tcW w:type="dxa" w:w="1584"/>
          </w:tcPr>
          <w:p>
            <w:pPr>
              <w:spacing w:after="20" w:before="20"/>
            </w:pPr>
            <w:r>
              <w:rPr>
                <w:sz w:val="17"/>
              </w:rPr>
            </w:r>
            <w:r>
              <w:rPr>
                <w:sz w:val="17"/>
              </w:rPr>
              <w:t>Data</w:t>
            </w:r>
          </w:p>
        </w:tc>
        <w:tc>
          <w:tcPr>
            <w:tcW w:type="dxa" w:w="4608"/>
          </w:tcPr>
          <w:p>
            <w:pPr>
              <w:spacing w:after="20" w:before="20"/>
            </w:pPr>
            <w:r>
              <w:rPr>
                <w:sz w:val="17"/>
              </w:rPr>
            </w:r>
            <w:r>
              <w:rPr>
                <w:sz w:val="17"/>
              </w:rPr>
              <w:t>window_size</w:t>
            </w:r>
          </w:p>
        </w:tc>
        <w:tc>
          <w:tcPr>
            <w:tcW w:type="dxa" w:w="4104"/>
          </w:tcPr>
          <w:p>
            <w:pPr>
              <w:spacing w:after="20" w:before="20"/>
            </w:pPr>
            <w:r>
              <w:rPr>
                <w:sz w:val="17"/>
              </w:rPr>
            </w:r>
            <w:r>
              <w:rPr>
                <w:sz w:val="17"/>
              </w:rPr>
              <w:t>30</w:t>
            </w:r>
          </w:p>
        </w:tc>
      </w:tr>
      <w:tr>
        <w:tc>
          <w:tcPr>
            <w:tcW w:type="dxa" w:w="1584"/>
            <w:shd w:val="clear" w:color="auto" w:fill="F2F5F8"/>
          </w:tcPr>
          <w:p>
            <w:pPr>
              <w:spacing w:after="20" w:before="20"/>
            </w:pPr>
            <w:r>
              <w:rPr>
                <w:sz w:val="17"/>
              </w:rPr>
            </w:r>
            <w:r>
              <w:rPr>
                <w:sz w:val="17"/>
              </w:rPr>
              <w:t>Data</w:t>
            </w:r>
          </w:p>
        </w:tc>
        <w:tc>
          <w:tcPr>
            <w:tcW w:type="dxa" w:w="4608"/>
            <w:shd w:val="clear" w:color="auto" w:fill="F2F5F8"/>
          </w:tcPr>
          <w:p>
            <w:pPr>
              <w:spacing w:after="20" w:before="20"/>
            </w:pPr>
            <w:r>
              <w:rPr>
                <w:sz w:val="17"/>
              </w:rPr>
            </w:r>
            <w:r>
              <w:rPr>
                <w:sz w:val="17"/>
              </w:rPr>
              <w:t>train / val / test ratio</w:t>
            </w:r>
          </w:p>
        </w:tc>
        <w:tc>
          <w:tcPr>
            <w:tcW w:type="dxa" w:w="4104"/>
            <w:shd w:val="clear" w:color="auto" w:fill="F2F5F8"/>
          </w:tcPr>
          <w:p>
            <w:pPr>
              <w:spacing w:after="20" w:before="20"/>
            </w:pPr>
            <w:r>
              <w:rPr>
                <w:sz w:val="17"/>
              </w:rPr>
            </w:r>
            <w:r>
              <w:rPr>
                <w:sz w:val="17"/>
              </w:rPr>
              <w:t>0.70 / 0.15 / 0.15</w:t>
            </w:r>
          </w:p>
        </w:tc>
      </w:tr>
      <w:tr>
        <w:tc>
          <w:tcPr>
            <w:tcW w:type="dxa" w:w="1584"/>
          </w:tcPr>
          <w:p>
            <w:pPr>
              <w:spacing w:after="20" w:before="20"/>
            </w:pPr>
            <w:r>
              <w:rPr>
                <w:sz w:val="17"/>
              </w:rPr>
            </w:r>
            <w:r>
              <w:rPr>
                <w:sz w:val="17"/>
              </w:rPr>
              <w:t>Data</w:t>
            </w:r>
          </w:p>
        </w:tc>
        <w:tc>
          <w:tcPr>
            <w:tcW w:type="dxa" w:w="4608"/>
          </w:tcPr>
          <w:p>
            <w:pPr>
              <w:spacing w:after="20" w:before="20"/>
            </w:pPr>
            <w:r>
              <w:rPr>
                <w:sz w:val="17"/>
              </w:rPr>
            </w:r>
            <w:r>
              <w:rPr>
                <w:sz w:val="17"/>
              </w:rPr>
              <w:t>normalize_method</w:t>
            </w:r>
          </w:p>
        </w:tc>
        <w:tc>
          <w:tcPr>
            <w:tcW w:type="dxa" w:w="4104"/>
          </w:tcPr>
          <w:p>
            <w:pPr>
              <w:spacing w:after="20" w:before="20"/>
            </w:pPr>
            <w:r>
              <w:rPr>
                <w:sz w:val="17"/>
              </w:rPr>
            </w:r>
            <w:r>
              <w:rPr>
                <w:sz w:val="17"/>
              </w:rPr>
              <w:t>zscore</w:t>
            </w:r>
          </w:p>
        </w:tc>
      </w:tr>
      <w:tr>
        <w:tc>
          <w:tcPr>
            <w:tcW w:type="dxa" w:w="1584"/>
            <w:shd w:val="clear" w:color="auto" w:fill="F2F5F8"/>
          </w:tcPr>
          <w:p>
            <w:pPr>
              <w:spacing w:after="20" w:before="20"/>
            </w:pPr>
            <w:r>
              <w:rPr>
                <w:sz w:val="17"/>
              </w:rPr>
            </w:r>
            <w:r>
              <w:rPr>
                <w:sz w:val="17"/>
              </w:rPr>
              <w:t>Data</w:t>
            </w:r>
          </w:p>
        </w:tc>
        <w:tc>
          <w:tcPr>
            <w:tcW w:type="dxa" w:w="4608"/>
            <w:shd w:val="clear" w:color="auto" w:fill="F2F5F8"/>
          </w:tcPr>
          <w:p>
            <w:pPr>
              <w:spacing w:after="20" w:before="20"/>
            </w:pPr>
            <w:r>
              <w:rPr>
                <w:sz w:val="17"/>
              </w:rPr>
            </w:r>
            <w:r>
              <w:rPr>
                <w:sz w:val="17"/>
              </w:rPr>
              <w:t>n_assets (effective)</w:t>
            </w:r>
          </w:p>
        </w:tc>
        <w:tc>
          <w:tcPr>
            <w:tcW w:type="dxa" w:w="4104"/>
            <w:shd w:val="clear" w:color="auto" w:fill="F2F5F8"/>
          </w:tcPr>
          <w:p>
            <w:pPr>
              <w:spacing w:after="20" w:before="20"/>
            </w:pPr>
            <w:r>
              <w:rPr>
                <w:sz w:val="17"/>
              </w:rPr>
            </w:r>
            <w:r>
              <w:rPr>
                <w:sz w:val="17"/>
              </w:rPr>
              <w:t>10</w:t>
            </w:r>
          </w:p>
        </w:tc>
      </w:tr>
      <w:tr>
        <w:tc>
          <w:tcPr>
            <w:tcW w:type="dxa" w:w="1584"/>
          </w:tcPr>
          <w:p>
            <w:pPr>
              <w:spacing w:after="20" w:before="20"/>
            </w:pPr>
            <w:r>
              <w:rPr>
                <w:sz w:val="17"/>
              </w:rPr>
            </w:r>
            <w:r>
              <w:rPr>
                <w:sz w:val="17"/>
              </w:rPr>
              <w:t>Data</w:t>
            </w:r>
          </w:p>
        </w:tc>
        <w:tc>
          <w:tcPr>
            <w:tcW w:type="dxa" w:w="4608"/>
          </w:tcPr>
          <w:p>
            <w:pPr>
              <w:spacing w:after="20" w:before="20"/>
            </w:pPr>
            <w:r>
              <w:rPr>
                <w:sz w:val="17"/>
              </w:rPr>
            </w:r>
            <w:r>
              <w:rPr>
                <w:sz w:val="17"/>
              </w:rPr>
              <w:t>n_macro_variables</w:t>
            </w:r>
          </w:p>
        </w:tc>
        <w:tc>
          <w:tcPr>
            <w:tcW w:type="dxa" w:w="4104"/>
          </w:tcPr>
          <w:p>
            <w:pPr>
              <w:spacing w:after="20" w:before="20"/>
            </w:pPr>
            <w:r>
              <w:rPr>
                <w:sz w:val="17"/>
              </w:rPr>
            </w:r>
            <w:r>
              <w:rPr>
                <w:sz w:val="17"/>
              </w:rPr>
              <w:t>0 (disabled this phase)</w:t>
            </w:r>
          </w:p>
        </w:tc>
      </w:tr>
      <w:tr>
        <w:tc>
          <w:tcPr>
            <w:tcW w:type="dxa" w:w="1584"/>
            <w:shd w:val="clear" w:color="auto" w:fill="F2F5F8"/>
          </w:tcPr>
          <w:p>
            <w:pPr>
              <w:spacing w:after="20" w:before="20"/>
            </w:pPr>
            <w:r>
              <w:rPr>
                <w:sz w:val="17"/>
              </w:rPr>
            </w:r>
            <w:r>
              <w:rPr>
                <w:sz w:val="17"/>
              </w:rPr>
              <w:t>Encoder</w:t>
            </w:r>
          </w:p>
        </w:tc>
        <w:tc>
          <w:tcPr>
            <w:tcW w:type="dxa" w:w="4608"/>
            <w:shd w:val="clear" w:color="auto" w:fill="F2F5F8"/>
          </w:tcPr>
          <w:p>
            <w:pPr>
              <w:spacing w:after="20" w:before="20"/>
            </w:pPr>
            <w:r>
              <w:rPr>
                <w:sz w:val="17"/>
              </w:rPr>
            </w:r>
            <w:r>
              <w:rPr>
                <w:sz w:val="17"/>
              </w:rPr>
              <w:t>vsn_hidden_dim</w:t>
            </w:r>
          </w:p>
        </w:tc>
        <w:tc>
          <w:tcPr>
            <w:tcW w:type="dxa" w:w="4104"/>
            <w:shd w:val="clear" w:color="auto" w:fill="F2F5F8"/>
          </w:tcPr>
          <w:p>
            <w:pPr>
              <w:spacing w:after="20" w:before="20"/>
            </w:pPr>
            <w:r>
              <w:rPr>
                <w:sz w:val="17"/>
              </w:rPr>
            </w:r>
            <w:r>
              <w:rPr>
                <w:sz w:val="17"/>
              </w:rPr>
              <w:t>64</w:t>
            </w:r>
          </w:p>
        </w:tc>
      </w:tr>
      <w:tr>
        <w:tc>
          <w:tcPr>
            <w:tcW w:type="dxa" w:w="1584"/>
          </w:tcPr>
          <w:p>
            <w:pPr>
              <w:spacing w:after="20" w:before="20"/>
            </w:pPr>
            <w:r>
              <w:rPr>
                <w:sz w:val="17"/>
              </w:rPr>
            </w:r>
            <w:r>
              <w:rPr>
                <w:sz w:val="17"/>
              </w:rPr>
              <w:t>Encoder</w:t>
            </w:r>
          </w:p>
        </w:tc>
        <w:tc>
          <w:tcPr>
            <w:tcW w:type="dxa" w:w="4608"/>
          </w:tcPr>
          <w:p>
            <w:pPr>
              <w:spacing w:after="20" w:before="20"/>
            </w:pPr>
            <w:r>
              <w:rPr>
                <w:sz w:val="17"/>
              </w:rPr>
            </w:r>
            <w:r>
              <w:rPr>
                <w:sz w:val="17"/>
              </w:rPr>
              <w:t>lstm_hidden_dim / layers / dropout</w:t>
            </w:r>
          </w:p>
        </w:tc>
        <w:tc>
          <w:tcPr>
            <w:tcW w:type="dxa" w:w="4104"/>
          </w:tcPr>
          <w:p>
            <w:pPr>
              <w:spacing w:after="20" w:before="20"/>
            </w:pPr>
            <w:r>
              <w:rPr>
                <w:sz w:val="17"/>
              </w:rPr>
            </w:r>
            <w:r>
              <w:rPr>
                <w:sz w:val="17"/>
              </w:rPr>
              <w:t>128 / 2 / 0.1</w:t>
            </w:r>
          </w:p>
        </w:tc>
      </w:tr>
      <w:tr>
        <w:tc>
          <w:tcPr>
            <w:tcW w:type="dxa" w:w="1584"/>
            <w:shd w:val="clear" w:color="auto" w:fill="F2F5F8"/>
          </w:tcPr>
          <w:p>
            <w:pPr>
              <w:spacing w:after="20" w:before="20"/>
            </w:pPr>
            <w:r>
              <w:rPr>
                <w:sz w:val="17"/>
              </w:rPr>
            </w:r>
            <w:r>
              <w:rPr>
                <w:sz w:val="17"/>
              </w:rPr>
              <w:t>Encoder</w:t>
            </w:r>
          </w:p>
        </w:tc>
        <w:tc>
          <w:tcPr>
            <w:tcW w:type="dxa" w:w="4608"/>
            <w:shd w:val="clear" w:color="auto" w:fill="F2F5F8"/>
          </w:tcPr>
          <w:p>
            <w:pPr>
              <w:spacing w:after="20" w:before="20"/>
            </w:pPr>
            <w:r>
              <w:rPr>
                <w:sz w:val="17"/>
              </w:rPr>
            </w:r>
            <w:r>
              <w:rPr>
                <w:sz w:val="17"/>
              </w:rPr>
              <w:t>mha_num_heads / dim / dropout</w:t>
            </w:r>
          </w:p>
        </w:tc>
        <w:tc>
          <w:tcPr>
            <w:tcW w:type="dxa" w:w="4104"/>
            <w:shd w:val="clear" w:color="auto" w:fill="F2F5F8"/>
          </w:tcPr>
          <w:p>
            <w:pPr>
              <w:spacing w:after="20" w:before="20"/>
            </w:pPr>
            <w:r>
              <w:rPr>
                <w:sz w:val="17"/>
              </w:rPr>
            </w:r>
            <w:r>
              <w:rPr>
                <w:sz w:val="17"/>
              </w:rPr>
              <w:t>4 / 128 / 0.1</w:t>
            </w:r>
          </w:p>
        </w:tc>
      </w:tr>
      <w:tr>
        <w:tc>
          <w:tcPr>
            <w:tcW w:type="dxa" w:w="1584"/>
          </w:tcPr>
          <w:p>
            <w:pPr>
              <w:spacing w:after="20" w:before="20"/>
            </w:pPr>
            <w:r>
              <w:rPr>
                <w:sz w:val="17"/>
              </w:rPr>
            </w:r>
            <w:r>
              <w:rPr>
                <w:sz w:val="17"/>
              </w:rPr>
              <w:t>Encoder</w:t>
            </w:r>
          </w:p>
        </w:tc>
        <w:tc>
          <w:tcPr>
            <w:tcW w:type="dxa" w:w="4608"/>
          </w:tcPr>
          <w:p>
            <w:pPr>
              <w:spacing w:after="20" w:before="20"/>
            </w:pPr>
            <w:r>
              <w:rPr>
                <w:sz w:val="17"/>
              </w:rPr>
            </w:r>
            <w:r>
              <w:rPr>
                <w:sz w:val="17"/>
              </w:rPr>
              <w:t>gnn_hidden_dim / heads / layers / dropout</w:t>
            </w:r>
          </w:p>
        </w:tc>
        <w:tc>
          <w:tcPr>
            <w:tcW w:type="dxa" w:w="4104"/>
          </w:tcPr>
          <w:p>
            <w:pPr>
              <w:spacing w:after="20" w:before="20"/>
            </w:pPr>
            <w:r>
              <w:rPr>
                <w:sz w:val="17"/>
              </w:rPr>
            </w:r>
            <w:r>
              <w:rPr>
                <w:sz w:val="17"/>
              </w:rPr>
              <w:t>64 / 2 / 2 / 0.1</w:t>
            </w:r>
          </w:p>
        </w:tc>
      </w:tr>
      <w:tr>
        <w:tc>
          <w:tcPr>
            <w:tcW w:type="dxa" w:w="1584"/>
            <w:shd w:val="clear" w:color="auto" w:fill="F2F5F8"/>
          </w:tcPr>
          <w:p>
            <w:pPr>
              <w:spacing w:after="20" w:before="20"/>
            </w:pPr>
            <w:r>
              <w:rPr>
                <w:sz w:val="17"/>
              </w:rPr>
            </w:r>
            <w:r>
              <w:rPr>
                <w:sz w:val="17"/>
              </w:rPr>
              <w:t>Encoder</w:t>
            </w:r>
          </w:p>
        </w:tc>
        <w:tc>
          <w:tcPr>
            <w:tcW w:type="dxa" w:w="4608"/>
            <w:shd w:val="clear" w:color="auto" w:fill="F2F5F8"/>
          </w:tcPr>
          <w:p>
            <w:pPr>
              <w:spacing w:after="20" w:before="20"/>
            </w:pPr>
            <w:r>
              <w:rPr>
                <w:sz w:val="17"/>
              </w:rPr>
            </w:r>
            <w:r>
              <w:rPr>
                <w:sz w:val="17"/>
              </w:rPr>
              <w:t>n_regimes</w:t>
            </w:r>
          </w:p>
        </w:tc>
        <w:tc>
          <w:tcPr>
            <w:tcW w:type="dxa" w:w="4104"/>
            <w:shd w:val="clear" w:color="auto" w:fill="F2F5F8"/>
          </w:tcPr>
          <w:p>
            <w:pPr>
              <w:spacing w:after="20" w:before="20"/>
            </w:pPr>
            <w:r>
              <w:rPr>
                <w:sz w:val="17"/>
              </w:rPr>
            </w:r>
            <w:r>
              <w:rPr>
                <w:sz w:val="17"/>
              </w:rPr>
              <w:t>3</w:t>
            </w:r>
          </w:p>
        </w:tc>
      </w:tr>
      <w:tr>
        <w:tc>
          <w:tcPr>
            <w:tcW w:type="dxa" w:w="1584"/>
          </w:tcPr>
          <w:p>
            <w:pPr>
              <w:spacing w:after="20" w:before="20"/>
            </w:pPr>
            <w:r>
              <w:rPr>
                <w:sz w:val="17"/>
              </w:rPr>
            </w:r>
            <w:r>
              <w:rPr>
                <w:sz w:val="17"/>
              </w:rPr>
              <w:t>Encoder</w:t>
            </w:r>
          </w:p>
        </w:tc>
        <w:tc>
          <w:tcPr>
            <w:tcW w:type="dxa" w:w="4608"/>
          </w:tcPr>
          <w:p>
            <w:pPr>
              <w:spacing w:after="20" w:before="20"/>
            </w:pPr>
            <w:r>
              <w:rPr>
                <w:sz w:val="17"/>
              </w:rPr>
            </w:r>
            <w:r>
              <w:rPr>
                <w:sz w:val="17"/>
              </w:rPr>
              <w:t>latent_state_dim</w:t>
            </w:r>
          </w:p>
        </w:tc>
        <w:tc>
          <w:tcPr>
            <w:tcW w:type="dxa" w:w="4104"/>
          </w:tcPr>
          <w:p>
            <w:pPr>
              <w:spacing w:after="20" w:before="20"/>
            </w:pPr>
            <w:r>
              <w:rPr>
                <w:sz w:val="17"/>
              </w:rPr>
            </w:r>
            <w:r>
              <w:rPr>
                <w:sz w:val="17"/>
              </w:rPr>
              <w:t>128</w:t>
            </w:r>
          </w:p>
        </w:tc>
      </w:tr>
      <w:tr>
        <w:tc>
          <w:tcPr>
            <w:tcW w:type="dxa" w:w="1584"/>
            <w:shd w:val="clear" w:color="auto" w:fill="F2F5F8"/>
          </w:tcPr>
          <w:p>
            <w:pPr>
              <w:spacing w:after="20" w:before="20"/>
            </w:pPr>
            <w:r>
              <w:rPr>
                <w:sz w:val="17"/>
              </w:rPr>
            </w:r>
            <w:r>
              <w:rPr>
                <w:sz w:val="17"/>
              </w:rPr>
              <w:t>Actor</w:t>
            </w:r>
          </w:p>
        </w:tc>
        <w:tc>
          <w:tcPr>
            <w:tcW w:type="dxa" w:w="4608"/>
            <w:shd w:val="clear" w:color="auto" w:fill="F2F5F8"/>
          </w:tcPr>
          <w:p>
            <w:pPr>
              <w:spacing w:after="20" w:before="20"/>
            </w:pPr>
            <w:r>
              <w:rPr>
                <w:sz w:val="17"/>
              </w:rPr>
            </w:r>
            <w:r>
              <w:rPr>
                <w:sz w:val="17"/>
              </w:rPr>
              <w:t>hidden_dims / activation / output</w:t>
            </w:r>
          </w:p>
        </w:tc>
        <w:tc>
          <w:tcPr>
            <w:tcW w:type="dxa" w:w="4104"/>
            <w:shd w:val="clear" w:color="auto" w:fill="F2F5F8"/>
          </w:tcPr>
          <w:p>
            <w:pPr>
              <w:spacing w:after="20" w:before="20"/>
            </w:pPr>
            <w:r>
              <w:rPr>
                <w:sz w:val="17"/>
              </w:rPr>
            </w:r>
            <w:r>
              <w:rPr>
                <w:sz w:val="17"/>
              </w:rPr>
              <w:t>[256, 128] / ReLU / softmax (long-only)</w:t>
            </w:r>
          </w:p>
        </w:tc>
      </w:tr>
      <w:tr>
        <w:tc>
          <w:tcPr>
            <w:tcW w:type="dxa" w:w="1584"/>
          </w:tcPr>
          <w:p>
            <w:pPr>
              <w:spacing w:after="20" w:before="20"/>
            </w:pPr>
            <w:r>
              <w:rPr>
                <w:sz w:val="17"/>
              </w:rPr>
            </w:r>
            <w:r>
              <w:rPr>
                <w:sz w:val="17"/>
              </w:rPr>
              <w:t>Actor</w:t>
            </w:r>
          </w:p>
        </w:tc>
        <w:tc>
          <w:tcPr>
            <w:tcW w:type="dxa" w:w="4608"/>
          </w:tcPr>
          <w:p>
            <w:pPr>
              <w:spacing w:after="20" w:before="20"/>
            </w:pPr>
            <w:r>
              <w:rPr>
                <w:sz w:val="17"/>
              </w:rPr>
            </w:r>
            <w:r>
              <w:rPr>
                <w:sz w:val="17"/>
              </w:rPr>
              <w:t>dropout / logit_scale</w:t>
            </w:r>
          </w:p>
        </w:tc>
        <w:tc>
          <w:tcPr>
            <w:tcW w:type="dxa" w:w="4104"/>
          </w:tcPr>
          <w:p>
            <w:pPr>
              <w:spacing w:after="20" w:before="20"/>
            </w:pPr>
            <w:r>
              <w:rPr>
                <w:sz w:val="17"/>
              </w:rPr>
            </w:r>
            <w:r>
              <w:rPr>
                <w:sz w:val="17"/>
              </w:rPr>
              <w:t>0.1 / 5.0</w:t>
            </w:r>
          </w:p>
        </w:tc>
      </w:tr>
      <w:tr>
        <w:tc>
          <w:tcPr>
            <w:tcW w:type="dxa" w:w="1584"/>
            <w:shd w:val="clear" w:color="auto" w:fill="F2F5F8"/>
          </w:tcPr>
          <w:p>
            <w:pPr>
              <w:spacing w:after="20" w:before="20"/>
            </w:pPr>
            <w:r>
              <w:rPr>
                <w:sz w:val="17"/>
              </w:rPr>
            </w:r>
            <w:r>
              <w:rPr>
                <w:sz w:val="17"/>
              </w:rPr>
              <w:t>Critic</w:t>
            </w:r>
          </w:p>
        </w:tc>
        <w:tc>
          <w:tcPr>
            <w:tcW w:type="dxa" w:w="4608"/>
            <w:shd w:val="clear" w:color="auto" w:fill="F2F5F8"/>
          </w:tcPr>
          <w:p>
            <w:pPr>
              <w:spacing w:after="20" w:before="20"/>
            </w:pPr>
            <w:r>
              <w:rPr>
                <w:sz w:val="17"/>
              </w:rPr>
            </w:r>
            <w:r>
              <w:rPr>
                <w:sz w:val="17"/>
              </w:rPr>
              <w:t>hidden_dims / dropout</w:t>
            </w:r>
          </w:p>
        </w:tc>
        <w:tc>
          <w:tcPr>
            <w:tcW w:type="dxa" w:w="4104"/>
            <w:shd w:val="clear" w:color="auto" w:fill="F2F5F8"/>
          </w:tcPr>
          <w:p>
            <w:pPr>
              <w:spacing w:after="20" w:before="20"/>
            </w:pPr>
            <w:r>
              <w:rPr>
                <w:sz w:val="17"/>
              </w:rPr>
            </w:r>
            <w:r>
              <w:rPr>
                <w:sz w:val="17"/>
              </w:rPr>
              <w:t>[256, 128] / 0.1</w:t>
            </w:r>
          </w:p>
        </w:tc>
      </w:tr>
      <w:tr>
        <w:tc>
          <w:tcPr>
            <w:tcW w:type="dxa" w:w="1584"/>
          </w:tcPr>
          <w:p>
            <w:pPr>
              <w:spacing w:after="20" w:before="20"/>
            </w:pPr>
            <w:r>
              <w:rPr>
                <w:sz w:val="17"/>
              </w:rPr>
            </w:r>
            <w:r>
              <w:rPr>
                <w:sz w:val="17"/>
              </w:rPr>
              <w:t>PPO</w:t>
            </w:r>
          </w:p>
        </w:tc>
        <w:tc>
          <w:tcPr>
            <w:tcW w:type="dxa" w:w="4608"/>
          </w:tcPr>
          <w:p>
            <w:pPr>
              <w:spacing w:after="20" w:before="20"/>
            </w:pPr>
            <w:r>
              <w:rPr>
                <w:sz w:val="17"/>
              </w:rPr>
            </w:r>
            <w:r>
              <w:rPr>
                <w:sz w:val="17"/>
              </w:rPr>
              <w:t>clip_epsilon</w:t>
            </w:r>
          </w:p>
        </w:tc>
        <w:tc>
          <w:tcPr>
            <w:tcW w:type="dxa" w:w="4104"/>
          </w:tcPr>
          <w:p>
            <w:pPr>
              <w:spacing w:after="20" w:before="20"/>
            </w:pPr>
            <w:r>
              <w:rPr>
                <w:sz w:val="17"/>
              </w:rPr>
            </w:r>
            <w:r>
              <w:rPr>
                <w:sz w:val="17"/>
              </w:rPr>
              <w:t>0.2</w:t>
            </w:r>
          </w:p>
        </w:tc>
      </w:tr>
      <w:tr>
        <w:tc>
          <w:tcPr>
            <w:tcW w:type="dxa" w:w="1584"/>
            <w:shd w:val="clear" w:color="auto" w:fill="F2F5F8"/>
          </w:tcPr>
          <w:p>
            <w:pPr>
              <w:spacing w:after="20" w:before="20"/>
            </w:pPr>
            <w:r>
              <w:rPr>
                <w:sz w:val="17"/>
              </w:rPr>
            </w:r>
            <w:r>
              <w:rPr>
                <w:sz w:val="17"/>
              </w:rPr>
              <w:t>PPO</w:t>
            </w:r>
          </w:p>
        </w:tc>
        <w:tc>
          <w:tcPr>
            <w:tcW w:type="dxa" w:w="4608"/>
            <w:shd w:val="clear" w:color="auto" w:fill="F2F5F8"/>
          </w:tcPr>
          <w:p>
            <w:pPr>
              <w:spacing w:after="20" w:before="20"/>
            </w:pPr>
            <w:r>
              <w:rPr>
                <w:sz w:val="17"/>
              </w:rPr>
            </w:r>
            <w:r>
              <w:rPr>
                <w:sz w:val="17"/>
              </w:rPr>
              <w:t>gamma / gae_lambda</w:t>
            </w:r>
          </w:p>
        </w:tc>
        <w:tc>
          <w:tcPr>
            <w:tcW w:type="dxa" w:w="4104"/>
            <w:shd w:val="clear" w:color="auto" w:fill="F2F5F8"/>
          </w:tcPr>
          <w:p>
            <w:pPr>
              <w:spacing w:after="20" w:before="20"/>
            </w:pPr>
            <w:r>
              <w:rPr>
                <w:sz w:val="17"/>
              </w:rPr>
            </w:r>
            <w:r>
              <w:rPr>
                <w:sz w:val="17"/>
              </w:rPr>
              <w:t>0.99 / 0.95</w:t>
            </w:r>
          </w:p>
        </w:tc>
      </w:tr>
      <w:tr>
        <w:tc>
          <w:tcPr>
            <w:tcW w:type="dxa" w:w="1584"/>
          </w:tcPr>
          <w:p>
            <w:pPr>
              <w:spacing w:after="20" w:before="20"/>
            </w:pPr>
            <w:r>
              <w:rPr>
                <w:sz w:val="17"/>
              </w:rPr>
            </w:r>
            <w:r>
              <w:rPr>
                <w:sz w:val="17"/>
              </w:rPr>
              <w:t>PPO</w:t>
            </w:r>
          </w:p>
        </w:tc>
        <w:tc>
          <w:tcPr>
            <w:tcW w:type="dxa" w:w="4608"/>
          </w:tcPr>
          <w:p>
            <w:pPr>
              <w:spacing w:after="20" w:before="20"/>
            </w:pPr>
            <w:r>
              <w:rPr>
                <w:sz w:val="17"/>
              </w:rPr>
            </w:r>
            <w:r>
              <w:rPr>
                <w:sz w:val="17"/>
              </w:rPr>
              <w:t>entropy_coeff / value_loss_coeff</w:t>
            </w:r>
          </w:p>
        </w:tc>
        <w:tc>
          <w:tcPr>
            <w:tcW w:type="dxa" w:w="4104"/>
          </w:tcPr>
          <w:p>
            <w:pPr>
              <w:spacing w:after="20" w:before="20"/>
            </w:pPr>
            <w:r>
              <w:rPr>
                <w:sz w:val="17"/>
              </w:rPr>
            </w:r>
            <w:r>
              <w:rPr>
                <w:sz w:val="17"/>
              </w:rPr>
              <w:t>0.01 / 0.5</w:t>
            </w:r>
          </w:p>
        </w:tc>
      </w:tr>
      <w:tr>
        <w:tc>
          <w:tcPr>
            <w:tcW w:type="dxa" w:w="1584"/>
            <w:shd w:val="clear" w:color="auto" w:fill="F2F5F8"/>
          </w:tcPr>
          <w:p>
            <w:pPr>
              <w:spacing w:after="20" w:before="20"/>
            </w:pPr>
            <w:r>
              <w:rPr>
                <w:sz w:val="17"/>
              </w:rPr>
            </w:r>
            <w:r>
              <w:rPr>
                <w:sz w:val="17"/>
              </w:rPr>
              <w:t>PPO</w:t>
            </w:r>
          </w:p>
        </w:tc>
        <w:tc>
          <w:tcPr>
            <w:tcW w:type="dxa" w:w="4608"/>
            <w:shd w:val="clear" w:color="auto" w:fill="F2F5F8"/>
          </w:tcPr>
          <w:p>
            <w:pPr>
              <w:spacing w:after="20" w:before="20"/>
            </w:pPr>
            <w:r>
              <w:rPr>
                <w:sz w:val="17"/>
              </w:rPr>
            </w:r>
            <w:r>
              <w:rPr>
                <w:sz w:val="17"/>
              </w:rPr>
              <w:t>learning_rate / max_grad_norm</w:t>
            </w:r>
          </w:p>
        </w:tc>
        <w:tc>
          <w:tcPr>
            <w:tcW w:type="dxa" w:w="4104"/>
            <w:shd w:val="clear" w:color="auto" w:fill="F2F5F8"/>
          </w:tcPr>
          <w:p>
            <w:pPr>
              <w:spacing w:after="20" w:before="20"/>
            </w:pPr>
            <w:r>
              <w:rPr>
                <w:sz w:val="17"/>
              </w:rPr>
            </w:r>
            <w:r>
              <w:rPr>
                <w:sz w:val="17"/>
              </w:rPr>
              <w:t>3e-4 / 0.5</w:t>
            </w:r>
          </w:p>
        </w:tc>
      </w:tr>
      <w:tr>
        <w:tc>
          <w:tcPr>
            <w:tcW w:type="dxa" w:w="1584"/>
          </w:tcPr>
          <w:p>
            <w:pPr>
              <w:spacing w:after="20" w:before="20"/>
            </w:pPr>
            <w:r>
              <w:rPr>
                <w:sz w:val="17"/>
              </w:rPr>
            </w:r>
            <w:r>
              <w:rPr>
                <w:sz w:val="17"/>
              </w:rPr>
              <w:t>PPO</w:t>
            </w:r>
          </w:p>
        </w:tc>
        <w:tc>
          <w:tcPr>
            <w:tcW w:type="dxa" w:w="4608"/>
          </w:tcPr>
          <w:p>
            <w:pPr>
              <w:spacing w:after="20" w:before="20"/>
            </w:pPr>
            <w:r>
              <w:rPr>
                <w:sz w:val="17"/>
              </w:rPr>
            </w:r>
            <w:r>
              <w:rPr>
                <w:sz w:val="17"/>
              </w:rPr>
              <w:t>batch_size / n_epochs / rollout_length</w:t>
            </w:r>
          </w:p>
        </w:tc>
        <w:tc>
          <w:tcPr>
            <w:tcW w:type="dxa" w:w="4104"/>
          </w:tcPr>
          <w:p>
            <w:pPr>
              <w:spacing w:after="20" w:before="20"/>
            </w:pPr>
            <w:r>
              <w:rPr>
                <w:sz w:val="17"/>
              </w:rPr>
            </w:r>
            <w:r>
              <w:rPr>
                <w:sz w:val="17"/>
              </w:rPr>
              <w:t>64 / 10 / 256</w:t>
            </w:r>
          </w:p>
        </w:tc>
      </w:tr>
      <w:tr>
        <w:tc>
          <w:tcPr>
            <w:tcW w:type="dxa" w:w="1584"/>
            <w:shd w:val="clear" w:color="auto" w:fill="F2F5F8"/>
          </w:tcPr>
          <w:p>
            <w:pPr>
              <w:spacing w:after="20" w:before="20"/>
            </w:pPr>
            <w:r>
              <w:rPr>
                <w:sz w:val="17"/>
              </w:rPr>
            </w:r>
            <w:r>
              <w:rPr>
                <w:sz w:val="17"/>
              </w:rPr>
              <w:t>PPO</w:t>
            </w:r>
          </w:p>
        </w:tc>
        <w:tc>
          <w:tcPr>
            <w:tcW w:type="dxa" w:w="4608"/>
            <w:shd w:val="clear" w:color="auto" w:fill="F2F5F8"/>
          </w:tcPr>
          <w:p>
            <w:pPr>
              <w:spacing w:after="20" w:before="20"/>
            </w:pPr>
            <w:r>
              <w:rPr>
                <w:sz w:val="17"/>
              </w:rPr>
            </w:r>
            <w:r>
              <w:rPr>
                <w:sz w:val="17"/>
              </w:rPr>
              <w:t>early_stopping_patience</w:t>
            </w:r>
          </w:p>
        </w:tc>
        <w:tc>
          <w:tcPr>
            <w:tcW w:type="dxa" w:w="4104"/>
            <w:shd w:val="clear" w:color="auto" w:fill="F2F5F8"/>
          </w:tcPr>
          <w:p>
            <w:pPr>
              <w:spacing w:after="20" w:before="20"/>
            </w:pPr>
            <w:r>
              <w:rPr>
                <w:sz w:val="17"/>
              </w:rPr>
            </w:r>
            <w:r>
              <w:rPr>
                <w:sz w:val="17"/>
              </w:rPr>
              <w:t>20 evaluations</w:t>
            </w:r>
          </w:p>
        </w:tc>
      </w:tr>
      <w:tr>
        <w:tc>
          <w:tcPr>
            <w:tcW w:type="dxa" w:w="1584"/>
          </w:tcPr>
          <w:p>
            <w:pPr>
              <w:spacing w:after="20" w:before="20"/>
            </w:pPr>
            <w:r>
              <w:rPr>
                <w:sz w:val="17"/>
              </w:rPr>
            </w:r>
            <w:r>
              <w:rPr>
                <w:sz w:val="17"/>
              </w:rPr>
              <w:t>Reward</w:t>
            </w:r>
          </w:p>
        </w:tc>
        <w:tc>
          <w:tcPr>
            <w:tcW w:type="dxa" w:w="4608"/>
          </w:tcPr>
          <w:p>
            <w:pPr>
              <w:spacing w:after="20" w:before="20"/>
            </w:pPr>
            <w:r>
              <w:rPr>
                <w:sz w:val="17"/>
              </w:rPr>
            </w:r>
            <w:r>
              <w:rPr>
                <w:sz w:val="17"/>
              </w:rPr>
              <w:t>risk_free_rate</w:t>
            </w:r>
          </w:p>
        </w:tc>
        <w:tc>
          <w:tcPr>
            <w:tcW w:type="dxa" w:w="4104"/>
          </w:tcPr>
          <w:p>
            <w:pPr>
              <w:spacing w:after="20" w:before="20"/>
            </w:pPr>
            <w:r>
              <w:rPr>
                <w:sz w:val="17"/>
              </w:rPr>
            </w:r>
            <w:r>
              <w:rPr>
                <w:sz w:val="17"/>
              </w:rPr>
              <w:t>0.06 (6% p.a.)</w:t>
            </w:r>
          </w:p>
        </w:tc>
      </w:tr>
      <w:tr>
        <w:tc>
          <w:tcPr>
            <w:tcW w:type="dxa" w:w="1584"/>
            <w:shd w:val="clear" w:color="auto" w:fill="F2F5F8"/>
          </w:tcPr>
          <w:p>
            <w:pPr>
              <w:spacing w:after="20" w:before="20"/>
            </w:pPr>
            <w:r>
              <w:rPr>
                <w:sz w:val="17"/>
              </w:rPr>
            </w:r>
            <w:r>
              <w:rPr>
                <w:sz w:val="17"/>
              </w:rPr>
              <w:t>Reward</w:t>
            </w:r>
          </w:p>
        </w:tc>
        <w:tc>
          <w:tcPr>
            <w:tcW w:type="dxa" w:w="4608"/>
            <w:shd w:val="clear" w:color="auto" w:fill="F2F5F8"/>
          </w:tcPr>
          <w:p>
            <w:pPr>
              <w:spacing w:after="20" w:before="20"/>
            </w:pPr>
            <w:r>
              <w:rPr>
                <w:sz w:val="17"/>
              </w:rPr>
            </w:r>
            <w:r>
              <w:rPr>
                <w:sz w:val="17"/>
              </w:rPr>
              <w:t>transaction_cost_rate</w:t>
            </w:r>
          </w:p>
        </w:tc>
        <w:tc>
          <w:tcPr>
            <w:tcW w:type="dxa" w:w="4104"/>
            <w:shd w:val="clear" w:color="auto" w:fill="F2F5F8"/>
          </w:tcPr>
          <w:p>
            <w:pPr>
              <w:spacing w:after="20" w:before="20"/>
            </w:pPr>
            <w:r>
              <w:rPr>
                <w:sz w:val="17"/>
              </w:rPr>
            </w:r>
            <w:r>
              <w:rPr>
                <w:sz w:val="17"/>
              </w:rPr>
              <w:t>0.001</w:t>
            </w:r>
          </w:p>
        </w:tc>
      </w:tr>
      <w:tr>
        <w:tc>
          <w:tcPr>
            <w:tcW w:type="dxa" w:w="1584"/>
          </w:tcPr>
          <w:p>
            <w:pPr>
              <w:spacing w:after="20" w:before="20"/>
            </w:pPr>
            <w:r>
              <w:rPr>
                <w:sz w:val="17"/>
              </w:rPr>
            </w:r>
            <w:r>
              <w:rPr>
                <w:sz w:val="17"/>
              </w:rPr>
              <w:t>Reward</w:t>
            </w:r>
          </w:p>
        </w:tc>
        <w:tc>
          <w:tcPr>
            <w:tcW w:type="dxa" w:w="4608"/>
          </w:tcPr>
          <w:p>
            <w:pPr>
              <w:spacing w:after="20" w:before="20"/>
            </w:pPr>
            <w:r>
              <w:rPr>
                <w:sz w:val="17"/>
              </w:rPr>
            </w:r>
            <w:r>
              <w:rPr>
                <w:sz w:val="17"/>
              </w:rPr>
              <w:t>sharpe_window</w:t>
            </w:r>
          </w:p>
        </w:tc>
        <w:tc>
          <w:tcPr>
            <w:tcW w:type="dxa" w:w="4104"/>
          </w:tcPr>
          <w:p>
            <w:pPr>
              <w:spacing w:after="20" w:before="20"/>
            </w:pPr>
            <w:r>
              <w:rPr>
                <w:sz w:val="17"/>
              </w:rPr>
            </w:r>
            <w:r>
              <w:rPr>
                <w:sz w:val="17"/>
              </w:rPr>
              <w:t>20 days</w:t>
            </w:r>
          </w:p>
        </w:tc>
      </w:tr>
      <w:tr>
        <w:tc>
          <w:tcPr>
            <w:tcW w:type="dxa" w:w="1584"/>
            <w:shd w:val="clear" w:color="auto" w:fill="F2F5F8"/>
          </w:tcPr>
          <w:p>
            <w:pPr>
              <w:spacing w:after="20" w:before="20"/>
            </w:pPr>
            <w:r>
              <w:rPr>
                <w:sz w:val="17"/>
              </w:rPr>
            </w:r>
            <w:r>
              <w:rPr>
                <w:sz w:val="17"/>
              </w:rPr>
              <w:t>Reward</w:t>
            </w:r>
          </w:p>
        </w:tc>
        <w:tc>
          <w:tcPr>
            <w:tcW w:type="dxa" w:w="4608"/>
            <w:shd w:val="clear" w:color="auto" w:fill="F2F5F8"/>
          </w:tcPr>
          <w:p>
            <w:pPr>
              <w:spacing w:after="20" w:before="20"/>
            </w:pPr>
            <w:r>
              <w:rPr>
                <w:sz w:val="17"/>
              </w:rPr>
            </w:r>
            <w:r>
              <w:rPr>
                <w:sz w:val="17"/>
              </w:rPr>
              <w:t>evar_confidence / penalty_weight</w:t>
            </w:r>
          </w:p>
        </w:tc>
        <w:tc>
          <w:tcPr>
            <w:tcW w:type="dxa" w:w="4104"/>
            <w:shd w:val="clear" w:color="auto" w:fill="F2F5F8"/>
          </w:tcPr>
          <w:p>
            <w:pPr>
              <w:spacing w:after="20" w:before="20"/>
            </w:pPr>
            <w:r>
              <w:rPr>
                <w:sz w:val="17"/>
              </w:rPr>
            </w:r>
            <w:r>
              <w:rPr>
                <w:sz w:val="17"/>
              </w:rPr>
              <w:t>0.95 / 0.1</w:t>
            </w:r>
          </w:p>
        </w:tc>
      </w:tr>
      <w:tr>
        <w:tc>
          <w:tcPr>
            <w:tcW w:type="dxa" w:w="1584"/>
          </w:tcPr>
          <w:p>
            <w:pPr>
              <w:spacing w:after="20" w:before="20"/>
            </w:pPr>
            <w:r>
              <w:rPr>
                <w:sz w:val="17"/>
              </w:rPr>
            </w:r>
            <w:r>
              <w:rPr>
                <w:sz w:val="17"/>
              </w:rPr>
              <w:t>Reward</w:t>
            </w:r>
          </w:p>
        </w:tc>
        <w:tc>
          <w:tcPr>
            <w:tcW w:type="dxa" w:w="4608"/>
          </w:tcPr>
          <w:p>
            <w:pPr>
              <w:spacing w:after="20" w:before="20"/>
            </w:pPr>
            <w:r>
              <w:rPr>
                <w:sz w:val="17"/>
              </w:rPr>
            </w:r>
            <w:r>
              <w:rPr>
                <w:sz w:val="17"/>
              </w:rPr>
              <w:t>turnover_penalty</w:t>
            </w:r>
          </w:p>
        </w:tc>
        <w:tc>
          <w:tcPr>
            <w:tcW w:type="dxa" w:w="4104"/>
          </w:tcPr>
          <w:p>
            <w:pPr>
              <w:spacing w:after="20" w:before="20"/>
            </w:pPr>
            <w:r>
              <w:rPr>
                <w:sz w:val="17"/>
              </w:rPr>
            </w:r>
            <w:r>
              <w:rPr>
                <w:sz w:val="17"/>
              </w:rPr>
              <w:t>0.001 (quadratic)</w:t>
            </w:r>
          </w:p>
        </w:tc>
      </w:tr>
      <w:tr>
        <w:tc>
          <w:tcPr>
            <w:tcW w:type="dxa" w:w="1584"/>
            <w:shd w:val="clear" w:color="auto" w:fill="F2F5F8"/>
          </w:tcPr>
          <w:p>
            <w:pPr>
              <w:spacing w:after="20" w:before="20"/>
            </w:pPr>
            <w:r>
              <w:rPr>
                <w:sz w:val="17"/>
              </w:rPr>
            </w:r>
            <w:r>
              <w:rPr>
                <w:sz w:val="17"/>
              </w:rPr>
              <w:t>Environment</w:t>
            </w:r>
          </w:p>
        </w:tc>
        <w:tc>
          <w:tcPr>
            <w:tcW w:type="dxa" w:w="4608"/>
            <w:shd w:val="clear" w:color="auto" w:fill="F2F5F8"/>
          </w:tcPr>
          <w:p>
            <w:pPr>
              <w:spacing w:after="20" w:before="20"/>
            </w:pPr>
            <w:r>
              <w:rPr>
                <w:sz w:val="17"/>
              </w:rPr>
            </w:r>
            <w:r>
              <w:rPr>
                <w:sz w:val="17"/>
              </w:rPr>
              <w:t>initial_portfolio_value</w:t>
            </w:r>
          </w:p>
        </w:tc>
        <w:tc>
          <w:tcPr>
            <w:tcW w:type="dxa" w:w="4104"/>
            <w:shd w:val="clear" w:color="auto" w:fill="F2F5F8"/>
          </w:tcPr>
          <w:p>
            <w:pPr>
              <w:spacing w:after="20" w:before="20"/>
            </w:pPr>
            <w:r>
              <w:rPr>
                <w:sz w:val="17"/>
              </w:rPr>
            </w:r>
            <w:r>
              <w:rPr>
                <w:sz w:val="17"/>
              </w:rPr>
              <w:t>LKR 1,000,000</w:t>
            </w:r>
          </w:p>
        </w:tc>
      </w:tr>
      <w:tr>
        <w:tc>
          <w:tcPr>
            <w:tcW w:type="dxa" w:w="1584"/>
          </w:tcPr>
          <w:p>
            <w:pPr>
              <w:spacing w:after="20" w:before="20"/>
            </w:pPr>
            <w:r>
              <w:rPr>
                <w:sz w:val="17"/>
              </w:rPr>
            </w:r>
            <w:r>
              <w:rPr>
                <w:sz w:val="17"/>
              </w:rPr>
              <w:t>Environment</w:t>
            </w:r>
          </w:p>
        </w:tc>
        <w:tc>
          <w:tcPr>
            <w:tcW w:type="dxa" w:w="4608"/>
          </w:tcPr>
          <w:p>
            <w:pPr>
              <w:spacing w:after="20" w:before="20"/>
            </w:pPr>
            <w:r>
              <w:rPr>
                <w:sz w:val="17"/>
              </w:rPr>
            </w:r>
            <w:r>
              <w:rPr>
                <w:sz w:val="17"/>
              </w:rPr>
              <w:t>allow_short_selling</w:t>
            </w:r>
          </w:p>
        </w:tc>
        <w:tc>
          <w:tcPr>
            <w:tcW w:type="dxa" w:w="4104"/>
          </w:tcPr>
          <w:p>
            <w:pPr>
              <w:spacing w:after="20" w:before="20"/>
            </w:pPr>
            <w:r>
              <w:rPr>
                <w:sz w:val="17"/>
              </w:rPr>
            </w:r>
            <w:r>
              <w:rPr>
                <w:sz w:val="17"/>
              </w:rPr>
              <w:t>False</w:t>
            </w:r>
          </w:p>
        </w:tc>
      </w:tr>
      <w:tr>
        <w:tc>
          <w:tcPr>
            <w:tcW w:type="dxa" w:w="1584"/>
            <w:shd w:val="clear" w:color="auto" w:fill="F2F5F8"/>
          </w:tcPr>
          <w:p>
            <w:pPr>
              <w:spacing w:after="20" w:before="20"/>
            </w:pPr>
            <w:r>
              <w:rPr>
                <w:sz w:val="17"/>
              </w:rPr>
            </w:r>
            <w:r>
              <w:rPr>
                <w:sz w:val="17"/>
              </w:rPr>
              <w:t>Environment</w:t>
            </w:r>
          </w:p>
        </w:tc>
        <w:tc>
          <w:tcPr>
            <w:tcW w:type="dxa" w:w="4608"/>
            <w:shd w:val="clear" w:color="auto" w:fill="F2F5F8"/>
          </w:tcPr>
          <w:p>
            <w:pPr>
              <w:spacing w:after="20" w:before="20"/>
            </w:pPr>
            <w:r>
              <w:rPr>
                <w:sz w:val="17"/>
              </w:rPr>
            </w:r>
            <w:r>
              <w:rPr>
                <w:sz w:val="17"/>
              </w:rPr>
              <w:t>max_position_size</w:t>
            </w:r>
          </w:p>
        </w:tc>
        <w:tc>
          <w:tcPr>
            <w:tcW w:type="dxa" w:w="4104"/>
            <w:shd w:val="clear" w:color="auto" w:fill="F2F5F8"/>
          </w:tcPr>
          <w:p>
            <w:pPr>
              <w:spacing w:after="20" w:before="20"/>
            </w:pPr>
            <w:r>
              <w:rPr>
                <w:sz w:val="17"/>
              </w:rPr>
            </w:r>
            <w:r>
              <w:rPr>
                <w:sz w:val="17"/>
              </w:rPr>
              <w:t>0.30</w:t>
            </w:r>
          </w:p>
        </w:tc>
      </w:tr>
      <w:tr>
        <w:tc>
          <w:tcPr>
            <w:tcW w:type="dxa" w:w="1584"/>
          </w:tcPr>
          <w:p>
            <w:pPr>
              <w:spacing w:after="20" w:before="20"/>
            </w:pPr>
            <w:r>
              <w:rPr>
                <w:sz w:val="17"/>
              </w:rPr>
            </w:r>
            <w:r>
              <w:rPr>
                <w:sz w:val="17"/>
              </w:rPr>
              <w:t>Environment</w:t>
            </w:r>
          </w:p>
        </w:tc>
        <w:tc>
          <w:tcPr>
            <w:tcW w:type="dxa" w:w="4608"/>
          </w:tcPr>
          <w:p>
            <w:pPr>
              <w:spacing w:after="20" w:before="20"/>
            </w:pPr>
            <w:r>
              <w:rPr>
                <w:sz w:val="17"/>
              </w:rPr>
            </w:r>
            <w:r>
              <w:rPr>
                <w:sz w:val="17"/>
              </w:rPr>
              <w:t>slippage</w:t>
            </w:r>
          </w:p>
        </w:tc>
        <w:tc>
          <w:tcPr>
            <w:tcW w:type="dxa" w:w="4104"/>
          </w:tcPr>
          <w:p>
            <w:pPr>
              <w:spacing w:after="20" w:before="20"/>
            </w:pPr>
            <w:r>
              <w:rPr>
                <w:sz w:val="17"/>
              </w:rPr>
            </w:r>
            <w:r>
              <w:rPr>
                <w:sz w:val="17"/>
              </w:rPr>
              <w:t>0.0005</w:t>
            </w:r>
          </w:p>
        </w:tc>
      </w:tr>
      <w:tr>
        <w:tc>
          <w:tcPr>
            <w:tcW w:type="dxa" w:w="1584"/>
            <w:shd w:val="clear" w:color="auto" w:fill="F2F5F8"/>
          </w:tcPr>
          <w:p>
            <w:pPr>
              <w:spacing w:after="20" w:before="20"/>
            </w:pPr>
            <w:r>
              <w:rPr>
                <w:sz w:val="17"/>
              </w:rPr>
            </w:r>
            <w:r>
              <w:rPr>
                <w:sz w:val="17"/>
              </w:rPr>
              <w:t>Environment</w:t>
            </w:r>
          </w:p>
        </w:tc>
        <w:tc>
          <w:tcPr>
            <w:tcW w:type="dxa" w:w="4608"/>
            <w:shd w:val="clear" w:color="auto" w:fill="F2F5F8"/>
          </w:tcPr>
          <w:p>
            <w:pPr>
              <w:spacing w:after="20" w:before="20"/>
            </w:pPr>
            <w:r>
              <w:rPr>
                <w:sz w:val="17"/>
              </w:rPr>
            </w:r>
            <w:r>
              <w:rPr>
                <w:sz w:val="17"/>
              </w:rPr>
              <w:t>rebalance_frequency</w:t>
            </w:r>
          </w:p>
        </w:tc>
        <w:tc>
          <w:tcPr>
            <w:tcW w:type="dxa" w:w="4104"/>
            <w:shd w:val="clear" w:color="auto" w:fill="F2F5F8"/>
          </w:tcPr>
          <w:p>
            <w:pPr>
              <w:spacing w:after="20" w:before="20"/>
            </w:pPr>
            <w:r>
              <w:rPr>
                <w:sz w:val="17"/>
              </w:rPr>
            </w:r>
            <w:r>
              <w:rPr>
                <w:sz w:val="17"/>
              </w:rPr>
              <w:t>1 (daily)</w:t>
            </w:r>
          </w:p>
        </w:tc>
      </w:tr>
      <w:tr>
        <w:tc>
          <w:tcPr>
            <w:tcW w:type="dxa" w:w="1584"/>
          </w:tcPr>
          <w:p>
            <w:pPr>
              <w:spacing w:after="20" w:before="20"/>
            </w:pPr>
            <w:r>
              <w:rPr>
                <w:sz w:val="17"/>
              </w:rPr>
            </w:r>
            <w:r>
              <w:rPr>
                <w:sz w:val="17"/>
              </w:rPr>
              <w:t>Experiment</w:t>
            </w:r>
          </w:p>
        </w:tc>
        <w:tc>
          <w:tcPr>
            <w:tcW w:type="dxa" w:w="4608"/>
          </w:tcPr>
          <w:p>
            <w:pPr>
              <w:spacing w:after="20" w:before="20"/>
            </w:pPr>
            <w:r>
              <w:rPr>
                <w:sz w:val="17"/>
              </w:rPr>
            </w:r>
            <w:r>
              <w:rPr>
                <w:sz w:val="17"/>
              </w:rPr>
              <w:t>seed</w:t>
            </w:r>
          </w:p>
        </w:tc>
        <w:tc>
          <w:tcPr>
            <w:tcW w:type="dxa" w:w="4104"/>
          </w:tcPr>
          <w:p>
            <w:pPr>
              <w:spacing w:after="20" w:before="20"/>
            </w:pPr>
            <w:r>
              <w:rPr>
                <w:sz w:val="17"/>
              </w:rPr>
            </w:r>
            <w:r>
              <w:rPr>
                <w:sz w:val="17"/>
              </w:rPr>
              <w:t>42</w:t>
            </w:r>
          </w:p>
        </w:tc>
      </w:tr>
    </w:tbl>
    <w:p>
      <w:pPr>
        <w:spacing w:after="40"/>
      </w:pPr>
    </w:p>
    <w:p>
      <w:r>
        <w:br w:type="page"/>
      </w:r>
    </w:p>
    <w:p>
      <w:pPr>
        <w:pStyle w:val="Heading1"/>
      </w:pPr>
      <w:r>
        <w:t>14. Current Results</w:t>
      </w:r>
    </w:p>
    <w:p>
      <w:r>
        <w:rPr>
          <w:b w:val="0"/>
          <w:i/>
        </w:rPr>
        <w:t>Source: results/test_summary.json — single held-out test run of the selected checkpoint</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664"/>
            <w:shd w:val="clear" w:color="auto" w:fill="1F3B57"/>
          </w:tcPr>
          <w:p>
            <w:pPr>
              <w:spacing w:after="20" w:before="20"/>
            </w:pPr>
            <w:r/>
            <w:r>
              <w:rPr>
                <w:b/>
                <w:color w:val="FFFFFF"/>
                <w:sz w:val="17"/>
              </w:rPr>
              <w:t>Metric</w:t>
            </w:r>
          </w:p>
        </w:tc>
        <w:tc>
          <w:tcPr>
            <w:tcW w:type="dxa" w:w="1728"/>
            <w:shd w:val="clear" w:color="auto" w:fill="1F3B57"/>
          </w:tcPr>
          <w:p>
            <w:pPr>
              <w:spacing w:after="20" w:before="20"/>
            </w:pPr>
            <w:r/>
            <w:r>
              <w:rPr>
                <w:b/>
                <w:color w:val="FFFFFF"/>
                <w:sz w:val="17"/>
              </w:rPr>
              <w:t>Test</w:t>
            </w:r>
          </w:p>
        </w:tc>
        <w:tc>
          <w:tcPr>
            <w:tcW w:type="dxa" w:w="1728"/>
            <w:shd w:val="clear" w:color="auto" w:fill="1F3B57"/>
          </w:tcPr>
          <w:p>
            <w:pPr>
              <w:spacing w:after="20" w:before="20"/>
            </w:pPr>
            <w:r/>
            <w:r>
              <w:rPr>
                <w:b/>
                <w:color w:val="FFFFFF"/>
                <w:sz w:val="17"/>
              </w:rPr>
              <w:t>Backtest run</w:t>
            </w:r>
          </w:p>
        </w:tc>
        <w:tc>
          <w:tcPr>
            <w:tcW w:type="dxa" w:w="4176"/>
            <w:shd w:val="clear" w:color="auto" w:fill="1F3B57"/>
          </w:tcPr>
          <w:p>
            <w:pPr>
              <w:spacing w:after="20" w:before="20"/>
            </w:pPr>
            <w:r/>
            <w:r>
              <w:rPr>
                <w:b/>
                <w:color w:val="FFFFFF"/>
                <w:sz w:val="17"/>
              </w:rPr>
              <w:t>Note</w:t>
            </w:r>
          </w:p>
        </w:tc>
      </w:tr>
      <w:tr>
        <w:tc>
          <w:tcPr>
            <w:tcW w:type="dxa" w:w="2664"/>
          </w:tcPr>
          <w:p>
            <w:pPr>
              <w:spacing w:after="20" w:before="20"/>
            </w:pPr>
            <w:r>
              <w:rPr>
                <w:sz w:val="17"/>
              </w:rPr>
            </w:r>
            <w:r>
              <w:rPr>
                <w:sz w:val="17"/>
              </w:rPr>
              <w:t>Total return</w:t>
            </w:r>
          </w:p>
        </w:tc>
        <w:tc>
          <w:tcPr>
            <w:tcW w:type="dxa" w:w="1728"/>
          </w:tcPr>
          <w:p>
            <w:pPr>
              <w:spacing w:after="20" w:before="20"/>
            </w:pPr>
            <w:r>
              <w:rPr>
                <w:sz w:val="17"/>
              </w:rPr>
            </w:r>
            <w:r>
              <w:rPr>
                <w:sz w:val="17"/>
              </w:rPr>
              <w:t>14.79%</w:t>
            </w:r>
          </w:p>
        </w:tc>
        <w:tc>
          <w:tcPr>
            <w:tcW w:type="dxa" w:w="1728"/>
          </w:tcPr>
          <w:p>
            <w:pPr>
              <w:spacing w:after="20" w:before="20"/>
            </w:pPr>
            <w:r>
              <w:rPr>
                <w:sz w:val="17"/>
              </w:rPr>
            </w:r>
            <w:r>
              <w:rPr>
                <w:sz w:val="17"/>
              </w:rPr>
              <w:t>17.64%</w:t>
            </w:r>
          </w:p>
        </w:tc>
        <w:tc>
          <w:tcPr>
            <w:tcW w:type="dxa" w:w="4176"/>
          </w:tcPr>
          <w:p>
            <w:pPr>
              <w:spacing w:after="20" w:before="20"/>
            </w:pPr>
            <w:r>
              <w:rPr>
                <w:sz w:val="17"/>
              </w:rPr>
            </w:r>
            <w:r>
              <w:rPr>
                <w:sz w:val="17"/>
              </w:rPr>
              <w:t>Over 92 trading days</w:t>
            </w:r>
          </w:p>
        </w:tc>
      </w:tr>
      <w:tr>
        <w:tc>
          <w:tcPr>
            <w:tcW w:type="dxa" w:w="2664"/>
            <w:shd w:val="clear" w:color="auto" w:fill="F2F5F8"/>
          </w:tcPr>
          <w:p>
            <w:pPr>
              <w:spacing w:after="20" w:before="20"/>
            </w:pPr>
            <w:r>
              <w:rPr>
                <w:sz w:val="17"/>
              </w:rPr>
            </w:r>
            <w:r>
              <w:rPr>
                <w:sz w:val="17"/>
              </w:rPr>
              <w:t>Annualised return</w:t>
            </w:r>
          </w:p>
        </w:tc>
        <w:tc>
          <w:tcPr>
            <w:tcW w:type="dxa" w:w="1728"/>
            <w:shd w:val="clear" w:color="auto" w:fill="F2F5F8"/>
          </w:tcPr>
          <w:p>
            <w:pPr>
              <w:spacing w:after="20" w:before="20"/>
            </w:pPr>
            <w:r>
              <w:rPr>
                <w:sz w:val="17"/>
              </w:rPr>
            </w:r>
            <w:r>
              <w:rPr>
                <w:sz w:val="17"/>
              </w:rPr>
              <w:t>45.91%</w:t>
            </w:r>
          </w:p>
        </w:tc>
        <w:tc>
          <w:tcPr>
            <w:tcW w:type="dxa" w:w="1728"/>
            <w:shd w:val="clear" w:color="auto" w:fill="F2F5F8"/>
          </w:tcPr>
          <w:p>
            <w:pPr>
              <w:spacing w:after="20" w:before="20"/>
            </w:pPr>
            <w:r>
              <w:rPr>
                <w:sz w:val="17"/>
              </w:rPr>
            </w:r>
            <w:r>
              <w:rPr>
                <w:sz w:val="17"/>
              </w:rPr>
              <w:t>56.03%</w:t>
            </w:r>
          </w:p>
        </w:tc>
        <w:tc>
          <w:tcPr>
            <w:tcW w:type="dxa" w:w="4176"/>
            <w:shd w:val="clear" w:color="auto" w:fill="F2F5F8"/>
          </w:tcPr>
          <w:p>
            <w:pPr>
              <w:spacing w:after="20" w:before="20"/>
            </w:pPr>
            <w:r>
              <w:rPr>
                <w:sz w:val="17"/>
              </w:rPr>
            </w:r>
            <w:r>
              <w:rPr>
                <w:sz w:val="17"/>
              </w:rPr>
              <w:t>Extrapolated from 92 days</w:t>
            </w:r>
          </w:p>
        </w:tc>
      </w:tr>
      <w:tr>
        <w:tc>
          <w:tcPr>
            <w:tcW w:type="dxa" w:w="2664"/>
          </w:tcPr>
          <w:p>
            <w:pPr>
              <w:spacing w:after="20" w:before="20"/>
            </w:pPr>
            <w:r>
              <w:rPr>
                <w:sz w:val="17"/>
              </w:rPr>
            </w:r>
            <w:r>
              <w:rPr>
                <w:sz w:val="17"/>
              </w:rPr>
              <w:t>Annualised volatility</w:t>
            </w:r>
          </w:p>
        </w:tc>
        <w:tc>
          <w:tcPr>
            <w:tcW w:type="dxa" w:w="1728"/>
          </w:tcPr>
          <w:p>
            <w:pPr>
              <w:spacing w:after="20" w:before="20"/>
            </w:pPr>
            <w:r>
              <w:rPr>
                <w:sz w:val="17"/>
              </w:rPr>
            </w:r>
            <w:r>
              <w:rPr>
                <w:sz w:val="17"/>
              </w:rPr>
              <w:t>20.39%</w:t>
            </w:r>
          </w:p>
        </w:tc>
        <w:tc>
          <w:tcPr>
            <w:tcW w:type="dxa" w:w="1728"/>
          </w:tcPr>
          <w:p>
            <w:pPr>
              <w:spacing w:after="20" w:before="20"/>
            </w:pPr>
            <w:r>
              <w:rPr>
                <w:sz w:val="17"/>
              </w:rPr>
            </w:r>
            <w:r>
              <w:rPr>
                <w:sz w:val="17"/>
              </w:rPr>
              <w:t>25.11%</w:t>
            </w:r>
          </w:p>
        </w:tc>
        <w:tc>
          <w:tcPr>
            <w:tcW w:type="dxa" w:w="4176"/>
          </w:tcPr>
          <w:p>
            <w:pPr>
              <w:spacing w:after="20" w:before="20"/>
            </w:pPr>
            <w:r>
              <w:rPr>
                <w:sz w:val="17"/>
              </w:rPr>
            </w:r>
          </w:p>
        </w:tc>
      </w:tr>
      <w:tr>
        <w:tc>
          <w:tcPr>
            <w:tcW w:type="dxa" w:w="2664"/>
            <w:shd w:val="clear" w:color="auto" w:fill="F2F5F8"/>
          </w:tcPr>
          <w:p>
            <w:pPr>
              <w:spacing w:after="20" w:before="20"/>
            </w:pPr>
            <w:r>
              <w:rPr>
                <w:sz w:val="17"/>
              </w:rPr>
            </w:r>
            <w:r>
              <w:rPr>
                <w:sz w:val="17"/>
              </w:rPr>
              <w:t>Sharpe ratio</w:t>
            </w:r>
          </w:p>
        </w:tc>
        <w:tc>
          <w:tcPr>
            <w:tcW w:type="dxa" w:w="1728"/>
            <w:shd w:val="clear" w:color="auto" w:fill="F2F5F8"/>
          </w:tcPr>
          <w:p>
            <w:pPr>
              <w:spacing w:after="20" w:before="20"/>
            </w:pPr>
            <w:r>
              <w:rPr>
                <w:sz w:val="17"/>
              </w:rPr>
            </w:r>
            <w:r>
              <w:rPr>
                <w:sz w:val="17"/>
              </w:rPr>
              <w:t>2.25</w:t>
            </w:r>
          </w:p>
        </w:tc>
        <w:tc>
          <w:tcPr>
            <w:tcW w:type="dxa" w:w="1728"/>
            <w:shd w:val="clear" w:color="auto" w:fill="F2F5F8"/>
          </w:tcPr>
          <w:p>
            <w:pPr>
              <w:spacing w:after="20" w:before="20"/>
            </w:pPr>
            <w:r>
              <w:rPr>
                <w:sz w:val="17"/>
              </w:rPr>
            </w:r>
            <w:r>
              <w:rPr>
                <w:sz w:val="17"/>
              </w:rPr>
              <w:t>2.23</w:t>
            </w:r>
          </w:p>
        </w:tc>
        <w:tc>
          <w:tcPr>
            <w:tcW w:type="dxa" w:w="4176"/>
            <w:shd w:val="clear" w:color="auto" w:fill="F2F5F8"/>
          </w:tcPr>
          <w:p>
            <w:pPr>
              <w:spacing w:after="20" w:before="20"/>
            </w:pPr>
            <w:r>
              <w:rPr>
                <w:sz w:val="17"/>
              </w:rPr>
            </w:r>
            <w:r>
              <w:rPr>
                <w:sz w:val="17"/>
              </w:rPr>
              <w:t>Ratio of the two figures above</w:t>
            </w:r>
          </w:p>
        </w:tc>
      </w:tr>
      <w:tr>
        <w:tc>
          <w:tcPr>
            <w:tcW w:type="dxa" w:w="2664"/>
          </w:tcPr>
          <w:p>
            <w:pPr>
              <w:spacing w:after="20" w:before="20"/>
            </w:pPr>
            <w:r>
              <w:rPr>
                <w:sz w:val="17"/>
              </w:rPr>
            </w:r>
            <w:r>
              <w:rPr>
                <w:sz w:val="17"/>
              </w:rPr>
              <w:t>Max drawdown</w:t>
            </w:r>
          </w:p>
        </w:tc>
        <w:tc>
          <w:tcPr>
            <w:tcW w:type="dxa" w:w="1728"/>
          </w:tcPr>
          <w:p>
            <w:pPr>
              <w:spacing w:after="20" w:before="20"/>
            </w:pPr>
            <w:r>
              <w:rPr>
                <w:sz w:val="17"/>
              </w:rPr>
            </w:r>
            <w:r>
              <w:rPr>
                <w:sz w:val="17"/>
              </w:rPr>
              <w:t>11.01%</w:t>
            </w:r>
          </w:p>
        </w:tc>
        <w:tc>
          <w:tcPr>
            <w:tcW w:type="dxa" w:w="1728"/>
          </w:tcPr>
          <w:p>
            <w:pPr>
              <w:spacing w:after="20" w:before="20"/>
            </w:pPr>
            <w:r>
              <w:rPr>
                <w:sz w:val="17"/>
              </w:rPr>
            </w:r>
            <w:r>
              <w:rPr>
                <w:sz w:val="17"/>
              </w:rPr>
              <w:t>10.42%</w:t>
            </w:r>
          </w:p>
        </w:tc>
        <w:tc>
          <w:tcPr>
            <w:tcW w:type="dxa" w:w="4176"/>
          </w:tcPr>
          <w:p>
            <w:pPr>
              <w:spacing w:after="20" w:before="20"/>
            </w:pPr>
            <w:r>
              <w:rPr>
                <w:sz w:val="17"/>
              </w:rPr>
            </w:r>
          </w:p>
        </w:tc>
      </w:tr>
      <w:tr>
        <w:tc>
          <w:tcPr>
            <w:tcW w:type="dxa" w:w="2664"/>
            <w:shd w:val="clear" w:color="auto" w:fill="F2F5F8"/>
          </w:tcPr>
          <w:p>
            <w:pPr>
              <w:spacing w:after="20" w:before="20"/>
            </w:pPr>
            <w:r>
              <w:rPr>
                <w:sz w:val="17"/>
              </w:rPr>
            </w:r>
            <w:r>
              <w:rPr>
                <w:sz w:val="17"/>
              </w:rPr>
              <w:t>Total transaction costs</w:t>
            </w:r>
          </w:p>
        </w:tc>
        <w:tc>
          <w:tcPr>
            <w:tcW w:type="dxa" w:w="1728"/>
            <w:shd w:val="clear" w:color="auto" w:fill="F2F5F8"/>
          </w:tcPr>
          <w:p>
            <w:pPr>
              <w:spacing w:after="20" w:before="20"/>
            </w:pPr>
            <w:r>
              <w:rPr>
                <w:sz w:val="17"/>
              </w:rPr>
            </w:r>
            <w:r>
              <w:rPr>
                <w:sz w:val="17"/>
              </w:rPr>
              <w:t>LKR 1,504</w:t>
            </w:r>
          </w:p>
        </w:tc>
        <w:tc>
          <w:tcPr>
            <w:tcW w:type="dxa" w:w="1728"/>
            <w:shd w:val="clear" w:color="auto" w:fill="F2F5F8"/>
          </w:tcPr>
          <w:p>
            <w:pPr>
              <w:spacing w:after="20" w:before="20"/>
            </w:pPr>
            <w:r>
              <w:rPr>
                <w:sz w:val="17"/>
              </w:rPr>
            </w:r>
            <w:r>
              <w:rPr>
                <w:sz w:val="17"/>
              </w:rPr>
              <w:t>LKR 29,547</w:t>
            </w:r>
          </w:p>
        </w:tc>
        <w:tc>
          <w:tcPr>
            <w:tcW w:type="dxa" w:w="4176"/>
            <w:shd w:val="clear" w:color="auto" w:fill="F2F5F8"/>
          </w:tcPr>
          <w:p>
            <w:pPr>
              <w:spacing w:after="20" w:before="20"/>
            </w:pPr>
            <w:r>
              <w:rPr>
                <w:sz w:val="17"/>
              </w:rPr>
            </w:r>
            <w:r>
              <w:rPr>
                <w:sz w:val="17"/>
              </w:rPr>
              <w:t>Cost gap reflects very different turnover between the two runs</w:t>
            </w:r>
          </w:p>
        </w:tc>
      </w:tr>
      <w:tr>
        <w:tc>
          <w:tcPr>
            <w:tcW w:type="dxa" w:w="2664"/>
          </w:tcPr>
          <w:p>
            <w:pPr>
              <w:spacing w:after="20" w:before="20"/>
            </w:pPr>
            <w:r>
              <w:rPr>
                <w:sz w:val="17"/>
              </w:rPr>
            </w:r>
            <w:r>
              <w:rPr>
                <w:sz w:val="17"/>
              </w:rPr>
              <w:t>Final portfolio value</w:t>
            </w:r>
          </w:p>
        </w:tc>
        <w:tc>
          <w:tcPr>
            <w:tcW w:type="dxa" w:w="1728"/>
          </w:tcPr>
          <w:p>
            <w:pPr>
              <w:spacing w:after="20" w:before="20"/>
            </w:pPr>
            <w:r>
              <w:rPr>
                <w:sz w:val="17"/>
              </w:rPr>
            </w:r>
            <w:r>
              <w:rPr>
                <w:sz w:val="17"/>
              </w:rPr>
              <w:t>LKR 1,147,890</w:t>
            </w:r>
          </w:p>
        </w:tc>
        <w:tc>
          <w:tcPr>
            <w:tcW w:type="dxa" w:w="1728"/>
          </w:tcPr>
          <w:p>
            <w:pPr>
              <w:spacing w:after="20" w:before="20"/>
            </w:pPr>
            <w:r>
              <w:rPr>
                <w:sz w:val="17"/>
              </w:rPr>
            </w:r>
            <w:r>
              <w:rPr>
                <w:sz w:val="17"/>
              </w:rPr>
              <w:t>LKR 1,176,361</w:t>
            </w:r>
          </w:p>
        </w:tc>
        <w:tc>
          <w:tcPr>
            <w:tcW w:type="dxa" w:w="4176"/>
          </w:tcPr>
          <w:p>
            <w:pPr>
              <w:spacing w:after="20" w:before="20"/>
            </w:pPr>
            <w:r>
              <w:rPr>
                <w:sz w:val="17"/>
              </w:rPr>
            </w:r>
            <w:r>
              <w:rPr>
                <w:sz w:val="17"/>
              </w:rPr>
              <w:t>From LKR 1,000,000</w:t>
            </w:r>
          </w:p>
        </w:tc>
      </w:tr>
      <w:tr>
        <w:tc>
          <w:tcPr>
            <w:tcW w:type="dxa" w:w="2664"/>
            <w:shd w:val="clear" w:color="auto" w:fill="F2F5F8"/>
          </w:tcPr>
          <w:p>
            <w:pPr>
              <w:spacing w:after="20" w:before="20"/>
            </w:pPr>
            <w:r>
              <w:rPr>
                <w:sz w:val="17"/>
              </w:rPr>
            </w:r>
            <w:r>
              <w:rPr>
                <w:sz w:val="17"/>
              </w:rPr>
              <w:t>Trading days</w:t>
            </w:r>
          </w:p>
        </w:tc>
        <w:tc>
          <w:tcPr>
            <w:tcW w:type="dxa" w:w="1728"/>
            <w:shd w:val="clear" w:color="auto" w:fill="F2F5F8"/>
          </w:tcPr>
          <w:p>
            <w:pPr>
              <w:spacing w:after="20" w:before="20"/>
            </w:pPr>
            <w:r>
              <w:rPr>
                <w:sz w:val="17"/>
              </w:rPr>
            </w:r>
            <w:r>
              <w:rPr>
                <w:sz w:val="17"/>
              </w:rPr>
              <w:t>92</w:t>
            </w:r>
          </w:p>
        </w:tc>
        <w:tc>
          <w:tcPr>
            <w:tcW w:type="dxa" w:w="1728"/>
            <w:shd w:val="clear" w:color="auto" w:fill="F2F5F8"/>
          </w:tcPr>
          <w:p>
            <w:pPr>
              <w:spacing w:after="20" w:before="20"/>
            </w:pPr>
            <w:r>
              <w:rPr>
                <w:sz w:val="17"/>
              </w:rPr>
            </w:r>
            <w:r>
              <w:rPr>
                <w:sz w:val="17"/>
              </w:rPr>
              <w:t>92</w:t>
            </w:r>
          </w:p>
        </w:tc>
        <w:tc>
          <w:tcPr>
            <w:tcW w:type="dxa" w:w="4176"/>
            <w:shd w:val="clear" w:color="auto" w:fill="F2F5F8"/>
          </w:tcPr>
          <w:p>
            <w:pPr>
              <w:spacing w:after="20" w:before="20"/>
            </w:pPr>
            <w:r>
              <w:rPr>
                <w:sz w:val="17"/>
              </w:rPr>
            </w:r>
          </w:p>
        </w:tc>
      </w:tr>
    </w:tbl>
    <w:p>
      <w:pPr>
        <w:spacing w:after="40"/>
      </w:pPr>
    </w:p>
    <w:p>
      <w:r>
        <w:rPr>
          <w:b/>
        </w:rPr>
        <w:t xml:space="preserve">How to present these numbers honestly: </w:t>
      </w:r>
      <w:r>
        <w:t>92 trading days is a short window, and annualising a 92-day return by (1+r)^(252/92) magnifies both the return and any luck in it. A Sharpe of 2.25 on one contiguous test period from a single seed is an encouraging signal, not evidence. The defensible next step is multiple seeds, a walk-forward split, and at minimum an equal-weight and a buy-and-hold benchmark over exactly the same 92 days.</w:t>
      </w:r>
    </w:p>
    <w:p>
      <w:pPr>
        <w:pStyle w:val="Heading1"/>
      </w:pPr>
      <w:r>
        <w:t>15. Points to Raise in the Supervision Meeting</w:t>
      </w:r>
    </w:p>
    <w:p>
      <w:r>
        <w:rPr>
          <w:b w:val="0"/>
          <w:i w:val="0"/>
        </w:rPr>
        <w:t>These are the honest status items and open decisions. Raising them proactively is stronger than being asked.</w:t>
      </w:r>
    </w:p>
    <w:p>
      <w:pPr>
        <w:pStyle w:val="Heading2"/>
      </w:pPr>
      <w:r>
        <w:t>15.1 Components present in the code but not currently active</w:t>
      </w:r>
    </w:p>
    <w:tbl>
      <w:tblPr>
        <w:tblStyle w:val="TableGrid"/>
        <w:tblW w:type="auto" w:w="0"/>
        <w:jc w:val="left"/>
        <w:tblLook w:firstColumn="1" w:firstRow="1" w:lastColumn="0" w:lastRow="0" w:noHBand="0" w:noVBand="1" w:val="04A0"/>
      </w:tblPr>
      <w:tblGrid>
        <w:gridCol w:w="3264"/>
        <w:gridCol w:w="3264"/>
        <w:gridCol w:w="3264"/>
      </w:tblGrid>
      <w:tr>
        <w:tc>
          <w:tcPr>
            <w:tcW w:type="dxa" w:w="2160"/>
            <w:shd w:val="clear" w:color="auto" w:fill="1F3B57"/>
          </w:tcPr>
          <w:p>
            <w:pPr>
              <w:spacing w:after="20" w:before="20"/>
            </w:pPr>
            <w:r/>
            <w:r>
              <w:rPr>
                <w:b/>
                <w:color w:val="FFFFFF"/>
                <w:sz w:val="17"/>
              </w:rPr>
              <w:t>Component</w:t>
            </w:r>
          </w:p>
        </w:tc>
        <w:tc>
          <w:tcPr>
            <w:tcW w:type="dxa" w:w="3168"/>
            <w:shd w:val="clear" w:color="auto" w:fill="1F3B57"/>
          </w:tcPr>
          <w:p>
            <w:pPr>
              <w:spacing w:after="20" w:before="20"/>
            </w:pPr>
            <w:r/>
            <w:r>
              <w:rPr>
                <w:b/>
                <w:color w:val="FFFFFF"/>
                <w:sz w:val="17"/>
              </w:rPr>
              <w:t>Status</w:t>
            </w:r>
          </w:p>
        </w:tc>
        <w:tc>
          <w:tcPr>
            <w:tcW w:type="dxa" w:w="4752"/>
            <w:shd w:val="clear" w:color="auto" w:fill="1F3B57"/>
          </w:tcPr>
          <w:p>
            <w:pPr>
              <w:spacing w:after="20" w:before="20"/>
            </w:pPr>
            <w:r/>
            <w:r>
              <w:rPr>
                <w:b/>
                <w:color w:val="FFFFFF"/>
                <w:sz w:val="17"/>
              </w:rPr>
              <w:t>Implication</w:t>
            </w:r>
          </w:p>
        </w:tc>
      </w:tr>
      <w:tr>
        <w:tc>
          <w:tcPr>
            <w:tcW w:type="dxa" w:w="2160"/>
          </w:tcPr>
          <w:p>
            <w:pPr>
              <w:spacing w:after="20" w:before="20"/>
            </w:pPr>
            <w:r>
              <w:rPr>
                <w:sz w:val="17"/>
              </w:rPr>
            </w:r>
            <w:r>
              <w:rPr>
                <w:sz w:val="17"/>
              </w:rPr>
              <w:t>Macroeconomic variables</w:t>
            </w:r>
          </w:p>
        </w:tc>
        <w:tc>
          <w:tcPr>
            <w:tcW w:type="dxa" w:w="3168"/>
          </w:tcPr>
          <w:p>
            <w:pPr>
              <w:spacing w:after="20" w:before="20"/>
            </w:pPr>
            <w:r>
              <w:rPr>
                <w:sz w:val="17"/>
              </w:rPr>
            </w:r>
            <w:r>
              <w:rPr>
                <w:rFonts w:ascii="Consolas" w:hAnsi="Consolas"/>
                <w:sz w:val="17"/>
              </w:rPr>
              <w:t>n_macro = 0</w:t>
            </w:r>
            <w:r>
              <w:rPr>
                <w:sz w:val="17"/>
              </w:rPr>
              <w:t>; data/macroeconomic/ is empty</w:t>
            </w:r>
          </w:p>
        </w:tc>
        <w:tc>
          <w:tcPr>
            <w:tcW w:type="dxa" w:w="4752"/>
          </w:tcPr>
          <w:p>
            <w:pPr>
              <w:spacing w:after="20" w:before="20"/>
            </w:pPr>
            <w:r>
              <w:rPr>
                <w:sz w:val="17"/>
              </w:rPr>
            </w:r>
            <w:r>
              <w:rPr>
                <w:sz w:val="17"/>
              </w:rPr>
              <w:t>The "Macro Graph Prior" currently models inter-asset structure only. The graph code already accepts macro nodes, so this is an extension, not a rewrite</w:t>
            </w:r>
          </w:p>
        </w:tc>
      </w:tr>
      <w:tr>
        <w:tc>
          <w:tcPr>
            <w:tcW w:type="dxa" w:w="2160"/>
            <w:shd w:val="clear" w:color="auto" w:fill="F2F5F8"/>
          </w:tcPr>
          <w:p>
            <w:pPr>
              <w:spacing w:after="20" w:before="20"/>
            </w:pPr>
            <w:r>
              <w:rPr>
                <w:sz w:val="17"/>
              </w:rPr>
            </w:r>
            <w:r>
              <w:rPr>
                <w:sz w:val="17"/>
              </w:rPr>
              <w:t>Long/short trading</w:t>
            </w:r>
          </w:p>
        </w:tc>
        <w:tc>
          <w:tcPr>
            <w:tcW w:type="dxa" w:w="3168"/>
            <w:shd w:val="clear" w:color="auto" w:fill="F2F5F8"/>
          </w:tcPr>
          <w:p>
            <w:pPr>
              <w:spacing w:after="20" w:before="20"/>
            </w:pPr>
            <w:r>
              <w:rPr>
                <w:sz w:val="17"/>
              </w:rPr>
            </w:r>
            <w:r>
              <w:rPr>
                <w:rFonts w:ascii="Consolas" w:hAnsi="Consolas"/>
                <w:sz w:val="17"/>
              </w:rPr>
              <w:t>allow_short_selling = False</w:t>
            </w:r>
          </w:p>
        </w:tc>
        <w:tc>
          <w:tcPr>
            <w:tcW w:type="dxa" w:w="4752"/>
            <w:shd w:val="clear" w:color="auto" w:fill="F2F5F8"/>
          </w:tcPr>
          <w:p>
            <w:pPr>
              <w:spacing w:after="20" w:before="20"/>
            </w:pPr>
            <w:r>
              <w:rPr>
                <w:sz w:val="17"/>
              </w:rPr>
            </w:r>
            <w:r>
              <w:rPr>
                <w:sz w:val="17"/>
              </w:rPr>
              <w:t>The independent per-asset tanh action space and DeePM-style volatility targeting are implemented but disabled, because CSE short-selling / SBL availability for this account type is unverified</w:t>
            </w:r>
          </w:p>
        </w:tc>
      </w:tr>
      <w:tr>
        <w:tc>
          <w:tcPr>
            <w:tcW w:type="dxa" w:w="2160"/>
          </w:tcPr>
          <w:p>
            <w:pPr>
              <w:spacing w:after="20" w:before="20"/>
            </w:pPr>
            <w:r>
              <w:rPr>
                <w:sz w:val="17"/>
              </w:rPr>
            </w:r>
            <w:r>
              <w:rPr>
                <w:rFonts w:ascii="Consolas" w:hAnsi="Consolas"/>
                <w:sz w:val="17"/>
              </w:rPr>
              <w:t>DifferentiableReward</w:t>
            </w:r>
          </w:p>
        </w:tc>
        <w:tc>
          <w:tcPr>
            <w:tcW w:type="dxa" w:w="3168"/>
          </w:tcPr>
          <w:p>
            <w:pPr>
              <w:spacing w:after="20" w:before="20"/>
            </w:pPr>
            <w:r>
              <w:rPr>
                <w:sz w:val="17"/>
              </w:rPr>
            </w:r>
            <w:r>
              <w:rPr>
                <w:sz w:val="17"/>
              </w:rPr>
              <w:t>Class exists, never instantiated</w:t>
            </w:r>
          </w:p>
        </w:tc>
        <w:tc>
          <w:tcPr>
            <w:tcW w:type="dxa" w:w="4752"/>
          </w:tcPr>
          <w:p>
            <w:pPr>
              <w:spacing w:after="20" w:before="20"/>
            </w:pPr>
            <w:r>
              <w:rPr>
                <w:sz w:val="17"/>
              </w:rPr>
            </w:r>
            <w:r>
              <w:rPr>
                <w:sz w:val="17"/>
              </w:rPr>
              <w:t>The reward path is currently non-differentiable (a scalar from NumPy). Gradients reach the actor through the PPO advantage, not through the reward function itself. Worth being precise about if asked whether the reward is differentiable</w:t>
            </w:r>
          </w:p>
        </w:tc>
      </w:tr>
      <w:tr>
        <w:tc>
          <w:tcPr>
            <w:tcW w:type="dxa" w:w="2160"/>
            <w:shd w:val="clear" w:color="auto" w:fill="F2F5F8"/>
          </w:tcPr>
          <w:p>
            <w:pPr>
              <w:spacing w:after="20" w:before="20"/>
            </w:pPr>
            <w:r>
              <w:rPr>
                <w:sz w:val="17"/>
              </w:rPr>
            </w:r>
            <w:r>
              <w:rPr>
                <w:rFonts w:ascii="Consolas" w:hAnsi="Consolas"/>
                <w:sz w:val="17"/>
              </w:rPr>
              <w:t>RolloutBuffer</w:t>
            </w:r>
          </w:p>
        </w:tc>
        <w:tc>
          <w:tcPr>
            <w:tcW w:type="dxa" w:w="3168"/>
            <w:shd w:val="clear" w:color="auto" w:fill="F2F5F8"/>
          </w:tcPr>
          <w:p>
            <w:pPr>
              <w:spacing w:after="20" w:before="20"/>
            </w:pPr>
            <w:r>
              <w:rPr>
                <w:sz w:val="17"/>
              </w:rPr>
            </w:r>
            <w:r>
              <w:rPr>
                <w:sz w:val="17"/>
              </w:rPr>
              <w:t>Imported in trainer.py, not used</w:t>
            </w:r>
          </w:p>
        </w:tc>
        <w:tc>
          <w:tcPr>
            <w:tcW w:type="dxa" w:w="4752"/>
            <w:shd w:val="clear" w:color="auto" w:fill="F2F5F8"/>
          </w:tcPr>
          <w:p>
            <w:pPr>
              <w:spacing w:after="20" w:before="20"/>
            </w:pPr>
            <w:r>
              <w:rPr>
                <w:sz w:val="17"/>
              </w:rPr>
            </w:r>
            <w:r>
              <w:rPr>
                <w:sz w:val="17"/>
              </w:rPr>
              <w:t>The trainer accumulates plain Python lists instead. Harmless, but dead code</w:t>
            </w:r>
          </w:p>
        </w:tc>
      </w:tr>
      <w:tr>
        <w:tc>
          <w:tcPr>
            <w:tcW w:type="dxa" w:w="2160"/>
          </w:tcPr>
          <w:p>
            <w:pPr>
              <w:spacing w:after="20" w:before="20"/>
            </w:pPr>
            <w:r>
              <w:rPr>
                <w:sz w:val="17"/>
              </w:rPr>
            </w:r>
            <w:r>
              <w:rPr>
                <w:rFonts w:ascii="Consolas" w:hAnsi="Consolas"/>
                <w:sz w:val="17"/>
              </w:rPr>
              <w:t>graph_embedding</w:t>
            </w:r>
          </w:p>
        </w:tc>
        <w:tc>
          <w:tcPr>
            <w:tcW w:type="dxa" w:w="3168"/>
          </w:tcPr>
          <w:p>
            <w:pPr>
              <w:spacing w:after="20" w:before="20"/>
            </w:pPr>
            <w:r>
              <w:rPr>
                <w:sz w:val="17"/>
              </w:rPr>
            </w:r>
            <w:r>
              <w:rPr>
                <w:sz w:val="17"/>
              </w:rPr>
              <w:t>Computed by the GAT readout, never consumed</w:t>
            </w:r>
          </w:p>
        </w:tc>
        <w:tc>
          <w:tcPr>
            <w:tcW w:type="dxa" w:w="4752"/>
          </w:tcPr>
          <w:p>
            <w:pPr>
              <w:spacing w:after="20" w:before="20"/>
            </w:pPr>
            <w:r>
              <w:rPr>
                <w:sz w:val="17"/>
              </w:rPr>
            </w:r>
            <w:r>
              <w:rPr>
                <w:sz w:val="17"/>
              </w:rPr>
              <w:t xml:space="preserve">Only </w:t>
            </w:r>
            <w:r>
              <w:rPr>
                <w:rFonts w:ascii="Consolas" w:hAnsi="Consolas"/>
                <w:sz w:val="17"/>
              </w:rPr>
              <w:t>node_embeddings</w:t>
            </w:r>
            <w:r>
              <w:rPr>
                <w:sz w:val="17"/>
              </w:rPr>
              <w:t xml:space="preserve"> feeds the fusion layer</w:t>
            </w:r>
          </w:p>
        </w:tc>
      </w:tr>
    </w:tbl>
    <w:p>
      <w:pPr>
        <w:spacing w:after="40"/>
      </w:pPr>
    </w:p>
    <w:p>
      <w:pPr>
        <w:pStyle w:val="Heading2"/>
      </w:pPr>
      <w:r>
        <w:t>15.2 Methodological questions likely to be asked</w:t>
      </w:r>
    </w:p>
    <w:p>
      <w:pPr>
        <w:pStyle w:val="ListBullet"/>
        <w:spacing w:after="40"/>
        <w:ind w:left="360"/>
      </w:pPr>
      <w:r>
        <w:rPr>
          <w:b/>
        </w:rPr>
        <w:t>The learnable adjacency matrix does not actually learn.</w:t>
      </w:r>
      <w:r>
        <w:t xml:space="preserve"> </w:t>
      </w:r>
      <w:r>
        <w:rPr>
          <w:rFonts w:ascii="Consolas" w:hAnsi="Consolas"/>
          <w:sz w:val="19"/>
        </w:rPr>
        <w:t>build_adjacency()</w:t>
      </w:r>
      <w:r>
        <w:t xml:space="preserve"> computes </w:t>
      </w:r>
      <w:r>
        <w:rPr>
          <w:rFonts w:ascii="Consolas" w:hAnsi="Consolas"/>
          <w:sz w:val="19"/>
        </w:rPr>
        <w:t>sigmoid(learnable_adj)</w:t>
      </w:r>
      <w:r>
        <w:t xml:space="preserve">, adds the identity, then thresholds with </w:t>
      </w:r>
      <w:r>
        <w:rPr>
          <w:rFonts w:ascii="Consolas" w:hAnsi="Consolas"/>
          <w:sz w:val="19"/>
        </w:rPr>
        <w:t>(adj &gt; 0).float()</w:t>
      </w:r>
      <w:r>
        <w:t xml:space="preserve">. Since sigmoid is strictly positive, every entry becomes exactly 1.0 — the graph is fully connected — and the threshold comparison is non-differentiable, so </w:t>
      </w:r>
      <w:r>
        <w:rPr>
          <w:rFonts w:ascii="Consolas" w:hAnsi="Consolas"/>
          <w:sz w:val="19"/>
        </w:rPr>
        <w:t>learnable_adj</w:t>
      </w:r>
      <w:r>
        <w:t xml:space="preserve"> receives no gradient. The GAT still learns useful per-edge attention weights, so the block is not useless, but the claim "the graph structure is learned" should be stated as "edge attention is learned over a fully connected graph". Passing a correlation-based adjacency, or using the sigmoid values as soft edge weights instead of thresholding, would fix it.</w:t>
      </w:r>
    </w:p>
    <w:p>
      <w:pPr>
        <w:pStyle w:val="ListBullet"/>
        <w:spacing w:after="40"/>
        <w:ind w:left="360"/>
      </w:pPr>
      <w:r>
        <w:rPr>
          <w:b/>
        </w:rPr>
        <w:t>The reward is a Sharpe level, not a Sharpe increment.</w:t>
      </w:r>
      <w:r>
        <w:t xml:space="preserve"> Each step's reward is the current 20-day rolling Sharpe ratio. Because consecutive windows overlap in 19 of 20 days, a single good stretch is rewarded roughly 20 times, and the discounted return sums highly autocorrelated quantities. A differential Sharpe ratio (the change in Sharpe attributable to this step, per Moody &amp; Saffell) is the standard fix, and it is a natural ablation to report.</w:t>
      </w:r>
    </w:p>
    <w:p>
      <w:pPr>
        <w:pStyle w:val="ListBullet"/>
        <w:spacing w:after="40"/>
        <w:ind w:left="360"/>
      </w:pPr>
      <w:r>
        <w:rPr>
          <w:b/>
        </w:rPr>
        <w:t>Overlapping windows across the train/validation boundary.</w:t>
      </w:r>
      <w:r>
        <w:t xml:space="preserve"> Windows are built after the split, so no window straddles the boundary — this is handled correctly. But note that within the training set, consecutive observations share 29 of 30 days, so 542 windows carry far less independent information than 542 suggests. This is intrinsic to sliding-window RL and worth acknowledging rather than defending.</w:t>
      </w:r>
    </w:p>
    <w:p>
      <w:pPr>
        <w:pStyle w:val="ListBullet"/>
        <w:spacing w:after="40"/>
        <w:ind w:left="360"/>
      </w:pPr>
      <w:r>
        <w:rPr>
          <w:b/>
        </w:rPr>
        <w:t>Effective sample size.</w:t>
      </w:r>
      <w:r>
        <w:t xml:space="preserve"> 816 usable days over roughly five calendar years is sparse for CSE daily data (about 1,200 would be expected). The gap comes from days absent in the merged raw files, and from rows dropped by the rolling look-backs. Confirming the raw data coverage is worth doing before the numbers are reported.</w:t>
      </w:r>
    </w:p>
    <w:p>
      <w:pPr>
        <w:pStyle w:val="ListBullet"/>
        <w:spacing w:after="40"/>
        <w:ind w:left="360"/>
      </w:pPr>
      <w:r>
        <w:rPr>
          <w:b/>
        </w:rPr>
        <w:t>No benchmark in the results file.</w:t>
      </w:r>
      <w:r>
        <w:t xml:space="preserve"> The test summary reports the agent alone. Equal-weight, buy-and-hold on the sector index, and a mean-variance optimiser over the same 92 days are the minimum comparisons a reviewer will expect.</w:t>
      </w:r>
    </w:p>
    <w:p>
      <w:pPr>
        <w:pStyle w:val="ListBullet"/>
        <w:spacing w:after="40"/>
        <w:ind w:left="360"/>
      </w:pPr>
      <w:r>
        <w:rPr>
          <w:b/>
        </w:rPr>
        <w:t>Single seed.</w:t>
      </w:r>
      <w:r>
        <w:t xml:space="preserve"> All reported figures come from </w:t>
      </w:r>
      <w:r>
        <w:rPr>
          <w:rFonts w:ascii="Consolas" w:hAnsi="Consolas"/>
          <w:sz w:val="19"/>
        </w:rPr>
        <w:t>seed = 42</w:t>
      </w:r>
      <w:r>
        <w:t>. RL results vary substantially across seeds; 5–10 seeds with mean and standard deviation is the convention.</w:t>
      </w:r>
    </w:p>
    <w:p>
      <w:pPr>
        <w:pStyle w:val="ListBullet"/>
        <w:spacing w:after="40"/>
        <w:ind w:left="360"/>
      </w:pPr>
      <w:r>
        <w:rPr>
          <w:b/>
        </w:rPr>
        <w:t>`info["turnover"]` is always 0.</w:t>
      </w:r>
      <w:r>
        <w:t xml:space="preserve"> In </w:t>
      </w:r>
      <w:r>
        <w:rPr>
          <w:rFonts w:ascii="Consolas" w:hAnsi="Consolas"/>
          <w:sz w:val="19"/>
        </w:rPr>
        <w:t>market_env.step()</w:t>
      </w:r>
      <w:r>
        <w:t xml:space="preserve">, </w:t>
      </w:r>
      <w:r>
        <w:rPr>
          <w:rFonts w:ascii="Consolas" w:hAnsi="Consolas"/>
          <w:sz w:val="19"/>
        </w:rPr>
        <w:t>self.current_weights</w:t>
      </w:r>
      <w:r>
        <w:t xml:space="preserve"> is reassigned to </w:t>
      </w:r>
      <w:r>
        <w:rPr>
          <w:rFonts w:ascii="Consolas" w:hAnsi="Consolas"/>
          <w:sz w:val="19"/>
        </w:rPr>
        <w:t>new_weights</w:t>
      </w:r>
      <w:r>
        <w:t xml:space="preserve"> before the info dict computes </w:t>
      </w:r>
      <w:r>
        <w:rPr>
          <w:rFonts w:ascii="Consolas" w:hAnsi="Consolas"/>
          <w:sz w:val="19"/>
        </w:rPr>
        <w:t>|new_weights − self.current_weights|</w:t>
      </w:r>
      <w:r>
        <w:t>. The value is not consumed anywhere, so nothing downstream is affected, but the diagnostic is silently useless. (The reward module computes turnover correctly from its own copies.)</w:t>
      </w:r>
    </w:p>
    <w:p>
      <w:pPr>
        <w:pStyle w:val="Heading2"/>
      </w:pPr>
      <w:r>
        <w:t>15.3 Reproduction note</w:t>
      </w:r>
    </w:p>
    <w:p>
      <w:r>
        <w:rPr>
          <w:b w:val="0"/>
          <w:i w:val="0"/>
        </w:rPr>
        <w:t>Use notebooks/CSE_PPO_Regime_Portfolio.ipynb, not the bare CLI. The notebook sets eval_frequency and save_frequency as explicit multiples of rollout_length and asserts the condition; the main.py defaults do not satisfy it, so evaluation, checkpointing and early stopping are all skipped on a plain CLI run (see §11.5).</w:t>
      </w:r>
    </w:p>
    <w:p>
      <w:pPr>
        <w:pStyle w:val="Heading1"/>
      </w:pPr>
      <w:r>
        <w:t>16. Two-Minute Verbal Summary</w:t>
      </w:r>
    </w:p>
    <w:p>
      <w:r>
        <w:rPr>
          <w:b w:val="0"/>
          <w:i/>
        </w:rPr>
        <w:t>If asked to explain the project in one breath:</w:t>
      </w:r>
    </w:p>
    <w:p>
      <w:r>
        <w:rPr>
          <w:b w:val="0"/>
          <w:i w:val="0"/>
        </w:rPr>
        <w:t>"We take five years of daily prices and volumes for the ten Colombo Stock Exchange banking counters and expand each stock into fifteen technical features — returns, volatility at three horizons, momentum, RSI, MACD, Bollinger %B and volume ratios. Every trading decision is made from a thirty-day window of those features.</w:t>
      </w:r>
    </w:p>
    <w:p>
      <w:r>
        <w:rPr>
          <w:b w:val="0"/>
          <w:i w:val="0"/>
        </w:rPr>
        <w:t>That window goes into a differentiable regime encoder. A Variable Selection Network first learns which of the fifteen features matter today, and how much. A two-layer LSTM reads the thirty days in sequence to build temporal memory. Multi-head attention then lets any day in the window attend to any other, so an important move three weeks ago is not washed out by recency. That gives one embedding per stock. A graph attention network then lets the ten stocks exchange information, because bank stocks share interest-rate and credit exposure. Finally a fusion layer combines each stock's own history with what the sector implies about it, producing a per-stock latent state, and the average across stocks becomes a market state from which a three-way soft regime distribution — bull, bear, sideways — is read off.</w:t>
      </w:r>
    </w:p>
    <w:p>
      <w:r>
        <w:rPr>
          <w:b w:val="0"/>
          <w:i w:val="0"/>
        </w:rPr>
        <w:t>An actor network reads the per-stock latent states and outputs portfolio weights; a critic reads the pooled market state and estimates how good the situation is. The environment applies a thirty-percent position cap, charges realistic transaction costs and slippage, and realises the return. The reward is a rolling Sharpe ratio minus trading costs and minus an entropic value-at-risk penalty on the left tail.</w:t>
      </w:r>
    </w:p>
    <w:p>
      <w:r>
        <w:rPr>
          <w:b w:val="0"/>
          <w:i w:val="0"/>
        </w:rPr>
        <w:t>The essential point is that all of it is trained together. PPO's gradient flows from the portfolio's risk-adjusted performance back through the actor, back through the fusion layer, the graph attention, the temporal attention, the LSTM, and into the feature-selection weights. Nothing in the loss function defines what a regime is — the encoder discovers whatever partition of market conditions makes the portfolio perform better. That is what distinguishes this from the standard two-stage approach, where regimes are clustered first with an unrelated objective and then frozen."</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B57"/>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B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