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Regime-Aware Portfolio Optimization Module</w:t>
      </w:r>
    </w:p>
    <w:p>
      <w:pPr>
        <w:jc w:val="center"/>
      </w:pPr>
      <w:r>
        <w:rPr>
          <w:i/>
          <w:sz w:val="26"/>
        </w:rPr>
        <w:t>A Jointly Optimized, End-to-End PPO Architecture for the</w:t>
        <w:br/>
        <w:t>Colombo Stock Exchange</w:t>
      </w:r>
    </w:p>
    <w:p>
      <w:pPr>
        <w:jc w:val="center"/>
      </w:pPr>
      <w:r>
        <w:rPr>
          <w:sz w:val="22"/>
        </w:rPr>
        <w:t>Draft chapter contributions for the group final report</w:t>
      </w:r>
    </w:p>
    <w:p/>
    <w:p>
      <w:pPr>
        <w:pStyle w:val="Heading1"/>
      </w:pPr>
      <w:r>
        <w:t>How to use this document</w:t>
      </w:r>
    </w:p>
    <w:p>
      <w:pPr>
        <w:jc w:val="both"/>
      </w:pPr>
      <w:r>
        <w:t xml:space="preserve">This document contains </w:t>
      </w:r>
      <w:r>
        <w:rPr>
          <w:b/>
        </w:rPr>
        <w:t>your module's contribution to each chapter</w:t>
      </w:r>
      <w:r>
        <w:t xml:space="preserve"> of the group report, written to match the sectioning conventions of the Level-4 final report format (Introduction / Literature Review / Technology Adapted / Proposed Approach / Analysis and Design / Implementation / Evaluation / Conclusion). Each chapter below is a block that you paste into the corresponding chapter of the merged report.</w:t>
      </w:r>
    </w:p>
    <w:p>
      <w:pPr>
        <w:jc w:val="both"/>
      </w:pPr>
      <w:r>
        <w:t xml:space="preserve">Section numbers use </w:t>
      </w:r>
      <w:r>
        <w:rPr>
          <w:b/>
        </w:rPr>
        <w:t>x</w:t>
      </w:r>
      <w:r>
        <w:t xml:space="preserve"> as a placeholder for your module's position. If your module is the second one in the report, replace 2.x with 2.3, 5.x with 5.4, and so on, to match the ordering your group agrees on.</w:t>
      </w:r>
    </w:p>
    <w:p>
      <w:pPr>
        <w:jc w:val="both"/>
      </w:pPr>
      <w:r>
        <w:t>Every figure in the original template is a screenshot of code or of a generated plot. This document marks each place a figure belongs with an [ACTION REQUIRED] note describing exactly what to capture. Delete those red notes before submission.</w:t>
      </w:r>
    </w:p>
    <w:p>
      <w:pPr>
        <w:jc w:val="both"/>
      </w:pPr>
      <w:r>
        <w:rPr>
          <w:b/>
        </w:rPr>
        <w:t>On the numbers in this document.</w:t>
      </w:r>
      <w:r>
        <w:t xml:space="preserve"> Every quantitative result in Chapters 6 and 7 was read directly from your repository — the configuration values from </w:t>
      </w:r>
      <w:r>
        <w:rPr>
          <w:rFonts w:ascii="Consolas" w:hAnsi="Consolas"/>
          <w:sz w:val="20"/>
        </w:rPr>
        <w:t>src/config/config.py</w:t>
      </w:r>
      <w:r>
        <w:t xml:space="preserve">, the parameter counts from </w:t>
      </w:r>
      <w:r>
        <w:rPr>
          <w:rFonts w:ascii="Consolas" w:hAnsi="Consolas"/>
          <w:sz w:val="20"/>
        </w:rPr>
        <w:t>PPOAgent.count_parameters()</w:t>
      </w:r>
      <w:r>
        <w:t xml:space="preserve">, and the test metrics from </w:t>
      </w:r>
      <w:r>
        <w:rPr>
          <w:rFonts w:ascii="Consolas" w:hAnsi="Consolas"/>
          <w:sz w:val="20"/>
        </w:rPr>
        <w:t>results/test_summary.json</w:t>
      </w:r>
      <w:r>
        <w:t xml:space="preserve"> as written by your most recent training run. The benchmark rows in Table 7.x.2 were computed by running equal-weight and buy-and-hold strategies through your own </w:t>
      </w:r>
      <w:r>
        <w:rPr>
          <w:rFonts w:ascii="Consolas" w:hAnsi="Consolas"/>
          <w:sz w:val="20"/>
        </w:rPr>
        <w:t>MarketEnvironment</w:t>
      </w:r>
      <w:r>
        <w:t xml:space="preserve"> over the identical test window, so they carry identical transaction costs and slippage and are directly comparable. Nothing has been estimated or invented. If you retrain, the numbers in §7 must be regenerated.</w:t>
      </w:r>
    </w:p>
    <w:p>
      <w:pPr>
        <w:spacing w:before="120" w:after="200" w:line="276" w:lineRule="auto"/>
        <w:ind w:left="360"/>
      </w:pPr>
      <w:r>
        <w:rPr>
          <w:b/>
          <w:color w:val="B00000"/>
          <w:sz w:val="20"/>
        </w:rPr>
        <w:t xml:space="preserve">[ACTION REQUIRED] </w:t>
      </w:r>
      <w:r>
        <w:rPr>
          <w:color w:val="B00000"/>
          <w:sz w:val="20"/>
        </w:rPr>
        <w:t>Read §7.x.3 before your next supervisor meeting. On the current test window the agent does NOT outperform a daily-rebalanced equal-weight portfolio. The chapter reports this honestly and diagnoses the cause. Do not change it to claim otherwise — the diagnosis is the strongest part of the contribution, and it points directly at the further work in §8.x.</w:t>
      </w:r>
    </w:p>
    <w:p>
      <w:r>
        <w:br w:type="page"/>
      </w:r>
    </w:p>
    <w:p>
      <w:pPr>
        <w:pStyle w:val="Heading1"/>
      </w:pPr>
      <w:r>
        <w:t>Chapter 1 — Introduction</w:t>
      </w:r>
    </w:p>
    <w:p>
      <w:pPr>
        <w:pStyle w:val="Heading2"/>
      </w:pPr>
      <w:r>
        <w:t>1.x Regime-Aware Portfolio Optimization Module</w:t>
      </w:r>
    </w:p>
    <w:p>
      <w:pPr>
        <w:jc w:val="both"/>
      </w:pPr>
      <w:r>
        <w:t>Portfolio management is the problem of deciding how to distribute a fixed amount of capital across a set of assets, and then revising that decision as market conditions change. The classical treatment of the problem, mean-variance optimization, assumes that the statistical properties of asset returns — their expected values, variances and covariances — are stable enough to be estimated once from historical data and then used to construct an allocation. In practice this assumption fails, because financial markets alternate between persistent states with sharply different statistical behaviour. A market that has been trending upward with low volatility for months can transition within days into a regime of falling prices and high volatility, in which correlations between assets rise and the diversification the portfolio was built on largely disappears.</w:t>
      </w:r>
    </w:p>
    <w:p>
      <w:pPr>
        <w:jc w:val="both"/>
      </w:pPr>
      <w:r>
        <w:t>The Colombo Stock Exchange over the 2021 to 2025 period is an unusually clear example of this behaviour. The window spans a speculative expansion, a severe macroeconomic and currency crisis, a period of trading disruption and elevated volatility, and a subsequent recovery. A fixed allocation calibrated on any one of these periods would have been badly mis-specified in the others. This makes the CSE a demanding and informative testbed for allocation methods that are intended to adapt.</w:t>
      </w:r>
    </w:p>
    <w:p>
      <w:pPr>
        <w:jc w:val="both"/>
      </w:pPr>
      <w:r>
        <w:t>The conventional response is to detect the prevailing market regime and condition the allocation on it. The standard approach does this in two stages: a statistical model, typically a Markov-switching model or a hidden Markov model, is first fitted to returns to produce regime labels, and a separate allocation rule is then optimized within each labelled regime. The weakness of this arrangement is that the two stages optimize unrelated objectives. The regime model is fitted to maximise the likelihood of the observed return series; nothing in that objective asks whether the regimes it discovers are useful for allocating capital. A partition of history that describes returns well may separate periods that call for identical portfolios, and may merge periods that call for very different ones.</w:t>
      </w:r>
    </w:p>
    <w:p>
      <w:pPr>
        <w:pStyle w:val="Heading3"/>
      </w:pPr>
      <w:r>
        <w:t>1.x.1 Problem in Brief</w:t>
      </w:r>
    </w:p>
    <w:p>
      <w:pPr>
        <w:jc w:val="both"/>
      </w:pPr>
      <w:r>
        <w:t>Existing regime-aware portfolio systems separate regime identification from portfolio construction, optimizing each against a different objective. The regimes that result are therefore not guaranteed to be the regimes that matter for the allocation decision. In addition, most published reinforcement learning approaches to portfolio management are evaluated on large, liquid markets and optimize raw or log return, which does not reflect the risk aversion, tail-risk sensitivity and transaction-cost constraints under which a real portfolio is managed — constraints that bind considerably harder on a small, thinly traded frontier market such as the CSE.</w:t>
      </w:r>
    </w:p>
    <w:p>
      <w:pPr>
        <w:pStyle w:val="Heading3"/>
      </w:pPr>
      <w:r>
        <w:t>1.x.2 Aim</w:t>
      </w:r>
    </w:p>
    <w:p>
      <w:pPr>
        <w:jc w:val="both"/>
      </w:pPr>
      <w:r>
        <w:t>To design, implement and evaluate a jointly optimized, end-to-end deep reinforcement learning architecture that learns a latent representation of market regimes and a capital allocation policy simultaneously, under a single risk-adjusted and cost-aware objective, using daily data from the banking sector of the Colombo Stock Exchange.</w:t>
      </w:r>
    </w:p>
    <w:p>
      <w:pPr>
        <w:pStyle w:val="Heading3"/>
      </w:pPr>
      <w:r>
        <w:t>1.x.3 Objectives</w:t>
      </w:r>
    </w:p>
    <w:p>
      <w:pPr>
        <w:pStyle w:val="ListBullet"/>
        <w:spacing w:after="60" w:line="312" w:lineRule="auto"/>
        <w:ind w:left="504"/>
      </w:pPr>
      <w:r>
        <w:t>To engineer a per-asset feature representation from raw CSE price and volume data that captures return, volatility, momentum, mean-reversion and liquidity behaviour.</w:t>
      </w:r>
    </w:p>
    <w:p>
      <w:pPr>
        <w:pStyle w:val="ListBullet"/>
        <w:spacing w:after="60" w:line="312" w:lineRule="auto"/>
        <w:ind w:left="504"/>
      </w:pPr>
      <w:r>
        <w:t>To design a differentiable regime encoder that learns a latent market state and a soft regime distribution, receiving its only training signal from portfolio performance rather than from a separate clustering or likelihood objective.</w:t>
      </w:r>
    </w:p>
    <w:p>
      <w:pPr>
        <w:pStyle w:val="ListBullet"/>
        <w:spacing w:after="60" w:line="312" w:lineRule="auto"/>
        <w:ind w:left="504"/>
      </w:pPr>
      <w:r>
        <w:t>To model both the temporal evolution of each asset and the cross-sectional relationships between assets, using recurrent and attention-based components for the former and a graph attention network for the latter.</w:t>
      </w:r>
    </w:p>
    <w:p>
      <w:pPr>
        <w:pStyle w:val="ListBullet"/>
        <w:spacing w:after="60" w:line="312" w:lineRule="auto"/>
        <w:ind w:left="504"/>
      </w:pPr>
      <w:r>
        <w:t>To construct a market environment that applies realistic position limits, transaction costs and slippage, so that the policy is trained against executable rather than frictionless returns.</w:t>
      </w:r>
    </w:p>
    <w:p>
      <w:pPr>
        <w:pStyle w:val="ListBullet"/>
        <w:spacing w:after="60" w:line="312" w:lineRule="auto"/>
        <w:ind w:left="504"/>
      </w:pPr>
      <w:r>
        <w:t>To formulate a reward function that is risk-adjusted and tail-risk-aware, combining a rolling Sharpe ratio, an entropic value-at-risk penalty and an explicit turnover penalty.</w:t>
      </w:r>
    </w:p>
    <w:p>
      <w:pPr>
        <w:pStyle w:val="ListBullet"/>
        <w:spacing w:after="60" w:line="312" w:lineRule="auto"/>
        <w:ind w:left="504"/>
      </w:pPr>
      <w:r>
        <w:t>To train the encoder, actor and critic jointly with Proximal Policy Optimization and to critically evaluate the resulting policy against naive allocation baselines on a held-out test period.</w:t>
      </w:r>
    </w:p>
    <w:p>
      <w:pPr>
        <w:pStyle w:val="Heading3"/>
      </w:pPr>
      <w:r>
        <w:t>1.x.4 Proposed Solution</w:t>
      </w:r>
    </w:p>
    <w:p>
      <w:pPr>
        <w:jc w:val="both"/>
      </w:pPr>
      <w:r>
        <w:t>The module treats allocation as a sequential decision problem and solves it with an actor-critic reinforcement learning agent. Each observation given to the agent is a thirty-day window of engineered features for every asset in the universe. That window passes through a differentiable regime encoder built from four components: a Variable Selection Network that learns which indicators matter at each point in time, a stacked LSTM that accumulates temporal context, a multi-head self-attention block that allows any day in the window to inform the decision directly, and a graph attention network that lets the assets exchange information with one another. The encoder produces a latent state for each asset, a pooled market-level state, and a three-way soft regime distribution.</w:t>
      </w:r>
    </w:p>
    <w:p>
      <w:pPr>
        <w:jc w:val="both"/>
      </w:pPr>
      <w:r>
        <w:t>An actor network maps the per-asset latent states to portfolio weights and a critic network maps the pooled market state to a value estimate. The allocation is executed in a simulated market environment that caps single-asset exposure, charges transaction costs and slippage on turnover, and returns the realised portfolio return. The reward is a rolling Sharpe ratio reduced by trading costs and by an entropic value-at-risk penalty on the loss tail.</w:t>
      </w:r>
    </w:p>
    <w:p>
      <w:pPr>
        <w:jc w:val="both"/>
      </w:pPr>
      <w:r>
        <w:t>The defining property of the architecture is that a single Proximal Policy Optimization loss is backpropagated through all three components in one update. The gradient reaches the feature-selection weights of the encoder from the risk-adjusted performance of the portfolio. No term in the loss function defines what a regime is; the encoder is free to discover whatever partition of market conditions improves allocation, which is precisely what the two-stage approach cannot do.</w:t>
      </w:r>
    </w:p>
    <w:p>
      <w:r>
        <w:br w:type="page"/>
      </w:r>
    </w:p>
    <w:p>
      <w:pPr>
        <w:pStyle w:val="Heading1"/>
      </w:pPr>
      <w:r>
        <w:t>Chapter 2 — Literature Review</w:t>
      </w:r>
    </w:p>
    <w:p>
      <w:pPr>
        <w:pStyle w:val="Heading2"/>
      </w:pPr>
      <w:r>
        <w:t>2.x Regime-Aware Portfolio Optimization</w:t>
      </w:r>
    </w:p>
    <w:p>
      <w:pPr>
        <w:jc w:val="both"/>
      </w:pPr>
      <w:r>
        <w:t>This section reviews four bodies of work that the proposed module draws on: classical and regime-switching portfolio theory, reinforcement learning applied to portfolio management, the neural architectures used to encode financial time series, and the design of risk-aware reward functions. It closes by identifying the gap the module addresses.</w:t>
      </w:r>
    </w:p>
    <w:p>
      <w:pPr>
        <w:pStyle w:val="Heading3"/>
      </w:pPr>
      <w:r>
        <w:t>2.x.1 Classical Portfolio Theory and Its Limitations</w:t>
      </w:r>
    </w:p>
    <w:p>
      <w:pPr>
        <w:jc w:val="both"/>
      </w:pPr>
      <w:r>
        <w:t>Modern portfolio theory begins with Markowitz [M1], who formalised allocation as a trade-off between the expected return of a portfolio and its variance, and showed that an investor should hold a portfolio on the efficient frontier. The framework is analytically elegant but rests on assumptions that are difficult to satisfy in practice. It requires estimates of expected returns and of the full covariance matrix, and the resulting weights are notoriously sensitive to estimation error in the expected-return vector. More fundamentally for this work, it is a single-period formulation: it assumes the return distribution is stationary, so that one allocation remains optimal over the holding period.</w:t>
      </w:r>
    </w:p>
    <w:p>
      <w:pPr>
        <w:jc w:val="both"/>
      </w:pPr>
      <w:r>
        <w:t>Empirical work has repeatedly contradicted that stationarity assumption. Asset return distributions exhibit volatility clustering, fat tails, and — most relevantly here — correlations that increase during market declines, exactly when the diversification benefit is most needed. A portfolio constructed to be well diversified under normal conditions can therefore behave as a concentrated position during a crisis.</w:t>
      </w:r>
    </w:p>
    <w:p>
      <w:pPr>
        <w:pStyle w:val="Heading3"/>
      </w:pPr>
      <w:r>
        <w:t>2.x.2 Market Regimes and Regime-Switching Models</w:t>
      </w:r>
    </w:p>
    <w:p>
      <w:pPr>
        <w:jc w:val="both"/>
      </w:pPr>
      <w:r>
        <w:t>Hamilton [M2] introduced the Markov-switching autoregressive model, in which the parameters of a time series model are governed by an unobserved discrete state that evolves as a Markov chain. The model provides a principled way to represent an economy that alternates between expansion and contraction, and it has become the standard tool for regime identification in financial econometrics.</w:t>
      </w:r>
    </w:p>
    <w:p>
      <w:pPr>
        <w:jc w:val="both"/>
      </w:pPr>
      <w:r>
        <w:t>Ang and Bekaert [M3] applied regime-switching directly to international asset allocation, showing that a two-regime model with a high-volatility, high-correlation state materially changes the optimal allocation relative to a single-regime benchmark, and that the cost of ignoring regimes is greatest for investors who can move into cash. This line of work established the practical value of conditioning allocation on regime.</w:t>
      </w:r>
    </w:p>
    <w:p>
      <w:pPr>
        <w:jc w:val="both"/>
      </w:pPr>
      <w:r>
        <w:t>The limitation shared by this family of methods is architectural rather than statistical. Regimes are estimated by maximising the likelihood of the observed return series, and the allocation rule is optimized separately, conditional on the estimated regimes. The regime model has no access to the allocation objective. It will therefore distinguish states that differ statistically even when they imply the same portfolio, and it may fail to distinguish states that are statistically similar but call for different allocations. In addition, the number of regimes must be fixed in advance, and the discrete state assignment discards the uncertainty present during a transition, which is exactly the period in which the allocation decision is most consequential.</w:t>
      </w:r>
    </w:p>
    <w:p>
      <w:pPr>
        <w:pStyle w:val="Heading3"/>
      </w:pPr>
      <w:r>
        <w:t>2.x.3 Reinforcement Learning for Portfolio Management</w:t>
      </w:r>
    </w:p>
    <w:p>
      <w:pPr>
        <w:jc w:val="both"/>
      </w:pPr>
      <w:r>
        <w:t>Reinforcement learning reformulates allocation as a sequential decision problem in which an agent observes a market state, selects portfolio weights, and receives a reward derived from the realised outcome. This removes the need to forecast returns explicitly and allows the policy to be optimized directly against the quantity the investor cares about.</w:t>
      </w:r>
    </w:p>
    <w:p>
      <w:pPr>
        <w:jc w:val="both"/>
      </w:pPr>
      <w:r>
        <w:t>Moody and Saffell [M4] proposed direct reinforcement for trading, optimizing a differential Sharpe ratio, an online formulation of the Sharpe ratio whose per-step value represents the marginal contribution of the current step to the running risk-adjusted performance. Their work established that risk-adjusted objectives can be optimized directly by gradient ascent and remains the standard reference for reward design in this domain.</w:t>
      </w:r>
    </w:p>
    <w:p>
      <w:pPr>
        <w:jc w:val="both"/>
      </w:pPr>
      <w:r>
        <w:t>Deng et al. [M5] combined deep feature learning with direct reinforcement, using a neural network to learn a representation of the market state rather than relying on hand-specified indicators, and demonstrated the benefit of learning the representation and the policy together. Jiang et al. [M6] introduced an explicit portfolio-management framework in which an identical, independently evaluated network is applied to each asset and the outputs are combined into a weight vector. This weight-sharing design is important for the present work: it makes the parameter count independent of the number of assets and produces an allocation rule that transfers across assets rather than memorising each one.</w:t>
      </w:r>
    </w:p>
    <w:p>
      <w:pPr>
        <w:jc w:val="both"/>
      </w:pPr>
      <w:r>
        <w:t>Schulman et al. [M7] proposed Proximal Policy Optimization, which constrains the size of each policy update using a clipped surrogate objective. PPO achieves the stability of trust-region methods without their computational cost and has become the default on-policy algorithm for continuous control. It is well matched to portfolio management, where the action space is continuous and where financial data are too limited and too noisy to tolerate the large, destructive policy updates that unconstrained policy gradient methods can produce. The advantage estimates that PPO consumes are computed using Generalized Advantage Estimation [M8], which interpolates between a high-bias single-step temporal-difference estimate and a high-variance Monte Carlo return.</w:t>
      </w:r>
    </w:p>
    <w:p>
      <w:pPr>
        <w:pStyle w:val="Heading3"/>
      </w:pPr>
      <w:r>
        <w:t>2.x.4 Neural Architectures for Financial Sequence Encoding</w:t>
      </w:r>
    </w:p>
    <w:p>
      <w:pPr>
        <w:jc w:val="both"/>
      </w:pPr>
      <w:r>
        <w:t>The recurrent architecture used in this module is the Long Short-Term Memory network of Hochreiter and Schmidhuber [M9], whose gated cell state allows gradient to propagate over long sequences without vanishing. Jozefowicz et al. [M10] showed empirically that initialising the forget-gate bias to a positive value substantially improves LSTM training, by keeping the cell state open at the start of training rather than allowing it to decay; this initialisation is adopted in the implementation.</w:t>
      </w:r>
    </w:p>
    <w:p>
      <w:pPr>
        <w:jc w:val="both"/>
      </w:pPr>
      <w:r>
        <w:t>Not every input feature is informative at every point in time. Volatility measures dominate during a crisis while momentum measures dominate in a trending market. Lim et al. [M11], in the Temporal Fusion Transformer, addressed this with a Variable Selection Network that learns time-varying importance weights over the input variables, producing both a filtered representation and an interpretable record of which variables drove each prediction. The interpretability property is particularly valuable in a financial setting, where a purely opaque allocation is difficult to justify.</w:t>
      </w:r>
    </w:p>
    <w:p>
      <w:pPr>
        <w:jc w:val="both"/>
      </w:pPr>
      <w:r>
        <w:t>Recurrent models compress history into a running state and consequently tend to over-weight recent observations. The self-attention mechanism of Vaswani et al. [M12] removes this bottleneck by allowing every position in a sequence to attend directly to every other position, and provides an attention matrix that shows which historical periods informed the decision.</w:t>
      </w:r>
    </w:p>
    <w:p>
      <w:pPr>
        <w:jc w:val="both"/>
      </w:pPr>
      <w:r>
        <w:t>Assets are not independent. Banking-sector equities share exposure to interest rates, credit conditions and sector sentiment, so evidence about one counter is informative about the others. Graph Attention Networks [M13] model this by treating entities as nodes and learning attention coefficients over the edges, so that the strength of the relationship between two assets is learned rather than imposed. A known failure mode of deep graph networks is oversmoothing, in which repeated neighbourhood averaging drives node representations toward a common value and destroys the distinctions between them; residual connections are the standard mitigation and are used in this implementation.</w:t>
      </w:r>
    </w:p>
    <w:p>
      <w:pPr>
        <w:pStyle w:val="Heading3"/>
      </w:pPr>
      <w:r>
        <w:t>2.x.5 Risk-Aware Reward Design</w:t>
      </w:r>
    </w:p>
    <w:p>
      <w:pPr>
        <w:jc w:val="both"/>
      </w:pPr>
      <w:r>
        <w:t>An agent trained to maximise raw return will learn to accept leverage and concentration that a portfolio manager would reject. The reward must therefore encode risk aversion. The Sharpe ratio, the ratio of excess return to volatility, is the standard risk-adjusted measure, but it penalises upside and downside deviation equally and is insensitive to the shape of the loss tail.</w:t>
      </w:r>
    </w:p>
    <w:p>
      <w:pPr>
        <w:jc w:val="both"/>
      </w:pPr>
      <w:r>
        <w:t>Artzner et al. [M14] established the axiomatic framework of coherent risk measures, showing that value-at-risk fails the subadditivity axiom and can therefore penalise diversification. Ahmadi-Javid [M15] introduced the Entropic Value-at-Risk, a coherent measure derived from the Chernoff bound that provides a tight upper bound on both value-at-risk and conditional value-at-risk and is computationally tractable. Its exponential weighting of losses makes it markedly more sensitive to extreme negative outcomes than a variance-based penalty, which is the property this module exploits.</w:t>
      </w:r>
    </w:p>
    <w:p>
      <w:pPr>
        <w:jc w:val="both"/>
      </w:pPr>
      <w:r>
        <w:t>Transaction costs are a first-order consideration rather than a refinement. A policy that reallocates aggressively can generate returns that are entirely consumed by trading friction, and this effect is amplified on a market with limited liquidity. The reward used here therefore includes both a linear cost term matching the market fee and a quadratic turnover penalty that discourages churn.</w:t>
      </w:r>
    </w:p>
    <w:p>
      <w:pPr>
        <w:pStyle w:val="Heading3"/>
      </w:pPr>
      <w:r>
        <w:t>2.x.6 Research Gap</w:t>
      </w:r>
    </w:p>
    <w:p>
      <w:pPr>
        <w:jc w:val="both"/>
      </w:pPr>
      <w:r>
        <w:t>The literature contains mature treatments of regime detection and of reinforcement learning for portfolio management, but the two are typically combined sequentially: regimes are identified first, by a model optimized for statistical fit, and the policy is then conditioned on the resulting labels. The regime representation is consequently never shaped by the allocation objective.</w:t>
      </w:r>
    </w:p>
    <w:p>
      <w:pPr>
        <w:jc w:val="both"/>
      </w:pPr>
      <w:r>
        <w:t>The module proposed in this report closes that gap by making regime representation a differentiable component of the policy network, so that the definition of a regime is learned from the risk-adjusted performance of the portfolio itself. A secondary gap is empirical: published deep reinforcement learning results for portfolio management are concentrated on large, liquid markets, and evidence from frontier markets such as the Colombo Stock Exchange — where liquidity is thinner, costs are proportionally larger and regime transitions are sharper — is scarce.</w:t>
      </w:r>
    </w:p>
    <w:p>
      <w:r>
        <w:br w:type="page"/>
      </w:r>
    </w:p>
    <w:p>
      <w:pPr>
        <w:pStyle w:val="Heading1"/>
      </w:pPr>
      <w:r>
        <w:t>Chapter 3 — Technology Adapted</w:t>
      </w:r>
    </w:p>
    <w:p>
      <w:pPr>
        <w:pStyle w:val="Heading2"/>
      </w:pPr>
      <w:r>
        <w:t>3.x Regime-Aware Portfolio Optimization Module</w:t>
      </w:r>
    </w:p>
    <w:p>
      <w:pPr>
        <w:jc w:val="both"/>
      </w:pPr>
      <w:r>
        <w:t>The module is implemented entirely in Python, for the reasons set out in the shared sections of this chapter. The libraries and tools specific to this module are described below.</w:t>
      </w:r>
    </w:p>
    <w:tbl>
      <w:tblPr>
        <w:tblStyle w:val="TableGrid"/>
        <w:tblW w:type="auto" w:w="0"/>
        <w:jc w:val="center"/>
        <w:tblLook w:firstColumn="1" w:firstRow="1" w:lastColumn="0" w:lastRow="0" w:noHBand="0" w:noVBand="1" w:val="04A0"/>
      </w:tblPr>
      <w:tblGrid>
        <w:gridCol w:w="3048"/>
        <w:gridCol w:w="3048"/>
        <w:gridCol w:w="3048"/>
      </w:tblGrid>
      <w:tr>
        <w:tc>
          <w:tcPr>
            <w:tcW w:type="dxa" w:w="1800"/>
            <w:shd w:val="clear" w:color="auto" w:fill="D9D9D9"/>
          </w:tcPr>
          <w:p>
            <w:pPr>
              <w:spacing w:after="40" w:before="40" w:line="240" w:lineRule="auto"/>
              <w:jc w:val="center"/>
            </w:pPr>
            <w:r/>
            <w:r>
              <w:rPr>
                <w:b/>
                <w:sz w:val="18"/>
              </w:rPr>
              <w:t>Technology</w:t>
            </w:r>
          </w:p>
        </w:tc>
        <w:tc>
          <w:tcPr>
            <w:tcW w:type="dxa" w:w="2088"/>
            <w:shd w:val="clear" w:color="auto" w:fill="D9D9D9"/>
          </w:tcPr>
          <w:p>
            <w:pPr>
              <w:spacing w:after="40" w:before="40" w:line="240" w:lineRule="auto"/>
              <w:jc w:val="center"/>
            </w:pPr>
            <w:r/>
            <w:r>
              <w:rPr>
                <w:b/>
                <w:sz w:val="18"/>
              </w:rPr>
              <w:t>Version / role</w:t>
            </w:r>
          </w:p>
        </w:tc>
        <w:tc>
          <w:tcPr>
            <w:tcW w:type="dxa" w:w="5472"/>
            <w:shd w:val="clear" w:color="auto" w:fill="D9D9D9"/>
          </w:tcPr>
          <w:p>
            <w:pPr>
              <w:spacing w:after="40" w:before="40" w:line="240" w:lineRule="auto"/>
              <w:jc w:val="center"/>
            </w:pPr>
            <w:r/>
            <w:r>
              <w:rPr>
                <w:b/>
                <w:sz w:val="18"/>
              </w:rPr>
              <w:t>Use in this module</w:t>
            </w:r>
          </w:p>
        </w:tc>
      </w:tr>
      <w:tr>
        <w:tc>
          <w:tcPr>
            <w:tcW w:type="dxa" w:w="1800"/>
          </w:tcPr>
          <w:p>
            <w:pPr>
              <w:spacing w:after="40" w:before="40" w:line="240" w:lineRule="auto"/>
            </w:pPr>
            <w:r>
              <w:rPr>
                <w:sz w:val="18"/>
              </w:rPr>
            </w:r>
            <w:r>
              <w:rPr>
                <w:b/>
                <w:sz w:val="18"/>
              </w:rPr>
              <w:t>PyTorch</w:t>
            </w:r>
          </w:p>
        </w:tc>
        <w:tc>
          <w:tcPr>
            <w:tcW w:type="dxa" w:w="2088"/>
          </w:tcPr>
          <w:p>
            <w:pPr>
              <w:spacing w:after="40" w:before="40" w:line="240" w:lineRule="auto"/>
            </w:pPr>
            <w:r>
              <w:rPr>
                <w:sz w:val="18"/>
              </w:rPr>
            </w:r>
            <w:r>
              <w:rPr>
                <w:sz w:val="18"/>
              </w:rPr>
              <w:t>Deep learning framework</w:t>
            </w:r>
          </w:p>
        </w:tc>
        <w:tc>
          <w:tcPr>
            <w:tcW w:type="dxa" w:w="5472"/>
          </w:tcPr>
          <w:p>
            <w:pPr>
              <w:spacing w:after="40" w:before="40" w:line="240" w:lineRule="auto"/>
            </w:pPr>
            <w:r>
              <w:rPr>
                <w:sz w:val="18"/>
              </w:rPr>
            </w:r>
            <w:r>
              <w:rPr>
                <w:sz w:val="18"/>
              </w:rPr>
              <w:t xml:space="preserve">All neural components are implemented as </w:t>
            </w:r>
            <w:r>
              <w:rPr>
                <w:rFonts w:ascii="Consolas" w:hAnsi="Consolas"/>
                <w:sz w:val="18"/>
              </w:rPr>
              <w:t>torch.nn.Module</w:t>
            </w:r>
            <w:r>
              <w:rPr>
                <w:sz w:val="18"/>
              </w:rPr>
              <w:t xml:space="preserve"> subclasses. Automatic differentiation is what makes the joint end-to-end update possible: a single </w:t>
            </w:r>
            <w:r>
              <w:rPr>
                <w:rFonts w:ascii="Consolas" w:hAnsi="Consolas"/>
                <w:sz w:val="18"/>
              </w:rPr>
              <w:t>backward()</w:t>
            </w:r>
            <w:r>
              <w:rPr>
                <w:sz w:val="18"/>
              </w:rPr>
              <w:t xml:space="preserve"> call propagates the PPO loss through the actor, the critic and every layer of the regime encoder.</w:t>
            </w:r>
          </w:p>
        </w:tc>
      </w:tr>
      <w:tr>
        <w:tc>
          <w:tcPr>
            <w:tcW w:type="dxa" w:w="1800"/>
          </w:tcPr>
          <w:p>
            <w:pPr>
              <w:spacing w:after="40" w:before="40" w:line="240" w:lineRule="auto"/>
            </w:pPr>
            <w:r>
              <w:rPr>
                <w:sz w:val="18"/>
              </w:rPr>
            </w:r>
            <w:r>
              <w:rPr>
                <w:b/>
                <w:sz w:val="18"/>
              </w:rPr>
              <w:t>NumPy</w:t>
            </w:r>
          </w:p>
        </w:tc>
        <w:tc>
          <w:tcPr>
            <w:tcW w:type="dxa" w:w="2088"/>
          </w:tcPr>
          <w:p>
            <w:pPr>
              <w:spacing w:after="40" w:before="40" w:line="240" w:lineRule="auto"/>
            </w:pPr>
            <w:r>
              <w:rPr>
                <w:sz w:val="18"/>
              </w:rPr>
            </w:r>
            <w:r>
              <w:rPr>
                <w:sz w:val="18"/>
              </w:rPr>
              <w:t>Numerical computing</w:t>
            </w:r>
          </w:p>
        </w:tc>
        <w:tc>
          <w:tcPr>
            <w:tcW w:type="dxa" w:w="5472"/>
          </w:tcPr>
          <w:p>
            <w:pPr>
              <w:spacing w:after="40" w:before="40" w:line="240" w:lineRule="auto"/>
            </w:pPr>
            <w:r>
              <w:rPr>
                <w:sz w:val="18"/>
              </w:rPr>
            </w:r>
            <w:r>
              <w:rPr>
                <w:sz w:val="18"/>
              </w:rPr>
              <w:t>Underlies the market environment, which operates on price and weight arrays, and the Generalized Advantage Estimation routine.</w:t>
            </w:r>
          </w:p>
        </w:tc>
      </w:tr>
      <w:tr>
        <w:tc>
          <w:tcPr>
            <w:tcW w:type="dxa" w:w="1800"/>
          </w:tcPr>
          <w:p>
            <w:pPr>
              <w:spacing w:after="40" w:before="40" w:line="240" w:lineRule="auto"/>
            </w:pPr>
            <w:r>
              <w:rPr>
                <w:sz w:val="18"/>
              </w:rPr>
            </w:r>
            <w:r>
              <w:rPr>
                <w:b/>
                <w:sz w:val="18"/>
              </w:rPr>
              <w:t>pandas</w:t>
            </w:r>
          </w:p>
        </w:tc>
        <w:tc>
          <w:tcPr>
            <w:tcW w:type="dxa" w:w="2088"/>
          </w:tcPr>
          <w:p>
            <w:pPr>
              <w:spacing w:after="40" w:before="40" w:line="240" w:lineRule="auto"/>
            </w:pPr>
            <w:r>
              <w:rPr>
                <w:sz w:val="18"/>
              </w:rPr>
            </w:r>
            <w:r>
              <w:rPr>
                <w:sz w:val="18"/>
              </w:rPr>
              <w:t>Tabular data handling</w:t>
            </w:r>
          </w:p>
        </w:tc>
        <w:tc>
          <w:tcPr>
            <w:tcW w:type="dxa" w:w="5472"/>
          </w:tcPr>
          <w:p>
            <w:pPr>
              <w:spacing w:after="40" w:before="40" w:line="240" w:lineRule="auto"/>
            </w:pPr>
            <w:r>
              <w:rPr>
                <w:sz w:val="18"/>
              </w:rPr>
            </w:r>
            <w:r>
              <w:rPr>
                <w:sz w:val="18"/>
              </w:rPr>
              <w:t>Parses and pivots the raw CSE exports into date-by-asset matrices, and computes the rolling-window technical indicators used as features.</w:t>
            </w:r>
          </w:p>
        </w:tc>
      </w:tr>
      <w:tr>
        <w:tc>
          <w:tcPr>
            <w:tcW w:type="dxa" w:w="1800"/>
          </w:tcPr>
          <w:p>
            <w:pPr>
              <w:spacing w:after="40" w:before="40" w:line="240" w:lineRule="auto"/>
            </w:pPr>
            <w:r>
              <w:rPr>
                <w:sz w:val="18"/>
              </w:rPr>
            </w:r>
            <w:r>
              <w:rPr>
                <w:b/>
                <w:sz w:val="18"/>
              </w:rPr>
              <w:t>scikit-learn</w:t>
            </w:r>
          </w:p>
        </w:tc>
        <w:tc>
          <w:tcPr>
            <w:tcW w:type="dxa" w:w="2088"/>
          </w:tcPr>
          <w:p>
            <w:pPr>
              <w:spacing w:after="40" w:before="40" w:line="240" w:lineRule="auto"/>
            </w:pPr>
            <w:r>
              <w:rPr>
                <w:sz w:val="18"/>
              </w:rPr>
            </w:r>
            <w:r>
              <w:rPr>
                <w:sz w:val="18"/>
              </w:rPr>
              <w:t>Preprocessing utilities</w:t>
            </w:r>
          </w:p>
        </w:tc>
        <w:tc>
          <w:tcPr>
            <w:tcW w:type="dxa" w:w="5472"/>
          </w:tcPr>
          <w:p>
            <w:pPr>
              <w:spacing w:after="40" w:before="40" w:line="240" w:lineRule="auto"/>
            </w:pPr>
            <w:r>
              <w:rPr>
                <w:sz w:val="18"/>
              </w:rPr>
            </w:r>
            <w:r>
              <w:rPr>
                <w:sz w:val="18"/>
              </w:rPr>
              <w:t xml:space="preserve">Provides </w:t>
            </w:r>
            <w:r>
              <w:rPr>
                <w:rFonts w:ascii="Consolas" w:hAnsi="Consolas"/>
                <w:sz w:val="18"/>
              </w:rPr>
              <w:t>StandardScaler</w:t>
            </w:r>
            <w:r>
              <w:rPr>
                <w:sz w:val="18"/>
              </w:rPr>
              <w:t xml:space="preserve">, </w:t>
            </w:r>
            <w:r>
              <w:rPr>
                <w:rFonts w:ascii="Consolas" w:hAnsi="Consolas"/>
                <w:sz w:val="18"/>
              </w:rPr>
              <w:t>MinMaxScaler</w:t>
            </w:r>
            <w:r>
              <w:rPr>
                <w:sz w:val="18"/>
              </w:rPr>
              <w:t xml:space="preserve"> and </w:t>
            </w:r>
            <w:r>
              <w:rPr>
                <w:rFonts w:ascii="Consolas" w:hAnsi="Consolas"/>
                <w:sz w:val="18"/>
              </w:rPr>
              <w:t>RobustScaler</w:t>
            </w:r>
            <w:r>
              <w:rPr>
                <w:sz w:val="18"/>
              </w:rPr>
              <w:t xml:space="preserve"> for feature normalisation. The scaler is fitted on the training split only, which is the mechanism that prevents look-ahead leakage.</w:t>
            </w:r>
          </w:p>
        </w:tc>
      </w:tr>
      <w:tr>
        <w:tc>
          <w:tcPr>
            <w:tcW w:type="dxa" w:w="1800"/>
          </w:tcPr>
          <w:p>
            <w:pPr>
              <w:spacing w:after="40" w:before="40" w:line="240" w:lineRule="auto"/>
            </w:pPr>
            <w:r>
              <w:rPr>
                <w:sz w:val="18"/>
              </w:rPr>
            </w:r>
            <w:r>
              <w:rPr>
                <w:b/>
                <w:sz w:val="18"/>
              </w:rPr>
              <w:t>TensorBoard</w:t>
            </w:r>
          </w:p>
        </w:tc>
        <w:tc>
          <w:tcPr>
            <w:tcW w:type="dxa" w:w="2088"/>
          </w:tcPr>
          <w:p>
            <w:pPr>
              <w:spacing w:after="40" w:before="40" w:line="240" w:lineRule="auto"/>
            </w:pPr>
            <w:r>
              <w:rPr>
                <w:sz w:val="18"/>
              </w:rPr>
            </w:r>
            <w:r>
              <w:rPr>
                <w:sz w:val="18"/>
              </w:rPr>
              <w:t>Experiment tracking</w:t>
            </w:r>
          </w:p>
        </w:tc>
        <w:tc>
          <w:tcPr>
            <w:tcW w:type="dxa" w:w="5472"/>
          </w:tcPr>
          <w:p>
            <w:pPr>
              <w:spacing w:after="40" w:before="40" w:line="240" w:lineRule="auto"/>
            </w:pPr>
            <w:r>
              <w:rPr>
                <w:sz w:val="18"/>
              </w:rPr>
            </w:r>
            <w:r>
              <w:rPr>
                <w:sz w:val="18"/>
              </w:rPr>
              <w:t>Logs policy loss, value loss, entropy, approximate KL divergence, clip fraction, mean reward and regime entropy against training step, which is how training stability is diagnosed.</w:t>
            </w:r>
          </w:p>
        </w:tc>
      </w:tr>
      <w:tr>
        <w:tc>
          <w:tcPr>
            <w:tcW w:type="dxa" w:w="1800"/>
          </w:tcPr>
          <w:p>
            <w:pPr>
              <w:spacing w:after="40" w:before="40" w:line="240" w:lineRule="auto"/>
            </w:pPr>
            <w:r>
              <w:rPr>
                <w:sz w:val="18"/>
              </w:rPr>
            </w:r>
            <w:r>
              <w:rPr>
                <w:b/>
                <w:sz w:val="18"/>
              </w:rPr>
              <w:t>Jupyter / Google Colab</w:t>
            </w:r>
          </w:p>
        </w:tc>
        <w:tc>
          <w:tcPr>
            <w:tcW w:type="dxa" w:w="2088"/>
          </w:tcPr>
          <w:p>
            <w:pPr>
              <w:spacing w:after="40" w:before="40" w:line="240" w:lineRule="auto"/>
            </w:pPr>
            <w:r>
              <w:rPr>
                <w:sz w:val="18"/>
              </w:rPr>
            </w:r>
            <w:r>
              <w:rPr>
                <w:sz w:val="18"/>
              </w:rPr>
              <w:t>Interactive environment</w:t>
            </w:r>
          </w:p>
        </w:tc>
        <w:tc>
          <w:tcPr>
            <w:tcW w:type="dxa" w:w="5472"/>
          </w:tcPr>
          <w:p>
            <w:pPr>
              <w:spacing w:after="40" w:before="40" w:line="240" w:lineRule="auto"/>
            </w:pPr>
            <w:r>
              <w:rPr>
                <w:sz w:val="18"/>
              </w:rPr>
            </w:r>
            <w:r>
              <w:rPr>
                <w:sz w:val="18"/>
              </w:rPr>
              <w:t>The full pipeline is reproduced in a single annotated notebook, which serves as the reproducible record of a run and provides free GPU access.</w:t>
            </w:r>
          </w:p>
        </w:tc>
      </w:tr>
      <w:tr>
        <w:tc>
          <w:tcPr>
            <w:tcW w:type="dxa" w:w="1800"/>
          </w:tcPr>
          <w:p>
            <w:pPr>
              <w:spacing w:after="40" w:before="40" w:line="240" w:lineRule="auto"/>
            </w:pPr>
            <w:r>
              <w:rPr>
                <w:sz w:val="18"/>
              </w:rPr>
            </w:r>
            <w:r>
              <w:rPr>
                <w:b/>
                <w:sz w:val="18"/>
              </w:rPr>
              <w:t>Matplotlib</w:t>
            </w:r>
          </w:p>
        </w:tc>
        <w:tc>
          <w:tcPr>
            <w:tcW w:type="dxa" w:w="2088"/>
          </w:tcPr>
          <w:p>
            <w:pPr>
              <w:spacing w:after="40" w:before="40" w:line="240" w:lineRule="auto"/>
            </w:pPr>
            <w:r>
              <w:rPr>
                <w:sz w:val="18"/>
              </w:rPr>
            </w:r>
            <w:r>
              <w:rPr>
                <w:sz w:val="18"/>
              </w:rPr>
              <w:t>Visualisation</w:t>
            </w:r>
          </w:p>
        </w:tc>
        <w:tc>
          <w:tcPr>
            <w:tcW w:type="dxa" w:w="5472"/>
          </w:tcPr>
          <w:p>
            <w:pPr>
              <w:spacing w:after="40" w:before="40" w:line="240" w:lineRule="auto"/>
            </w:pPr>
            <w:r>
              <w:rPr>
                <w:sz w:val="18"/>
              </w:rPr>
            </w:r>
            <w:r>
              <w:rPr>
                <w:sz w:val="18"/>
              </w:rPr>
              <w:t>Produces the equity curves, regime-probability plots, attention heat maps and weight-allocation charts presented in Chapters 6 and 7.</w:t>
            </w:r>
          </w:p>
        </w:tc>
      </w:tr>
      <w:tr>
        <w:tc>
          <w:tcPr>
            <w:tcW w:type="dxa" w:w="1800"/>
          </w:tcPr>
          <w:p>
            <w:pPr>
              <w:spacing w:after="40" w:before="40" w:line="240" w:lineRule="auto"/>
            </w:pPr>
            <w:r>
              <w:rPr>
                <w:sz w:val="18"/>
              </w:rPr>
            </w:r>
            <w:r>
              <w:rPr>
                <w:b/>
                <w:sz w:val="18"/>
              </w:rPr>
              <w:t>PyArrow</w:t>
            </w:r>
          </w:p>
        </w:tc>
        <w:tc>
          <w:tcPr>
            <w:tcW w:type="dxa" w:w="2088"/>
          </w:tcPr>
          <w:p>
            <w:pPr>
              <w:spacing w:after="40" w:before="40" w:line="240" w:lineRule="auto"/>
            </w:pPr>
            <w:r>
              <w:rPr>
                <w:sz w:val="18"/>
              </w:rPr>
            </w:r>
            <w:r>
              <w:rPr>
                <w:sz w:val="18"/>
              </w:rPr>
              <w:t>Columnar storage</w:t>
            </w:r>
          </w:p>
        </w:tc>
        <w:tc>
          <w:tcPr>
            <w:tcW w:type="dxa" w:w="5472"/>
          </w:tcPr>
          <w:p>
            <w:pPr>
              <w:spacing w:after="40" w:before="40" w:line="240" w:lineRule="auto"/>
            </w:pPr>
            <w:r>
              <w:rPr>
                <w:sz w:val="18"/>
              </w:rPr>
            </w:r>
            <w:r>
              <w:rPr>
                <w:sz w:val="18"/>
              </w:rPr>
              <w:t>Caches the parsed price and volume matrices to Parquet, reducing data loading from roughly ninety seconds to about one second on subsequent runs.</w:t>
            </w:r>
          </w:p>
        </w:tc>
      </w:tr>
      <w:tr>
        <w:tc>
          <w:tcPr>
            <w:tcW w:type="dxa" w:w="1800"/>
          </w:tcPr>
          <w:p>
            <w:pPr>
              <w:spacing w:after="40" w:before="40" w:line="240" w:lineRule="auto"/>
            </w:pPr>
            <w:r>
              <w:rPr>
                <w:sz w:val="18"/>
              </w:rPr>
            </w:r>
            <w:r>
              <w:rPr>
                <w:b/>
                <w:sz w:val="18"/>
              </w:rPr>
              <w:t>openpyxl</w:t>
            </w:r>
          </w:p>
        </w:tc>
        <w:tc>
          <w:tcPr>
            <w:tcW w:type="dxa" w:w="2088"/>
          </w:tcPr>
          <w:p>
            <w:pPr>
              <w:spacing w:after="40" w:before="40" w:line="240" w:lineRule="auto"/>
            </w:pPr>
            <w:r>
              <w:rPr>
                <w:sz w:val="18"/>
              </w:rPr>
            </w:r>
            <w:r>
              <w:rPr>
                <w:sz w:val="18"/>
              </w:rPr>
              <w:t>Spreadsheet export</w:t>
            </w:r>
          </w:p>
        </w:tc>
        <w:tc>
          <w:tcPr>
            <w:tcW w:type="dxa" w:w="5472"/>
          </w:tcPr>
          <w:p>
            <w:pPr>
              <w:spacing w:after="40" w:before="40" w:line="240" w:lineRule="auto"/>
            </w:pPr>
            <w:r>
              <w:rPr>
                <w:sz w:val="18"/>
              </w:rPr>
            </w:r>
            <w:r>
              <w:rPr>
                <w:sz w:val="18"/>
              </w:rPr>
              <w:t>Writes the per-step portfolio weight history to Excel for manual inspection.</w:t>
            </w:r>
          </w:p>
        </w:tc>
      </w:tr>
      <w:tr>
        <w:tc>
          <w:tcPr>
            <w:tcW w:type="dxa" w:w="1800"/>
          </w:tcPr>
          <w:p>
            <w:pPr>
              <w:spacing w:after="40" w:before="40" w:line="240" w:lineRule="auto"/>
            </w:pPr>
            <w:r>
              <w:rPr>
                <w:sz w:val="18"/>
              </w:rPr>
            </w:r>
            <w:r>
              <w:rPr>
                <w:b/>
                <w:sz w:val="18"/>
              </w:rPr>
              <w:t>Git / GitHub</w:t>
            </w:r>
          </w:p>
        </w:tc>
        <w:tc>
          <w:tcPr>
            <w:tcW w:type="dxa" w:w="2088"/>
          </w:tcPr>
          <w:p>
            <w:pPr>
              <w:spacing w:after="40" w:before="40" w:line="240" w:lineRule="auto"/>
            </w:pPr>
            <w:r>
              <w:rPr>
                <w:sz w:val="18"/>
              </w:rPr>
            </w:r>
            <w:r>
              <w:rPr>
                <w:sz w:val="18"/>
              </w:rPr>
              <w:t>Version control</w:t>
            </w:r>
          </w:p>
        </w:tc>
        <w:tc>
          <w:tcPr>
            <w:tcW w:type="dxa" w:w="5472"/>
          </w:tcPr>
          <w:p>
            <w:pPr>
              <w:spacing w:after="40" w:before="40" w:line="240" w:lineRule="auto"/>
            </w:pPr>
            <w:r>
              <w:rPr>
                <w:sz w:val="18"/>
              </w:rPr>
            </w:r>
            <w:r>
              <w:rPr>
                <w:sz w:val="18"/>
              </w:rPr>
              <w:t xml:space="preserve">Tracks source changes; large model checkpoints and result artefacts are excluded via </w:t>
            </w:r>
            <w:r>
              <w:rPr>
                <w:rFonts w:ascii="Consolas" w:hAnsi="Consolas"/>
                <w:sz w:val="18"/>
              </w:rPr>
              <w:t>.gitignore</w:t>
            </w:r>
            <w:r>
              <w:rPr>
                <w:sz w:val="18"/>
              </w:rPr>
              <w:t>.</w:t>
            </w:r>
          </w:p>
        </w:tc>
      </w:tr>
    </w:tbl>
    <w:p>
      <w:pPr>
        <w:spacing w:before="60" w:after="240" w:line="240" w:lineRule="auto"/>
        <w:jc w:val="center"/>
      </w:pPr>
      <w:r>
        <w:rPr>
          <w:i/>
          <w:sz w:val="20"/>
        </w:rPr>
        <w:t>Table 3.x.1 — Technologies used in the regime-aware portfolio optimization module</w:t>
      </w:r>
    </w:p>
    <w:p>
      <w:r>
        <w:br w:type="page"/>
      </w:r>
    </w:p>
    <w:p>
      <w:pPr>
        <w:pStyle w:val="Heading1"/>
      </w:pPr>
      <w:r>
        <w:t>Chapter 4 — Proposed Approach</w:t>
      </w:r>
    </w:p>
    <w:p>
      <w:pPr>
        <w:pStyle w:val="Heading2"/>
      </w:pPr>
      <w:r>
        <w:t>4.x Regime-Aware Portfolio Optimization Module</w:t>
      </w:r>
    </w:p>
    <w:p>
      <w:pPr>
        <w:pStyle w:val="Heading3"/>
      </w:pPr>
      <w:r>
        <w:t>4.x.1 Users</w:t>
      </w:r>
    </w:p>
    <w:p>
      <w:pPr>
        <w:jc w:val="both"/>
      </w:pPr>
      <w:r>
        <w:t>The module is intended for three groups. Individual and institutional investors active on the Colombo Stock Exchange are the primary users, for whom the system produces a daily allocation across a defined universe together with an indication of the market regime the allocation is responding to. Portfolio and fund managers form a second group, for whom the value lies less in the allocation itself than in the interpretable diagnostics — the feature-importance weights, the temporal attention pattern and the inter-asset attention structure — which can be inspected to understand what the model is reacting to. Quantitative researchers form a third group, for whom the architecture provides a testbed for studying whether jointly learned regime representations outperform the conventional two-stage approach.</w:t>
      </w:r>
    </w:p>
    <w:p>
      <w:pPr>
        <w:pStyle w:val="Heading3"/>
      </w:pPr>
      <w:r>
        <w:t>4.x.2 Inputs</w:t>
      </w:r>
    </w:p>
    <w:tbl>
      <w:tblPr>
        <w:tblStyle w:val="TableGrid"/>
        <w:tblW w:type="auto" w:w="0"/>
        <w:jc w:val="center"/>
        <w:tblLook w:firstColumn="1" w:firstRow="1" w:lastColumn="0" w:lastRow="0" w:noHBand="0" w:noVBand="1" w:val="04A0"/>
      </w:tblPr>
      <w:tblGrid>
        <w:gridCol w:w="3048"/>
        <w:gridCol w:w="3048"/>
        <w:gridCol w:w="3048"/>
      </w:tblGrid>
      <w:tr>
        <w:tc>
          <w:tcPr>
            <w:tcW w:type="dxa" w:w="2160"/>
            <w:shd w:val="clear" w:color="auto" w:fill="D9D9D9"/>
          </w:tcPr>
          <w:p>
            <w:pPr>
              <w:spacing w:after="40" w:before="40" w:line="240" w:lineRule="auto"/>
              <w:jc w:val="center"/>
            </w:pPr>
            <w:r/>
            <w:r>
              <w:rPr>
                <w:b/>
                <w:sz w:val="19"/>
              </w:rPr>
              <w:t>Input</w:t>
            </w:r>
          </w:p>
        </w:tc>
        <w:tc>
          <w:tcPr>
            <w:tcW w:type="dxa" w:w="2736"/>
            <w:shd w:val="clear" w:color="auto" w:fill="D9D9D9"/>
          </w:tcPr>
          <w:p>
            <w:pPr>
              <w:spacing w:after="40" w:before="40" w:line="240" w:lineRule="auto"/>
              <w:jc w:val="center"/>
            </w:pPr>
            <w:r/>
            <w:r>
              <w:rPr>
                <w:b/>
                <w:sz w:val="19"/>
              </w:rPr>
              <w:t>Source</w:t>
            </w:r>
          </w:p>
        </w:tc>
        <w:tc>
          <w:tcPr>
            <w:tcW w:type="dxa" w:w="4464"/>
            <w:shd w:val="clear" w:color="auto" w:fill="D9D9D9"/>
          </w:tcPr>
          <w:p>
            <w:pPr>
              <w:spacing w:after="40" w:before="40" w:line="240" w:lineRule="auto"/>
              <w:jc w:val="center"/>
            </w:pPr>
            <w:r/>
            <w:r>
              <w:rPr>
                <w:b/>
                <w:sz w:val="19"/>
              </w:rPr>
              <w:t>Description</w:t>
            </w:r>
          </w:p>
        </w:tc>
      </w:tr>
      <w:tr>
        <w:tc>
          <w:tcPr>
            <w:tcW w:type="dxa" w:w="2160"/>
          </w:tcPr>
          <w:p>
            <w:pPr>
              <w:spacing w:after="40" w:before="40" w:line="240" w:lineRule="auto"/>
            </w:pPr>
            <w:r>
              <w:rPr>
                <w:sz w:val="19"/>
              </w:rPr>
            </w:r>
            <w:r>
              <w:rPr>
                <w:sz w:val="19"/>
              </w:rPr>
              <w:t>Daily closing prices</w:t>
            </w:r>
          </w:p>
        </w:tc>
        <w:tc>
          <w:tcPr>
            <w:tcW w:type="dxa" w:w="2736"/>
          </w:tcPr>
          <w:p>
            <w:pPr>
              <w:spacing w:after="40" w:before="40" w:line="240" w:lineRule="auto"/>
            </w:pPr>
            <w:r>
              <w:rPr>
                <w:sz w:val="19"/>
              </w:rPr>
            </w:r>
            <w:r>
              <w:rPr>
                <w:sz w:val="19"/>
              </w:rPr>
              <w:t>CSE yearly sector exports (CSV)</w:t>
            </w:r>
          </w:p>
        </w:tc>
        <w:tc>
          <w:tcPr>
            <w:tcW w:type="dxa" w:w="4464"/>
          </w:tcPr>
          <w:p>
            <w:pPr>
              <w:spacing w:after="40" w:before="40" w:line="240" w:lineRule="auto"/>
            </w:pPr>
            <w:r>
              <w:rPr>
                <w:sz w:val="19"/>
              </w:rPr>
            </w:r>
            <w:r>
              <w:rPr>
                <w:sz w:val="19"/>
              </w:rPr>
              <w:t>Closing price per company per trading day, 2021–2025</w:t>
            </w:r>
          </w:p>
        </w:tc>
      </w:tr>
      <w:tr>
        <w:tc>
          <w:tcPr>
            <w:tcW w:type="dxa" w:w="2160"/>
          </w:tcPr>
          <w:p>
            <w:pPr>
              <w:spacing w:after="40" w:before="40" w:line="240" w:lineRule="auto"/>
            </w:pPr>
            <w:r>
              <w:rPr>
                <w:sz w:val="19"/>
              </w:rPr>
            </w:r>
            <w:r>
              <w:rPr>
                <w:sz w:val="19"/>
              </w:rPr>
              <w:t>Daily share volume</w:t>
            </w:r>
          </w:p>
        </w:tc>
        <w:tc>
          <w:tcPr>
            <w:tcW w:type="dxa" w:w="2736"/>
          </w:tcPr>
          <w:p>
            <w:pPr>
              <w:spacing w:after="40" w:before="40" w:line="240" w:lineRule="auto"/>
            </w:pPr>
            <w:r>
              <w:rPr>
                <w:sz w:val="19"/>
              </w:rPr>
            </w:r>
            <w:r>
              <w:rPr>
                <w:sz w:val="19"/>
              </w:rPr>
              <w:t>CSE yearly sector exports (CSV)</w:t>
            </w:r>
          </w:p>
        </w:tc>
        <w:tc>
          <w:tcPr>
            <w:tcW w:type="dxa" w:w="4464"/>
          </w:tcPr>
          <w:p>
            <w:pPr>
              <w:spacing w:after="40" w:before="40" w:line="240" w:lineRule="auto"/>
            </w:pPr>
            <w:r>
              <w:rPr>
                <w:sz w:val="19"/>
              </w:rPr>
            </w:r>
            <w:r>
              <w:rPr>
                <w:sz w:val="19"/>
              </w:rPr>
              <w:t>Number of shares traded per company per trading day</w:t>
            </w:r>
          </w:p>
        </w:tc>
      </w:tr>
      <w:tr>
        <w:tc>
          <w:tcPr>
            <w:tcW w:type="dxa" w:w="2160"/>
          </w:tcPr>
          <w:p>
            <w:pPr>
              <w:spacing w:after="40" w:before="40" w:line="240" w:lineRule="auto"/>
            </w:pPr>
            <w:r>
              <w:rPr>
                <w:sz w:val="19"/>
              </w:rPr>
            </w:r>
            <w:r>
              <w:rPr>
                <w:sz w:val="19"/>
              </w:rPr>
              <w:t>Asset universe size</w:t>
            </w:r>
          </w:p>
        </w:tc>
        <w:tc>
          <w:tcPr>
            <w:tcW w:type="dxa" w:w="2736"/>
          </w:tcPr>
          <w:p>
            <w:pPr>
              <w:spacing w:after="40" w:before="40" w:line="240" w:lineRule="auto"/>
            </w:pPr>
            <w:r>
              <w:rPr>
                <w:sz w:val="19"/>
              </w:rPr>
            </w:r>
            <w:r>
              <w:rPr>
                <w:sz w:val="19"/>
              </w:rPr>
              <w:t>Run configuration</w:t>
            </w:r>
          </w:p>
        </w:tc>
        <w:tc>
          <w:tcPr>
            <w:tcW w:type="dxa" w:w="4464"/>
          </w:tcPr>
          <w:p>
            <w:pPr>
              <w:spacing w:after="40" w:before="40" w:line="240" w:lineRule="auto"/>
            </w:pPr>
            <w:r>
              <w:rPr>
                <w:sz w:val="19"/>
              </w:rPr>
            </w:r>
            <w:r>
              <w:rPr>
                <w:sz w:val="19"/>
              </w:rPr>
              <w:t>Upper bound on the number of counters retained; the loader keeps the most complete series up to this bound</w:t>
            </w:r>
          </w:p>
        </w:tc>
      </w:tr>
      <w:tr>
        <w:tc>
          <w:tcPr>
            <w:tcW w:type="dxa" w:w="2160"/>
          </w:tcPr>
          <w:p>
            <w:pPr>
              <w:spacing w:after="40" w:before="40" w:line="240" w:lineRule="auto"/>
            </w:pPr>
            <w:r>
              <w:rPr>
                <w:sz w:val="19"/>
              </w:rPr>
            </w:r>
            <w:r>
              <w:rPr>
                <w:sz w:val="19"/>
              </w:rPr>
              <w:t>Look-back window</w:t>
            </w:r>
          </w:p>
        </w:tc>
        <w:tc>
          <w:tcPr>
            <w:tcW w:type="dxa" w:w="2736"/>
          </w:tcPr>
          <w:p>
            <w:pPr>
              <w:spacing w:after="40" w:before="40" w:line="240" w:lineRule="auto"/>
            </w:pPr>
            <w:r>
              <w:rPr>
                <w:sz w:val="19"/>
              </w:rPr>
            </w:r>
            <w:r>
              <w:rPr>
                <w:sz w:val="19"/>
              </w:rPr>
              <w:t>Run configuration</w:t>
            </w:r>
          </w:p>
        </w:tc>
        <w:tc>
          <w:tcPr>
            <w:tcW w:type="dxa" w:w="4464"/>
          </w:tcPr>
          <w:p>
            <w:pPr>
              <w:spacing w:after="40" w:before="40" w:line="240" w:lineRule="auto"/>
            </w:pPr>
            <w:r>
              <w:rPr>
                <w:sz w:val="19"/>
              </w:rPr>
            </w:r>
            <w:r>
              <w:rPr>
                <w:sz w:val="19"/>
              </w:rPr>
              <w:t>Number of trading days of history forming one observation (30 in the reported run)</w:t>
            </w:r>
          </w:p>
        </w:tc>
      </w:tr>
      <w:tr>
        <w:tc>
          <w:tcPr>
            <w:tcW w:type="dxa" w:w="2160"/>
          </w:tcPr>
          <w:p>
            <w:pPr>
              <w:spacing w:after="40" w:before="40" w:line="240" w:lineRule="auto"/>
            </w:pPr>
            <w:r>
              <w:rPr>
                <w:sz w:val="19"/>
              </w:rPr>
            </w:r>
            <w:r>
              <w:rPr>
                <w:sz w:val="19"/>
              </w:rPr>
              <w:t>Macroeconomic indicators</w:t>
            </w:r>
          </w:p>
        </w:tc>
        <w:tc>
          <w:tcPr>
            <w:tcW w:type="dxa" w:w="2736"/>
          </w:tcPr>
          <w:p>
            <w:pPr>
              <w:spacing w:after="40" w:before="40" w:line="240" w:lineRule="auto"/>
            </w:pPr>
            <w:r>
              <w:rPr>
                <w:sz w:val="19"/>
              </w:rPr>
            </w:r>
            <w:r>
              <w:rPr>
                <w:sz w:val="19"/>
              </w:rPr>
              <w:t>Reserved (not used in this phase)</w:t>
            </w:r>
          </w:p>
        </w:tc>
        <w:tc>
          <w:tcPr>
            <w:tcW w:type="dxa" w:w="4464"/>
          </w:tcPr>
          <w:p>
            <w:pPr>
              <w:spacing w:after="40" w:before="40" w:line="240" w:lineRule="auto"/>
            </w:pPr>
            <w:r>
              <w:rPr>
                <w:sz w:val="19"/>
              </w:rPr>
            </w:r>
            <w:r>
              <w:rPr>
                <w:sz w:val="19"/>
              </w:rPr>
              <w:t>The graph component accepts macroeconomic variables as additional nodes; this capability is implemented but disabled in the reported experiments</w:t>
            </w:r>
          </w:p>
        </w:tc>
      </w:tr>
    </w:tbl>
    <w:p>
      <w:pPr>
        <w:spacing w:before="60" w:after="240" w:line="240" w:lineRule="auto"/>
        <w:jc w:val="center"/>
      </w:pPr>
      <w:r>
        <w:rPr>
          <w:i/>
          <w:sz w:val="20"/>
        </w:rPr>
        <w:t>Table 4.x.1 — Inputs of the regime-aware portfolio optimization module</w:t>
      </w:r>
    </w:p>
    <w:p>
      <w:pPr>
        <w:pStyle w:val="Heading3"/>
      </w:pPr>
      <w:r>
        <w:t>4.x.3 Process</w:t>
      </w:r>
    </w:p>
    <w:p>
      <w:pPr>
        <w:jc w:val="both"/>
      </w:pPr>
      <w:r>
        <w:t>The module operates as a pipeline of six stages.</w:t>
      </w:r>
    </w:p>
    <w:p>
      <w:pPr>
        <w:pStyle w:val="ListNumber"/>
        <w:spacing w:after="60" w:line="312" w:lineRule="auto"/>
        <w:ind w:left="504"/>
      </w:pPr>
      <w:r>
        <w:rPr>
          <w:b/>
        </w:rPr>
        <w:t>Data acquisition.</w:t>
      </w:r>
      <w:r>
        <w:t xml:space="preserve"> Yearly CSE sector exports are parsed with dynamic header detection, since the exports carry a variable number of title rows. Column names are harmonised across years, numeric fields are cleaned of thousands separators, and the long-format records are pivoted into date-by-company matrices for price and volume. Counters are ranked by data completeness and the most complete are retained; residual gaps are forward-filled for price and zero-filled for volume.</w:t>
      </w:r>
    </w:p>
    <w:p>
      <w:pPr>
        <w:pStyle w:val="ListNumber"/>
        <w:spacing w:after="60" w:line="312" w:lineRule="auto"/>
        <w:ind w:left="504"/>
      </w:pPr>
      <w:r>
        <w:rPr>
          <w:b/>
        </w:rPr>
        <w:t>Feature engineering.</w:t>
      </w:r>
      <w:r>
        <w:t xml:space="preserve"> Each counter is expanded into fifteen stationary descriptors covering return, realised volatility at three horizons, momentum at three horizons, relative strength, the MACD family, Bollinger %B and relative volume at three horizons. The resulting columns are then reordered so that each asset's fifteen features are contiguous, which is what allows the flat feature matrix to be reshaped into per-asset blocks.</w:t>
      </w:r>
    </w:p>
    <w:p>
      <w:pPr>
        <w:pStyle w:val="ListNumber"/>
        <w:spacing w:after="60" w:line="312" w:lineRule="auto"/>
        <w:ind w:left="504"/>
      </w:pPr>
      <w:r>
        <w:rPr>
          <w:b/>
        </w:rPr>
        <w:t>Splitting and normalisation.</w:t>
      </w:r>
      <w:r>
        <w:t xml:space="preserve"> The series is divided chronologically into training, validation and test portions. A standardisation scaler is fitted on the training portion alone and applied unchanged to the other two, so that no information from the evaluation periods reaches the model.</w:t>
      </w:r>
    </w:p>
    <w:p>
      <w:pPr>
        <w:pStyle w:val="ListNumber"/>
        <w:spacing w:after="60" w:line="312" w:lineRule="auto"/>
        <w:ind w:left="504"/>
      </w:pPr>
      <w:r>
        <w:rPr>
          <w:b/>
        </w:rPr>
        <w:t>Windowing.</w:t>
      </w:r>
      <w:r>
        <w:t xml:space="preserve"> Sliding windows of the configured look-back length are formed with unit stride. Each window is one observation, and prices are aligned to the final day of each window, which is the day on which the allocation decision takes effect. Windows are formed after the chronological split, so no window straddles a split boundary.</w:t>
      </w:r>
    </w:p>
    <w:p>
      <w:pPr>
        <w:pStyle w:val="ListNumber"/>
        <w:spacing w:after="60" w:line="312" w:lineRule="auto"/>
        <w:ind w:left="504"/>
      </w:pPr>
      <w:r>
        <w:rPr>
          <w:b/>
        </w:rPr>
        <w:t>Regime encoding and allocation.</w:t>
      </w:r>
      <w:r>
        <w:t xml:space="preserve"> Each observation passes through the differentiable regime encoder to produce a per-asset latent state, a pooled market state and a soft regime distribution. The actor maps the per-asset states to portfolio weights; the critic maps the pooled state to a value estimate.</w:t>
      </w:r>
    </w:p>
    <w:p>
      <w:pPr>
        <w:pStyle w:val="ListNumber"/>
        <w:spacing w:after="60" w:line="312" w:lineRule="auto"/>
        <w:ind w:left="504"/>
      </w:pPr>
      <w:r>
        <w:rPr>
          <w:b/>
        </w:rPr>
        <w:t>Execution and learning.</w:t>
      </w:r>
      <w:r>
        <w:t xml:space="preserve"> The market environment applies the position-size cap, charges transaction costs and slippage on turnover, and realises the portfolio return. The reward module converts that outcome into a risk-adjusted scalar. Advantages are computed by Generalized Advantage Estimation and a single PPO loss is backpropagated jointly through the critic, the actor and the entire encoder.</w:t>
      </w:r>
    </w:p>
    <w:p>
      <w:pPr>
        <w:pStyle w:val="Heading3"/>
      </w:pPr>
      <w:r>
        <w:t>4.x.4 Outputs</w:t>
      </w:r>
    </w:p>
    <w:tbl>
      <w:tblPr>
        <w:tblStyle w:val="TableGrid"/>
        <w:tblW w:type="auto" w:w="0"/>
        <w:jc w:val="center"/>
        <w:tblLook w:firstColumn="1" w:firstRow="1" w:lastColumn="0" w:lastRow="0" w:noHBand="0" w:noVBand="1" w:val="04A0"/>
      </w:tblPr>
      <w:tblGrid>
        <w:gridCol w:w="3048"/>
        <w:gridCol w:w="3048"/>
        <w:gridCol w:w="3048"/>
      </w:tblGrid>
      <w:tr>
        <w:tc>
          <w:tcPr>
            <w:tcW w:type="dxa" w:w="2160"/>
            <w:shd w:val="clear" w:color="auto" w:fill="D9D9D9"/>
          </w:tcPr>
          <w:p>
            <w:pPr>
              <w:spacing w:after="40" w:before="40" w:line="240" w:lineRule="auto"/>
              <w:jc w:val="center"/>
            </w:pPr>
            <w:r/>
            <w:r>
              <w:rPr>
                <w:b/>
                <w:sz w:val="19"/>
              </w:rPr>
              <w:t>Output</w:t>
            </w:r>
          </w:p>
        </w:tc>
        <w:tc>
          <w:tcPr>
            <w:tcW w:type="dxa" w:w="2520"/>
            <w:shd w:val="clear" w:color="auto" w:fill="D9D9D9"/>
          </w:tcPr>
          <w:p>
            <w:pPr>
              <w:spacing w:after="40" w:before="40" w:line="240" w:lineRule="auto"/>
              <w:jc w:val="center"/>
            </w:pPr>
            <w:r/>
            <w:r>
              <w:rPr>
                <w:b/>
                <w:sz w:val="19"/>
              </w:rPr>
              <w:t>Form</w:t>
            </w:r>
          </w:p>
        </w:tc>
        <w:tc>
          <w:tcPr>
            <w:tcW w:type="dxa" w:w="4680"/>
            <w:shd w:val="clear" w:color="auto" w:fill="D9D9D9"/>
          </w:tcPr>
          <w:p>
            <w:pPr>
              <w:spacing w:after="40" w:before="40" w:line="240" w:lineRule="auto"/>
              <w:jc w:val="center"/>
            </w:pPr>
            <w:r/>
            <w:r>
              <w:rPr>
                <w:b/>
                <w:sz w:val="19"/>
              </w:rPr>
              <w:t>Description</w:t>
            </w:r>
          </w:p>
        </w:tc>
      </w:tr>
      <w:tr>
        <w:tc>
          <w:tcPr>
            <w:tcW w:type="dxa" w:w="2160"/>
          </w:tcPr>
          <w:p>
            <w:pPr>
              <w:spacing w:after="40" w:before="40" w:line="240" w:lineRule="auto"/>
            </w:pPr>
            <w:r>
              <w:rPr>
                <w:sz w:val="19"/>
              </w:rPr>
            </w:r>
            <w:r>
              <w:rPr>
                <w:sz w:val="19"/>
              </w:rPr>
              <w:t>Portfolio weights</w:t>
            </w:r>
          </w:p>
        </w:tc>
        <w:tc>
          <w:tcPr>
            <w:tcW w:type="dxa" w:w="2520"/>
          </w:tcPr>
          <w:p>
            <w:pPr>
              <w:spacing w:after="40" w:before="40" w:line="240" w:lineRule="auto"/>
            </w:pPr>
            <w:r>
              <w:rPr>
                <w:sz w:val="19"/>
              </w:rPr>
            </w:r>
            <w:r>
              <w:rPr>
                <w:sz w:val="19"/>
              </w:rPr>
              <w:t>Vector, one entry per asset</w:t>
            </w:r>
          </w:p>
        </w:tc>
        <w:tc>
          <w:tcPr>
            <w:tcW w:type="dxa" w:w="4680"/>
          </w:tcPr>
          <w:p>
            <w:pPr>
              <w:spacing w:after="40" w:before="40" w:line="240" w:lineRule="auto"/>
            </w:pPr>
            <w:r>
              <w:rPr>
                <w:sz w:val="19"/>
              </w:rPr>
            </w:r>
            <w:r>
              <w:rPr>
                <w:sz w:val="19"/>
              </w:rPr>
              <w:t>Daily target allocation. Non-negative and summing to one in the long-only configuration used for the reported results</w:t>
            </w:r>
          </w:p>
        </w:tc>
      </w:tr>
      <w:tr>
        <w:tc>
          <w:tcPr>
            <w:tcW w:type="dxa" w:w="2160"/>
          </w:tcPr>
          <w:p>
            <w:pPr>
              <w:spacing w:after="40" w:before="40" w:line="240" w:lineRule="auto"/>
            </w:pPr>
            <w:r>
              <w:rPr>
                <w:sz w:val="19"/>
              </w:rPr>
            </w:r>
            <w:r>
              <w:rPr>
                <w:sz w:val="19"/>
              </w:rPr>
              <w:t>Regime probabilities</w:t>
            </w:r>
          </w:p>
        </w:tc>
        <w:tc>
          <w:tcPr>
            <w:tcW w:type="dxa" w:w="2520"/>
          </w:tcPr>
          <w:p>
            <w:pPr>
              <w:spacing w:after="40" w:before="40" w:line="240" w:lineRule="auto"/>
            </w:pPr>
            <w:r>
              <w:rPr>
                <w:sz w:val="19"/>
              </w:rPr>
            </w:r>
            <w:r>
              <w:rPr>
                <w:sz w:val="19"/>
              </w:rPr>
              <w:t>Three-element distribution</w:t>
            </w:r>
          </w:p>
        </w:tc>
        <w:tc>
          <w:tcPr>
            <w:tcW w:type="dxa" w:w="4680"/>
          </w:tcPr>
          <w:p>
            <w:pPr>
              <w:spacing w:after="40" w:before="40" w:line="240" w:lineRule="auto"/>
            </w:pPr>
            <w:r>
              <w:rPr>
                <w:sz w:val="19"/>
              </w:rPr>
            </w:r>
            <w:r>
              <w:rPr>
                <w:sz w:val="19"/>
              </w:rPr>
              <w:t>Soft assignment over the learned regimes, retained as a distribution rather than a hard label so that transitional periods are represented honestly</w:t>
            </w:r>
          </w:p>
        </w:tc>
      </w:tr>
      <w:tr>
        <w:tc>
          <w:tcPr>
            <w:tcW w:type="dxa" w:w="2160"/>
          </w:tcPr>
          <w:p>
            <w:pPr>
              <w:spacing w:after="40" w:before="40" w:line="240" w:lineRule="auto"/>
            </w:pPr>
            <w:r>
              <w:rPr>
                <w:sz w:val="19"/>
              </w:rPr>
            </w:r>
            <w:r>
              <w:rPr>
                <w:sz w:val="19"/>
              </w:rPr>
              <w:t>Feature importance</w:t>
            </w:r>
          </w:p>
        </w:tc>
        <w:tc>
          <w:tcPr>
            <w:tcW w:type="dxa" w:w="2520"/>
          </w:tcPr>
          <w:p>
            <w:pPr>
              <w:spacing w:after="40" w:before="40" w:line="240" w:lineRule="auto"/>
            </w:pPr>
            <w:r>
              <w:rPr>
                <w:sz w:val="19"/>
              </w:rPr>
            </w:r>
            <w:r>
              <w:rPr>
                <w:sz w:val="19"/>
              </w:rPr>
              <w:t>Weights over 15 features per asset per day</w:t>
            </w:r>
          </w:p>
        </w:tc>
        <w:tc>
          <w:tcPr>
            <w:tcW w:type="dxa" w:w="4680"/>
          </w:tcPr>
          <w:p>
            <w:pPr>
              <w:spacing w:after="40" w:before="40" w:line="240" w:lineRule="auto"/>
            </w:pPr>
            <w:r>
              <w:rPr>
                <w:sz w:val="19"/>
              </w:rPr>
            </w:r>
            <w:r>
              <w:rPr>
                <w:sz w:val="19"/>
              </w:rPr>
              <w:t>Variable Selection Network output; shows which indicators drove each decision</w:t>
            </w:r>
          </w:p>
        </w:tc>
      </w:tr>
      <w:tr>
        <w:tc>
          <w:tcPr>
            <w:tcW w:type="dxa" w:w="2160"/>
          </w:tcPr>
          <w:p>
            <w:pPr>
              <w:spacing w:after="40" w:before="40" w:line="240" w:lineRule="auto"/>
            </w:pPr>
            <w:r>
              <w:rPr>
                <w:sz w:val="19"/>
              </w:rPr>
            </w:r>
            <w:r>
              <w:rPr>
                <w:sz w:val="19"/>
              </w:rPr>
              <w:t>Temporal attention</w:t>
            </w:r>
          </w:p>
        </w:tc>
        <w:tc>
          <w:tcPr>
            <w:tcW w:type="dxa" w:w="2520"/>
          </w:tcPr>
          <w:p>
            <w:pPr>
              <w:spacing w:after="40" w:before="40" w:line="240" w:lineRule="auto"/>
            </w:pPr>
            <w:r>
              <w:rPr>
                <w:sz w:val="19"/>
              </w:rPr>
            </w:r>
            <w:r>
              <w:rPr>
                <w:sz w:val="19"/>
              </w:rPr>
              <w:t>Day-by-day attention matrix per asset</w:t>
            </w:r>
          </w:p>
        </w:tc>
        <w:tc>
          <w:tcPr>
            <w:tcW w:type="dxa" w:w="4680"/>
          </w:tcPr>
          <w:p>
            <w:pPr>
              <w:spacing w:after="40" w:before="40" w:line="240" w:lineRule="auto"/>
            </w:pPr>
            <w:r>
              <w:rPr>
                <w:sz w:val="19"/>
              </w:rPr>
            </w:r>
            <w:r>
              <w:rPr>
                <w:sz w:val="19"/>
              </w:rPr>
              <w:t>Shows which days within the look-back window informed the decision</w:t>
            </w:r>
          </w:p>
        </w:tc>
      </w:tr>
      <w:tr>
        <w:tc>
          <w:tcPr>
            <w:tcW w:type="dxa" w:w="2160"/>
          </w:tcPr>
          <w:p>
            <w:pPr>
              <w:spacing w:after="40" w:before="40" w:line="240" w:lineRule="auto"/>
            </w:pPr>
            <w:r>
              <w:rPr>
                <w:sz w:val="19"/>
              </w:rPr>
            </w:r>
            <w:r>
              <w:rPr>
                <w:sz w:val="19"/>
              </w:rPr>
              <w:t>Inter-asset attention</w:t>
            </w:r>
          </w:p>
        </w:tc>
        <w:tc>
          <w:tcPr>
            <w:tcW w:type="dxa" w:w="2520"/>
          </w:tcPr>
          <w:p>
            <w:pPr>
              <w:spacing w:after="40" w:before="40" w:line="240" w:lineRule="auto"/>
            </w:pPr>
            <w:r>
              <w:rPr>
                <w:sz w:val="19"/>
              </w:rPr>
            </w:r>
            <w:r>
              <w:rPr>
                <w:sz w:val="19"/>
              </w:rPr>
              <w:t>Asset-by-asset matrix per graph layer</w:t>
            </w:r>
          </w:p>
        </w:tc>
        <w:tc>
          <w:tcPr>
            <w:tcW w:type="dxa" w:w="4680"/>
          </w:tcPr>
          <w:p>
            <w:pPr>
              <w:spacing w:after="40" w:before="40" w:line="240" w:lineRule="auto"/>
            </w:pPr>
            <w:r>
              <w:rPr>
                <w:sz w:val="19"/>
              </w:rPr>
            </w:r>
            <w:r>
              <w:rPr>
                <w:sz w:val="19"/>
              </w:rPr>
              <w:t>A learned, dynamic relationship structure over the universe</w:t>
            </w:r>
          </w:p>
        </w:tc>
      </w:tr>
      <w:tr>
        <w:tc>
          <w:tcPr>
            <w:tcW w:type="dxa" w:w="2160"/>
          </w:tcPr>
          <w:p>
            <w:pPr>
              <w:spacing w:after="40" w:before="40" w:line="240" w:lineRule="auto"/>
            </w:pPr>
            <w:r>
              <w:rPr>
                <w:sz w:val="19"/>
              </w:rPr>
            </w:r>
            <w:r>
              <w:rPr>
                <w:sz w:val="19"/>
              </w:rPr>
              <w:t>Performance summary</w:t>
            </w:r>
          </w:p>
        </w:tc>
        <w:tc>
          <w:tcPr>
            <w:tcW w:type="dxa" w:w="2520"/>
          </w:tcPr>
          <w:p>
            <w:pPr>
              <w:spacing w:after="40" w:before="40" w:line="240" w:lineRule="auto"/>
            </w:pPr>
            <w:r>
              <w:rPr>
                <w:sz w:val="19"/>
              </w:rPr>
            </w:r>
            <w:r>
              <w:rPr>
                <w:sz w:val="19"/>
              </w:rPr>
              <w:t>JSON</w:t>
            </w:r>
          </w:p>
        </w:tc>
        <w:tc>
          <w:tcPr>
            <w:tcW w:type="dxa" w:w="4680"/>
          </w:tcPr>
          <w:p>
            <w:pPr>
              <w:spacing w:after="40" w:before="40" w:line="240" w:lineRule="auto"/>
            </w:pPr>
            <w:r>
              <w:rPr>
                <w:sz w:val="19"/>
              </w:rPr>
            </w:r>
            <w:r>
              <w:rPr>
                <w:sz w:val="19"/>
              </w:rPr>
              <w:t>Total and annualised return, annualised volatility, Sharpe ratio, maximum drawdown, cumulative transaction costs and final portfolio value</w:t>
            </w:r>
          </w:p>
        </w:tc>
      </w:tr>
      <w:tr>
        <w:tc>
          <w:tcPr>
            <w:tcW w:type="dxa" w:w="2160"/>
          </w:tcPr>
          <w:p>
            <w:pPr>
              <w:spacing w:after="40" w:before="40" w:line="240" w:lineRule="auto"/>
            </w:pPr>
            <w:r>
              <w:rPr>
                <w:sz w:val="19"/>
              </w:rPr>
            </w:r>
            <w:r>
              <w:rPr>
                <w:sz w:val="19"/>
              </w:rPr>
              <w:t>Trade history</w:t>
            </w:r>
          </w:p>
        </w:tc>
        <w:tc>
          <w:tcPr>
            <w:tcW w:type="dxa" w:w="2520"/>
          </w:tcPr>
          <w:p>
            <w:pPr>
              <w:spacing w:after="40" w:before="40" w:line="240" w:lineRule="auto"/>
            </w:pPr>
            <w:r>
              <w:rPr>
                <w:sz w:val="19"/>
              </w:rPr>
            </w:r>
            <w:r>
              <w:rPr>
                <w:sz w:val="19"/>
              </w:rPr>
              <w:t>CSV and Excel</w:t>
            </w:r>
          </w:p>
        </w:tc>
        <w:tc>
          <w:tcPr>
            <w:tcW w:type="dxa" w:w="4680"/>
          </w:tcPr>
          <w:p>
            <w:pPr>
              <w:spacing w:after="40" w:before="40" w:line="240" w:lineRule="auto"/>
            </w:pPr>
            <w:r>
              <w:rPr>
                <w:sz w:val="19"/>
              </w:rPr>
            </w:r>
            <w:r>
              <w:rPr>
                <w:sz w:val="19"/>
              </w:rPr>
              <w:t>Per-step portfolio value, return, cost and the weight assigned to each asset</w:t>
            </w:r>
          </w:p>
        </w:tc>
      </w:tr>
    </w:tbl>
    <w:p>
      <w:pPr>
        <w:spacing w:before="60" w:after="240" w:line="240" w:lineRule="auto"/>
        <w:jc w:val="center"/>
      </w:pPr>
      <w:r>
        <w:rPr>
          <w:i/>
          <w:sz w:val="20"/>
        </w:rPr>
        <w:t>Table 4.x.2 — Outputs of the regime-aware portfolio optimization module</w:t>
      </w:r>
    </w:p>
    <w:p>
      <w:r>
        <w:br w:type="page"/>
      </w:r>
    </w:p>
    <w:p>
      <w:pPr>
        <w:pStyle w:val="Heading1"/>
      </w:pPr>
      <w:r>
        <w:t>Chapter 5 — Analysis &amp; Design</w:t>
      </w:r>
    </w:p>
    <w:p>
      <w:pPr>
        <w:pStyle w:val="Heading2"/>
      </w:pPr>
      <w:r>
        <w:t>5.x Regime-Aware Portfolio Optimization Module</w:t>
      </w:r>
    </w:p>
    <w:p>
      <w:pPr>
        <w:pStyle w:val="Heading3"/>
      </w:pPr>
      <w:r>
        <w:t>5.x.1 High-Level Architecture</w:t>
      </w:r>
    </w:p>
    <w:p>
      <w:pPr>
        <w:jc w:val="both"/>
      </w:pPr>
      <w:r>
        <w:t>Figure 5.x.1 shows the complete architecture. The property that distinguishes it from a conventional pipeline is that the dashed boundary around the regime encoder is not a training boundary. The PPO gradient passes straight through it, so the encoder's parameters are shaped by portfolio performance rather than by any auxiliary objective.</w:t>
      </w:r>
    </w:p>
    <w:p>
      <w:pPr>
        <w:spacing w:after="200" w:before="120" w:line="240" w:lineRule="auto"/>
        <w:ind w:left="144"/>
      </w:pPr>
      <w:r>
        <w:rPr>
          <w:rFonts w:ascii="Consolas" w:hAnsi="Consolas"/>
          <w:sz w:val="14"/>
        </w:rPr>
        <w:br/>
        <w:t xml:space="preserve">  RAW CSE DATA                PREPROCESSING                   OBSERVATION</w:t>
        <w:br/>
        <w:t xml:space="preserve">  ------------                -------------                   -----------</w:t>
        <w:br/>
        <w:t xml:space="preserve">  Yearly sector CSV     --&gt;  log returns, volatility,   --&gt;   x_t : (N, L, F)</w:t>
        <w:br/>
        <w:t xml:space="preserve">  COMPANY ID, DATE,          momentum, RSI, MACD,             one L-day window</w:t>
        <w:br/>
        <w:t xml:space="preserve">  CLOSE PRICE, VOLUME        Bollinger %B, volume             per asset</w:t>
        <w:br/>
        <w:t xml:space="preserve">                             ratios -&gt; 15 feats/asset</w:t>
        <w:br/>
        <w:t xml:space="preserve">                             z-score (train-fitted)</w:t>
        <w:br/>
        <w:t xml:space="preserve">                             L-day sliding windows</w:t>
        <w:br/>
        <w:t xml:space="preserve">                                      |</w:t>
        <w:br/>
        <w:t xml:space="preserve">                                      v</w:t>
        <w:br/>
        <w:t xml:space="preserve">  +=============================================================================+</w:t>
        <w:br/>
        <w:t xml:space="preserve">  |            DIFFERENTIABLE REGIME ENCODER   (505,989 parameters)             |</w:t>
        <w:br/>
        <w:t xml:space="preserve">  |                                                                            |</w:t>
        <w:br/>
        <w:t xml:space="preserve">  |   x_t  (N assets folded into the batch dimension)                          |</w:t>
        <w:br/>
        <w:t xml:space="preserve">  |     |                                                                      |</w:t>
        <w:br/>
        <w:t xml:space="preserve">  |     v                                                                      |</w:t>
        <w:br/>
        <w:t xml:space="preserve">  |  [1] V-VSN         soft, time-varying feature selection                    |</w:t>
        <w:br/>
        <w:t xml:space="preserve">  |     v                                                                      |</w:t>
        <w:br/>
        <w:t xml:space="preserve">  |  [2] LSTM x2       temporal memory across the window                       |</w:t>
        <w:br/>
        <w:t xml:space="preserve">  |     v                                                                      |</w:t>
        <w:br/>
        <w:t xml:space="preserve">  |  [3] Temporal MHA  which days matter  -&gt;  take final time step             |</w:t>
        <w:br/>
        <w:t xml:space="preserve">  |     v                                                                      |</w:t>
        <w:br/>
        <w:t xml:space="preserve">  |     H              per-asset temporal embedding                            |</w:t>
        <w:br/>
        <w:t xml:space="preserve">  |     v                                                                      |</w:t>
        <w:br/>
        <w:t xml:space="preserve">  |  [4] Graph Prior   GAT: assets exchange information                        |</w:t>
        <w:br/>
        <w:t xml:space="preserve">  |     v                                                                      |</w:t>
        <w:br/>
        <w:t xml:space="preserve">  |  [5] Fusion MLP    concat(temporal, graph) -&gt; per-asset latent             |</w:t>
        <w:br/>
        <w:t xml:space="preserve">  |     |                                                                      |</w:t>
        <w:br/>
        <w:t xml:space="preserve">  |     +---- h_asset ----------------------------+                            |</w:t>
        <w:br/>
        <w:t xml:space="preserve">  |     |                                         |                            |</w:t>
        <w:br/>
        <w:t xml:space="preserve">  |     +---- mean over assets ---&gt; h_market ---&gt; [6] Regime Classifier        |</w:t>
        <w:br/>
        <w:t xml:space="preserve">  +=====|=========================================|============================+</w:t>
        <w:br/>
        <w:t xml:space="preserve">        |                                         |</w:t>
        <w:br/>
        <w:t xml:space="preserve">        v h_asset                                 v h_market</w:t>
        <w:br/>
        <w:t xml:space="preserve">  +------------------------+            +------------------------+</w:t>
        <w:br/>
        <w:t xml:space="preserve">  |  [7] ACTOR   pi(a|s)   |            |  [8] CRITIC   V(s)     |</w:t>
        <w:br/>
        <w:t xml:space="preserve">  |  shared per-asset MLP  |            |  MLP -&gt; scalar value   |</w:t>
        <w:br/>
        <w:t xml:space="preserve">  |  -&gt; one logit / asset  |            |  + regime conditioning |</w:t>
        <w:br/>
        <w:t xml:space="preserve">  |  -&gt; Gaussian sample    |            +-----------+------------+</w:t>
        <w:br/>
        <w:t xml:space="preserve">  |  -&gt; softmax (long-only)|                        |</w:t>
        <w:br/>
        <w:t xml:space="preserve">  +-----------+------------+                        |</w:t>
        <w:br/>
        <w:t xml:space="preserve">              | weights a_t                         | V(s_t)</w:t>
        <w:br/>
        <w:t xml:space="preserve">              v                                     |</w:t>
        <w:br/>
        <w:t xml:space="preserve">  +------------------------------------+            |</w:t>
        <w:br/>
        <w:t xml:space="preserve">  |  [9] MARKET ENVIRONMENT            |            |</w:t>
        <w:br/>
        <w:t xml:space="preserve">  |  position cap, transaction cost,   |            |</w:t>
        <w:br/>
        <w:t xml:space="preserve">  |  slippage -&gt; realised return       |            |</w:t>
        <w:br/>
        <w:t xml:space="preserve">  +-----------+------------------------+            |</w:t>
        <w:br/>
        <w:t xml:space="preserve">              v                                     |</w:t>
        <w:br/>
        <w:t xml:space="preserve">  +------------------------------------+            |</w:t>
        <w:br/>
        <w:t xml:space="preserve">  | [10] REWARD MODULE                 |            |</w:t>
        <w:br/>
        <w:t xml:space="preserve">  |  rolling Sharpe - costs - EVaR     |            |</w:t>
        <w:br/>
        <w:t xml:space="preserve">  +-----------+------------------------+            |</w:t>
        <w:br/>
        <w:t xml:space="preserve">              | r_t                                 |</w:t>
        <w:br/>
        <w:t xml:space="preserve">              v                                     v</w:t>
        <w:br/>
        <w:t xml:space="preserve">  +--------------------------------------------------------------+</w:t>
        <w:br/>
        <w:t xml:space="preserve">  | [11] GAE(gamma, lambda)  -&gt;  advantages A_t , returns R_t     |</w:t>
        <w:br/>
        <w:t xml:space="preserve">  +----------------------------+---------------------------------+</w:t>
        <w:br/>
        <w:t xml:space="preserve">                               v</w:t>
        <w:br/>
        <w:t xml:space="preserve">  +--------------------------------------------------------------+</w:t>
        <w:br/>
        <w:t xml:space="preserve">  | [12] PPO LOSS = clipped policy + value + entropy              |</w:t>
        <w:br/>
        <w:t xml:space="preserve">  |      ONE optimizer step updates ENCODER + ACTOR + CRITIC      |</w:t>
        <w:br/>
        <w:t xml:space="preserve">  +--------------------------------------------------------------+</w:t>
        <w:br/>
      </w:r>
    </w:p>
    <w:p>
      <w:pPr>
        <w:spacing w:before="60" w:after="240" w:line="240" w:lineRule="auto"/>
        <w:jc w:val="center"/>
      </w:pPr>
      <w:r>
        <w:rPr>
          <w:i/>
          <w:sz w:val="20"/>
        </w:rPr>
        <w:t>Figure 5.x.1 — High-level architecture of the regime-aware portfolio optimization module</w:t>
      </w:r>
    </w:p>
    <w:p>
      <w:pPr>
        <w:jc w:val="both"/>
      </w:pPr>
      <w:r>
        <w:t>The symbols used throughout the remainder of this chapter are defined in Table 5.x.1, with the concrete values from the reported configuration.</w:t>
      </w:r>
    </w:p>
    <w:tbl>
      <w:tblPr>
        <w:tblStyle w:val="TableGrid"/>
        <w:tblW w:type="auto" w:w="0"/>
        <w:jc w:val="center"/>
        <w:tblLook w:firstColumn="1" w:firstRow="1" w:lastColumn="0" w:lastRow="0" w:noHBand="0" w:noVBand="1" w:val="04A0"/>
      </w:tblPr>
      <w:tblGrid>
        <w:gridCol w:w="3048"/>
        <w:gridCol w:w="3048"/>
        <w:gridCol w:w="3048"/>
      </w:tblGrid>
      <w:tr>
        <w:tc>
          <w:tcPr>
            <w:tcW w:type="dxa" w:w="1296"/>
            <w:shd w:val="clear" w:color="auto" w:fill="D9D9D9"/>
          </w:tcPr>
          <w:p>
            <w:pPr>
              <w:spacing w:after="40" w:before="40" w:line="240" w:lineRule="auto"/>
              <w:jc w:val="center"/>
            </w:pPr>
            <w:r/>
            <w:r>
              <w:rPr>
                <w:b/>
                <w:sz w:val="19"/>
              </w:rPr>
              <w:t>Symbol</w:t>
            </w:r>
          </w:p>
        </w:tc>
        <w:tc>
          <w:tcPr>
            <w:tcW w:type="dxa" w:w="5616"/>
            <w:shd w:val="clear" w:color="auto" w:fill="D9D9D9"/>
          </w:tcPr>
          <w:p>
            <w:pPr>
              <w:spacing w:after="40" w:before="40" w:line="240" w:lineRule="auto"/>
              <w:jc w:val="center"/>
            </w:pPr>
            <w:r/>
            <w:r>
              <w:rPr>
                <w:b/>
                <w:sz w:val="19"/>
              </w:rPr>
              <w:t>Meaning</w:t>
            </w:r>
          </w:p>
        </w:tc>
        <w:tc>
          <w:tcPr>
            <w:tcW w:type="dxa" w:w="2448"/>
            <w:shd w:val="clear" w:color="auto" w:fill="D9D9D9"/>
          </w:tcPr>
          <w:p>
            <w:pPr>
              <w:spacing w:after="40" w:before="40" w:line="240" w:lineRule="auto"/>
              <w:jc w:val="center"/>
            </w:pPr>
            <w:r/>
            <w:r>
              <w:rPr>
                <w:b/>
                <w:sz w:val="19"/>
              </w:rPr>
              <w:t>Value</w:t>
            </w:r>
          </w:p>
        </w:tc>
      </w:tr>
      <w:tr>
        <w:tc>
          <w:tcPr>
            <w:tcW w:type="dxa" w:w="1296"/>
          </w:tcPr>
          <w:p>
            <w:pPr>
              <w:spacing w:after="40" w:before="40" w:line="240" w:lineRule="auto"/>
            </w:pPr>
            <w:r/>
            <w:r>
              <w:rPr>
                <w:rFonts w:ascii="Consolas" w:hAnsi="Consolas"/>
                <w:sz w:val="17"/>
              </w:rPr>
              <w:t>N</w:t>
            </w:r>
          </w:p>
        </w:tc>
        <w:tc>
          <w:tcPr>
            <w:tcW w:type="dxa" w:w="5616"/>
          </w:tcPr>
          <w:p>
            <w:pPr>
              <w:spacing w:after="40" w:before="40" w:line="240" w:lineRule="auto"/>
            </w:pPr>
            <w:r>
              <w:rPr>
                <w:sz w:val="19"/>
              </w:rPr>
            </w:r>
            <w:r>
              <w:rPr>
                <w:sz w:val="19"/>
              </w:rPr>
              <w:t>Number of assets in the universe</w:t>
            </w:r>
          </w:p>
        </w:tc>
        <w:tc>
          <w:tcPr>
            <w:tcW w:type="dxa" w:w="2448"/>
          </w:tcPr>
          <w:p>
            <w:pPr>
              <w:spacing w:after="40" w:before="40" w:line="240" w:lineRule="auto"/>
            </w:pPr>
            <w:r>
              <w:rPr>
                <w:sz w:val="19"/>
              </w:rPr>
            </w:r>
            <w:r>
              <w:rPr>
                <w:sz w:val="19"/>
              </w:rPr>
              <w:t>10</w:t>
            </w:r>
          </w:p>
        </w:tc>
      </w:tr>
      <w:tr>
        <w:tc>
          <w:tcPr>
            <w:tcW w:type="dxa" w:w="1296"/>
          </w:tcPr>
          <w:p>
            <w:pPr>
              <w:spacing w:after="40" w:before="40" w:line="240" w:lineRule="auto"/>
            </w:pPr>
            <w:r/>
            <w:r>
              <w:rPr>
                <w:rFonts w:ascii="Consolas" w:hAnsi="Consolas"/>
                <w:sz w:val="17"/>
              </w:rPr>
              <w:t>F</w:t>
            </w:r>
          </w:p>
        </w:tc>
        <w:tc>
          <w:tcPr>
            <w:tcW w:type="dxa" w:w="5616"/>
          </w:tcPr>
          <w:p>
            <w:pPr>
              <w:spacing w:after="40" w:before="40" w:line="240" w:lineRule="auto"/>
            </w:pPr>
            <w:r>
              <w:rPr>
                <w:sz w:val="19"/>
              </w:rPr>
            </w:r>
            <w:r>
              <w:rPr>
                <w:sz w:val="19"/>
              </w:rPr>
              <w:t>Engineered features per asset</w:t>
            </w:r>
          </w:p>
        </w:tc>
        <w:tc>
          <w:tcPr>
            <w:tcW w:type="dxa" w:w="2448"/>
          </w:tcPr>
          <w:p>
            <w:pPr>
              <w:spacing w:after="40" w:before="40" w:line="240" w:lineRule="auto"/>
            </w:pPr>
            <w:r>
              <w:rPr>
                <w:sz w:val="19"/>
              </w:rPr>
            </w:r>
            <w:r>
              <w:rPr>
                <w:sz w:val="19"/>
              </w:rPr>
              <w:t>15</w:t>
            </w:r>
          </w:p>
        </w:tc>
      </w:tr>
      <w:tr>
        <w:tc>
          <w:tcPr>
            <w:tcW w:type="dxa" w:w="1296"/>
          </w:tcPr>
          <w:p>
            <w:pPr>
              <w:spacing w:after="40" w:before="40" w:line="240" w:lineRule="auto"/>
            </w:pPr>
            <w:r/>
            <w:r>
              <w:rPr>
                <w:rFonts w:ascii="Consolas" w:hAnsi="Consolas"/>
                <w:sz w:val="17"/>
              </w:rPr>
              <w:t>L</w:t>
            </w:r>
          </w:p>
        </w:tc>
        <w:tc>
          <w:tcPr>
            <w:tcW w:type="dxa" w:w="5616"/>
          </w:tcPr>
          <w:p>
            <w:pPr>
              <w:spacing w:after="40" w:before="40" w:line="240" w:lineRule="auto"/>
            </w:pPr>
            <w:r>
              <w:rPr>
                <w:sz w:val="19"/>
              </w:rPr>
            </w:r>
            <w:r>
              <w:rPr>
                <w:sz w:val="19"/>
              </w:rPr>
              <w:t>Look-back window length</w:t>
            </w:r>
          </w:p>
        </w:tc>
        <w:tc>
          <w:tcPr>
            <w:tcW w:type="dxa" w:w="2448"/>
          </w:tcPr>
          <w:p>
            <w:pPr>
              <w:spacing w:after="40" w:before="40" w:line="240" w:lineRule="auto"/>
            </w:pPr>
            <w:r>
              <w:rPr>
                <w:sz w:val="19"/>
              </w:rPr>
            </w:r>
            <w:r>
              <w:rPr>
                <w:sz w:val="19"/>
              </w:rPr>
              <w:t>30 trading days</w:t>
            </w:r>
          </w:p>
        </w:tc>
      </w:tr>
      <w:tr>
        <w:tc>
          <w:tcPr>
            <w:tcW w:type="dxa" w:w="1296"/>
          </w:tcPr>
          <w:p>
            <w:pPr>
              <w:spacing w:after="40" w:before="40" w:line="240" w:lineRule="auto"/>
            </w:pPr>
            <w:r/>
            <w:r>
              <w:rPr>
                <w:rFonts w:ascii="Consolas" w:hAnsi="Consolas"/>
                <w:sz w:val="17"/>
              </w:rPr>
              <w:t>d_lstm</w:t>
            </w:r>
          </w:p>
        </w:tc>
        <w:tc>
          <w:tcPr>
            <w:tcW w:type="dxa" w:w="5616"/>
          </w:tcPr>
          <w:p>
            <w:pPr>
              <w:spacing w:after="40" w:before="40" w:line="240" w:lineRule="auto"/>
            </w:pPr>
            <w:r>
              <w:rPr>
                <w:sz w:val="19"/>
              </w:rPr>
            </w:r>
            <w:r>
              <w:rPr>
                <w:sz w:val="19"/>
              </w:rPr>
              <w:t>LSTM and temporal-attention width</w:t>
            </w:r>
          </w:p>
        </w:tc>
        <w:tc>
          <w:tcPr>
            <w:tcW w:type="dxa" w:w="2448"/>
          </w:tcPr>
          <w:p>
            <w:pPr>
              <w:spacing w:after="40" w:before="40" w:line="240" w:lineRule="auto"/>
            </w:pPr>
            <w:r>
              <w:rPr>
                <w:sz w:val="19"/>
              </w:rPr>
            </w:r>
            <w:r>
              <w:rPr>
                <w:sz w:val="19"/>
              </w:rPr>
              <w:t>128</w:t>
            </w:r>
          </w:p>
        </w:tc>
      </w:tr>
      <w:tr>
        <w:tc>
          <w:tcPr>
            <w:tcW w:type="dxa" w:w="1296"/>
          </w:tcPr>
          <w:p>
            <w:pPr>
              <w:spacing w:after="40" w:before="40" w:line="240" w:lineRule="auto"/>
            </w:pPr>
            <w:r/>
            <w:r>
              <w:rPr>
                <w:rFonts w:ascii="Consolas" w:hAnsi="Consolas"/>
                <w:sz w:val="17"/>
              </w:rPr>
              <w:t>d_gnn</w:t>
            </w:r>
          </w:p>
        </w:tc>
        <w:tc>
          <w:tcPr>
            <w:tcW w:type="dxa" w:w="5616"/>
          </w:tcPr>
          <w:p>
            <w:pPr>
              <w:spacing w:after="40" w:before="40" w:line="240" w:lineRule="auto"/>
            </w:pPr>
            <w:r>
              <w:rPr>
                <w:sz w:val="19"/>
              </w:rPr>
            </w:r>
            <w:r>
              <w:rPr>
                <w:sz w:val="19"/>
              </w:rPr>
              <w:t>Graph-attention output width</w:t>
            </w:r>
          </w:p>
        </w:tc>
        <w:tc>
          <w:tcPr>
            <w:tcW w:type="dxa" w:w="2448"/>
          </w:tcPr>
          <w:p>
            <w:pPr>
              <w:spacing w:after="40" w:before="40" w:line="240" w:lineRule="auto"/>
            </w:pPr>
            <w:r>
              <w:rPr>
                <w:sz w:val="19"/>
              </w:rPr>
            </w:r>
            <w:r>
              <w:rPr>
                <w:sz w:val="19"/>
              </w:rPr>
              <w:t>64</w:t>
            </w:r>
          </w:p>
        </w:tc>
      </w:tr>
      <w:tr>
        <w:tc>
          <w:tcPr>
            <w:tcW w:type="dxa" w:w="1296"/>
          </w:tcPr>
          <w:p>
            <w:pPr>
              <w:spacing w:after="40" w:before="40" w:line="240" w:lineRule="auto"/>
            </w:pPr>
            <w:r/>
            <w:r>
              <w:rPr>
                <w:rFonts w:ascii="Consolas" w:hAnsi="Consolas"/>
                <w:sz w:val="17"/>
              </w:rPr>
              <w:t>d_latent</w:t>
            </w:r>
          </w:p>
        </w:tc>
        <w:tc>
          <w:tcPr>
            <w:tcW w:type="dxa" w:w="5616"/>
          </w:tcPr>
          <w:p>
            <w:pPr>
              <w:spacing w:after="40" w:before="40" w:line="240" w:lineRule="auto"/>
            </w:pPr>
            <w:r>
              <w:rPr>
                <w:sz w:val="19"/>
              </w:rPr>
            </w:r>
            <w:r>
              <w:rPr>
                <w:sz w:val="19"/>
              </w:rPr>
              <w:t>Latent state dimension</w:t>
            </w:r>
          </w:p>
        </w:tc>
        <w:tc>
          <w:tcPr>
            <w:tcW w:type="dxa" w:w="2448"/>
          </w:tcPr>
          <w:p>
            <w:pPr>
              <w:spacing w:after="40" w:before="40" w:line="240" w:lineRule="auto"/>
            </w:pPr>
            <w:r>
              <w:rPr>
                <w:sz w:val="19"/>
              </w:rPr>
            </w:r>
            <w:r>
              <w:rPr>
                <w:sz w:val="19"/>
              </w:rPr>
              <w:t>128</w:t>
            </w:r>
          </w:p>
        </w:tc>
      </w:tr>
      <w:tr>
        <w:tc>
          <w:tcPr>
            <w:tcW w:type="dxa" w:w="1296"/>
          </w:tcPr>
          <w:p>
            <w:pPr>
              <w:spacing w:after="40" w:before="40" w:line="240" w:lineRule="auto"/>
            </w:pPr>
            <w:r/>
            <w:r>
              <w:rPr>
                <w:rFonts w:ascii="Consolas" w:hAnsi="Consolas"/>
                <w:sz w:val="17"/>
              </w:rPr>
              <w:t>K</w:t>
            </w:r>
          </w:p>
        </w:tc>
        <w:tc>
          <w:tcPr>
            <w:tcW w:type="dxa" w:w="5616"/>
          </w:tcPr>
          <w:p>
            <w:pPr>
              <w:spacing w:after="40" w:before="40" w:line="240" w:lineRule="auto"/>
            </w:pPr>
            <w:r>
              <w:rPr>
                <w:sz w:val="19"/>
              </w:rPr>
            </w:r>
            <w:r>
              <w:rPr>
                <w:sz w:val="19"/>
              </w:rPr>
              <w:t>Number of latent regimes</w:t>
            </w:r>
          </w:p>
        </w:tc>
        <w:tc>
          <w:tcPr>
            <w:tcW w:type="dxa" w:w="2448"/>
          </w:tcPr>
          <w:p>
            <w:pPr>
              <w:spacing w:after="40" w:before="40" w:line="240" w:lineRule="auto"/>
            </w:pPr>
            <w:r>
              <w:rPr>
                <w:sz w:val="19"/>
              </w:rPr>
            </w:r>
            <w:r>
              <w:rPr>
                <w:sz w:val="19"/>
              </w:rPr>
              <w:t>3</w:t>
            </w:r>
          </w:p>
        </w:tc>
      </w:tr>
      <w:tr>
        <w:tc>
          <w:tcPr>
            <w:tcW w:type="dxa" w:w="1296"/>
          </w:tcPr>
          <w:p>
            <w:pPr>
              <w:spacing w:after="40" w:before="40" w:line="240" w:lineRule="auto"/>
            </w:pPr>
            <w:r/>
            <w:r>
              <w:rPr>
                <w:rFonts w:ascii="Consolas" w:hAnsi="Consolas"/>
                <w:sz w:val="17"/>
              </w:rPr>
              <w:t>B</w:t>
            </w:r>
          </w:p>
        </w:tc>
        <w:tc>
          <w:tcPr>
            <w:tcW w:type="dxa" w:w="5616"/>
          </w:tcPr>
          <w:p>
            <w:pPr>
              <w:spacing w:after="40" w:before="40" w:line="240" w:lineRule="auto"/>
            </w:pPr>
            <w:r>
              <w:rPr>
                <w:sz w:val="19"/>
              </w:rPr>
            </w:r>
            <w:r>
              <w:rPr>
                <w:sz w:val="19"/>
              </w:rPr>
              <w:t>Mini-batch size during the PPO update</w:t>
            </w:r>
          </w:p>
        </w:tc>
        <w:tc>
          <w:tcPr>
            <w:tcW w:type="dxa" w:w="2448"/>
          </w:tcPr>
          <w:p>
            <w:pPr>
              <w:spacing w:after="40" w:before="40" w:line="240" w:lineRule="auto"/>
            </w:pPr>
            <w:r>
              <w:rPr>
                <w:sz w:val="19"/>
              </w:rPr>
            </w:r>
            <w:r>
              <w:rPr>
                <w:sz w:val="19"/>
              </w:rPr>
              <w:t>64</w:t>
            </w:r>
          </w:p>
        </w:tc>
      </w:tr>
    </w:tbl>
    <w:p>
      <w:pPr>
        <w:spacing w:before="60" w:after="240" w:line="240" w:lineRule="auto"/>
        <w:jc w:val="center"/>
      </w:pPr>
      <w:r>
        <w:rPr>
          <w:i/>
          <w:sz w:val="20"/>
        </w:rPr>
        <w:t>Table 5.x.1 — Notation and configured values</w:t>
      </w:r>
    </w:p>
    <w:p>
      <w:pPr>
        <w:pStyle w:val="Heading3"/>
      </w:pPr>
      <w:r>
        <w:t>5.x.2 Component 1 — Variable Selection Network</w:t>
      </w:r>
    </w:p>
    <w:p>
      <w:pPr>
        <w:jc w:val="both"/>
      </w:pPr>
      <w:r>
        <w:t>The relevance of a technical indicator is not constant. Realised volatility carries most of the information during a market dislocation, while momentum measures carry more during a sustained trend. Rather than fixing the relative weight of the fifteen features in advance, the Variable Selection Network learns a soft importance distribution over them at every time step and forms a weighted summary.</w:t>
      </w:r>
    </w:p>
    <w:p>
      <w:pPr>
        <w:jc w:val="both"/>
      </w:pPr>
      <w:r>
        <w:t>The building block is a Gated Residual Network, which applies a linear transform, an ELU non-linearity, a second linear transform and dropout, then gates the result with a sigmoid before adding a residual connection and applying layer normalisation. The gate allows the block to suppress its own non-linear path when the identity mapping is preferable, which stabilises training.</w:t>
      </w:r>
    </w:p>
    <w:p>
      <w:pPr>
        <w:jc w:val="both"/>
      </w:pPr>
      <w:r>
        <w:t>The selection branch maps the fifteen raw features to fifteen logits and applies a softmax, yielding importance weights that sum to one. In parallel, a shared linear projection lifts each scalar feature into its own embedding. The two are combined by weighting each embedding by its importance score and summing. The canonical formulation uses one gated network per variable; the implementation here uses a single shared projection so that the parameter cost does not grow with the number of variables, which matters if macroeconomic inputs are added later.</w:t>
      </w:r>
    </w:p>
    <w:tbl>
      <w:tblPr>
        <w:tblStyle w:val="TableGrid"/>
        <w:tblW w:type="auto" w:w="0"/>
        <w:jc w:val="center"/>
        <w:tblLook w:firstColumn="1" w:firstRow="1" w:lastColumn="0" w:lastRow="0" w:noHBand="0" w:noVBand="1" w:val="04A0"/>
      </w:tblPr>
      <w:tblGrid>
        <w:gridCol w:w="2286"/>
        <w:gridCol w:w="2286"/>
        <w:gridCol w:w="2286"/>
        <w:gridCol w:w="2286"/>
      </w:tblGrid>
      <w:tr>
        <w:tc>
          <w:tcPr>
            <w:tcW w:type="dxa" w:w="1080"/>
            <w:shd w:val="clear" w:color="auto" w:fill="D9D9D9"/>
          </w:tcPr>
          <w:p>
            <w:pPr>
              <w:spacing w:after="40" w:before="40" w:line="240" w:lineRule="auto"/>
              <w:jc w:val="center"/>
            </w:pPr>
            <w:r/>
            <w:r>
              <w:rPr>
                <w:b/>
                <w:sz w:val="19"/>
              </w:rPr>
              <w:t>Role</w:t>
            </w:r>
          </w:p>
        </w:tc>
        <w:tc>
          <w:tcPr>
            <w:tcW w:type="dxa" w:w="1656"/>
            <w:shd w:val="clear" w:color="auto" w:fill="D9D9D9"/>
          </w:tcPr>
          <w:p>
            <w:pPr>
              <w:spacing w:after="40" w:before="40" w:line="240" w:lineRule="auto"/>
              <w:jc w:val="center"/>
            </w:pPr>
            <w:r/>
            <w:r>
              <w:rPr>
                <w:b/>
                <w:sz w:val="19"/>
              </w:rPr>
              <w:t>Tensor</w:t>
            </w:r>
          </w:p>
        </w:tc>
        <w:tc>
          <w:tcPr>
            <w:tcW w:type="dxa" w:w="1872"/>
            <w:shd w:val="clear" w:color="auto" w:fill="D9D9D9"/>
          </w:tcPr>
          <w:p>
            <w:pPr>
              <w:spacing w:after="40" w:before="40" w:line="240" w:lineRule="auto"/>
              <w:jc w:val="center"/>
            </w:pPr>
            <w:r/>
            <w:r>
              <w:rPr>
                <w:b/>
                <w:sz w:val="19"/>
              </w:rPr>
              <w:t>Shape</w:t>
            </w:r>
          </w:p>
        </w:tc>
        <w:tc>
          <w:tcPr>
            <w:tcW w:type="dxa" w:w="4752"/>
            <w:shd w:val="clear" w:color="auto" w:fill="D9D9D9"/>
          </w:tcPr>
          <w:p>
            <w:pPr>
              <w:spacing w:after="40" w:before="40" w:line="240" w:lineRule="auto"/>
              <w:jc w:val="center"/>
            </w:pPr>
            <w:r/>
            <w:r>
              <w:rPr>
                <w:b/>
                <w:sz w:val="19"/>
              </w:rPr>
              <w:t>Meaning</w:t>
            </w:r>
          </w:p>
        </w:tc>
      </w:tr>
      <w:tr>
        <w:tc>
          <w:tcPr>
            <w:tcW w:type="dxa" w:w="1080"/>
          </w:tcPr>
          <w:p>
            <w:pPr>
              <w:spacing w:after="40" w:before="40" w:line="240" w:lineRule="auto"/>
            </w:pPr>
            <w:r>
              <w:rPr>
                <w:sz w:val="19"/>
              </w:rPr>
            </w:r>
            <w:r>
              <w:rPr>
                <w:sz w:val="19"/>
              </w:rPr>
              <w:t>Input</w:t>
            </w:r>
          </w:p>
        </w:tc>
        <w:tc>
          <w:tcPr>
            <w:tcW w:type="dxa" w:w="1656"/>
          </w:tcPr>
          <w:p>
            <w:pPr>
              <w:spacing w:after="40" w:before="40" w:line="240" w:lineRule="auto"/>
            </w:pPr>
            <w:r/>
            <w:r>
              <w:rPr>
                <w:rFonts w:ascii="Consolas" w:hAnsi="Consolas"/>
                <w:sz w:val="17"/>
              </w:rPr>
              <w:t>x</w:t>
            </w:r>
          </w:p>
        </w:tc>
        <w:tc>
          <w:tcPr>
            <w:tcW w:type="dxa" w:w="1872"/>
          </w:tcPr>
          <w:p>
            <w:pPr>
              <w:spacing w:after="40" w:before="40" w:line="240" w:lineRule="auto"/>
            </w:pPr>
            <w:r/>
            <w:r>
              <w:rPr>
                <w:rFonts w:ascii="Consolas" w:hAnsi="Consolas"/>
                <w:sz w:val="17"/>
              </w:rPr>
              <w:t>(N, L, F)</w:t>
            </w:r>
          </w:p>
        </w:tc>
        <w:tc>
          <w:tcPr>
            <w:tcW w:type="dxa" w:w="4752"/>
          </w:tcPr>
          <w:p>
            <w:pPr>
              <w:spacing w:after="40" w:before="40" w:line="240" w:lineRule="auto"/>
            </w:pPr>
            <w:r>
              <w:rPr>
                <w:sz w:val="19"/>
              </w:rPr>
            </w:r>
            <w:r>
              <w:rPr>
                <w:sz w:val="19"/>
              </w:rPr>
              <w:t>Per-asset window, assets folded into the batch</w:t>
            </w:r>
          </w:p>
        </w:tc>
      </w:tr>
      <w:tr>
        <w:tc>
          <w:tcPr>
            <w:tcW w:type="dxa" w:w="1080"/>
          </w:tcPr>
          <w:p>
            <w:pPr>
              <w:spacing w:after="40" w:before="40" w:line="240" w:lineRule="auto"/>
            </w:pPr>
            <w:r>
              <w:rPr>
                <w:sz w:val="19"/>
              </w:rPr>
            </w:r>
            <w:r>
              <w:rPr>
                <w:sz w:val="19"/>
              </w:rPr>
              <w:t>Output</w:t>
            </w:r>
          </w:p>
        </w:tc>
        <w:tc>
          <w:tcPr>
            <w:tcW w:type="dxa" w:w="1656"/>
          </w:tcPr>
          <w:p>
            <w:pPr>
              <w:spacing w:after="40" w:before="40" w:line="240" w:lineRule="auto"/>
            </w:pPr>
            <w:r/>
            <w:r>
              <w:rPr>
                <w:rFonts w:ascii="Consolas" w:hAnsi="Consolas"/>
                <w:sz w:val="17"/>
              </w:rPr>
              <w:t>selected</w:t>
            </w:r>
          </w:p>
        </w:tc>
        <w:tc>
          <w:tcPr>
            <w:tcW w:type="dxa" w:w="1872"/>
          </w:tcPr>
          <w:p>
            <w:pPr>
              <w:spacing w:after="40" w:before="40" w:line="240" w:lineRule="auto"/>
            </w:pPr>
            <w:r/>
            <w:r>
              <w:rPr>
                <w:rFonts w:ascii="Consolas" w:hAnsi="Consolas"/>
                <w:sz w:val="17"/>
              </w:rPr>
              <w:t>(N, L, 64)</w:t>
            </w:r>
          </w:p>
        </w:tc>
        <w:tc>
          <w:tcPr>
            <w:tcW w:type="dxa" w:w="4752"/>
          </w:tcPr>
          <w:p>
            <w:pPr>
              <w:spacing w:after="40" w:before="40" w:line="240" w:lineRule="auto"/>
            </w:pPr>
            <w:r>
              <w:rPr>
                <w:sz w:val="19"/>
              </w:rPr>
            </w:r>
            <w:r>
              <w:rPr>
                <w:sz w:val="19"/>
              </w:rPr>
              <w:t>Feature-selected representation per asset per day</w:t>
            </w:r>
          </w:p>
        </w:tc>
      </w:tr>
      <w:tr>
        <w:tc>
          <w:tcPr>
            <w:tcW w:type="dxa" w:w="1080"/>
          </w:tcPr>
          <w:p>
            <w:pPr>
              <w:spacing w:after="40" w:before="40" w:line="240" w:lineRule="auto"/>
            </w:pPr>
            <w:r>
              <w:rPr>
                <w:sz w:val="19"/>
              </w:rPr>
            </w:r>
            <w:r>
              <w:rPr>
                <w:sz w:val="19"/>
              </w:rPr>
              <w:t>Output</w:t>
            </w:r>
          </w:p>
        </w:tc>
        <w:tc>
          <w:tcPr>
            <w:tcW w:type="dxa" w:w="1656"/>
          </w:tcPr>
          <w:p>
            <w:pPr>
              <w:spacing w:after="40" w:before="40" w:line="240" w:lineRule="auto"/>
            </w:pPr>
            <w:r/>
            <w:r>
              <w:rPr>
                <w:rFonts w:ascii="Consolas" w:hAnsi="Consolas"/>
                <w:sz w:val="17"/>
              </w:rPr>
              <w:t>weights</w:t>
            </w:r>
          </w:p>
        </w:tc>
        <w:tc>
          <w:tcPr>
            <w:tcW w:type="dxa" w:w="1872"/>
          </w:tcPr>
          <w:p>
            <w:pPr>
              <w:spacing w:after="40" w:before="40" w:line="240" w:lineRule="auto"/>
            </w:pPr>
            <w:r/>
            <w:r>
              <w:rPr>
                <w:rFonts w:ascii="Consolas" w:hAnsi="Consolas"/>
                <w:sz w:val="17"/>
              </w:rPr>
              <w:t>(N, L, F)</w:t>
            </w:r>
          </w:p>
        </w:tc>
        <w:tc>
          <w:tcPr>
            <w:tcW w:type="dxa" w:w="4752"/>
          </w:tcPr>
          <w:p>
            <w:pPr>
              <w:spacing w:after="40" w:before="40" w:line="240" w:lineRule="auto"/>
            </w:pPr>
            <w:r>
              <w:rPr>
                <w:sz w:val="19"/>
              </w:rPr>
            </w:r>
            <w:r>
              <w:rPr>
                <w:sz w:val="19"/>
              </w:rPr>
              <w:t>Softmax importance over features — interpretability output</w:t>
            </w:r>
          </w:p>
        </w:tc>
      </w:tr>
    </w:tbl>
    <w:p>
      <w:pPr>
        <w:spacing w:before="60" w:after="240" w:line="240" w:lineRule="auto"/>
        <w:jc w:val="center"/>
      </w:pPr>
      <w:r>
        <w:rPr>
          <w:i/>
          <w:sz w:val="20"/>
        </w:rPr>
        <w:t>Table 5.x.2 — Input and output of the Variable Selection Network</w:t>
      </w:r>
    </w:p>
    <w:p>
      <w:pPr>
        <w:pStyle w:val="Heading3"/>
      </w:pPr>
      <w:r>
        <w:t>5.x.3 Component 2 — LSTM Temporal Memory</w:t>
      </w:r>
    </w:p>
    <w:p>
      <w:pPr>
        <w:jc w:val="both"/>
      </w:pPr>
      <w:r>
        <w:t>The Variable Selection Network treats each day independently. The LSTM supplies memory: it reads the selected vectors in chronological order and maintains a cell state, which allows it to represent statements of the form "volatility has been rising for two weeks" rather than merely "volatility is high today".</w:t>
      </w:r>
    </w:p>
    <w:p>
      <w:pPr>
        <w:jc w:val="both"/>
      </w:pPr>
      <w:r>
        <w:t>Two design choices in the implementation are worth recording because both were made in response to observed failures. First, the recurrent weights are initialised orthogonally and the forget-gate bias is initialised to one, following [M10], so that the cell state does not decay to zero across the window. Second, layer normalisation is applied to the LSTM output. Without it, a two-layer stack at default initialisation attenuates the signal by roughly a factor of four per layer, with the consequence that the pooled market state becomes almost independent of the observation and the policy emits an identical allocation on every day. This was an observed failure mode, not a hypothetical one.</w:t>
      </w:r>
    </w:p>
    <w:p>
      <w:pPr>
        <w:jc w:val="both"/>
      </w:pPr>
      <w:r>
        <w:t>The LSTM hidden state is deliberately not carried between decision steps. Each observation is already a complete window, so the history is present in the input. More importantly, the PPO update re-encodes each stored observation with a fresh hidden state; if the rollout had carried state forward, the stored log-probability would refer to a different conditioning state than the one re-evaluated during the update, and the importance ratio at the heart of PPO would be invalid from the first epoch.</w:t>
      </w:r>
    </w:p>
    <w:p>
      <w:pPr>
        <w:pStyle w:val="Heading3"/>
      </w:pPr>
      <w:r>
        <w:t>5.x.4 Component 3 — Temporal Multi-Head Attention</w:t>
      </w:r>
    </w:p>
    <w:p>
      <w:pPr>
        <w:jc w:val="both"/>
      </w:pPr>
      <w:r>
        <w:t>A recurrent model compresses everything into a running state and tends to over-weight recent observations. Self-attention allows any day in the window to be referenced directly at full strength, so a sharp move three weeks earlier is not washed out by recency. Sinusoidal positional encoding is added first, because attention is otherwise order-blind and day ordering is essential. Four attention heads operate on subspaces of the representation, followed by a residual connection, layer normalisation and a position-wise feed-forward network with its own residual and normalisation, in the standard transformer encoder arrangement. Only the final position is retained: after attention, it has aggregated information from the entire window and therefore serves as the summary of it.</w:t>
      </w:r>
    </w:p>
    <w:p>
      <w:pPr>
        <w:pStyle w:val="Heading3"/>
      </w:pPr>
      <w:r>
        <w:t>5.x.5 Component 4 — Graph Attention Prior</w:t>
      </w:r>
    </w:p>
    <w:p>
      <w:pPr>
        <w:jc w:val="both"/>
      </w:pPr>
      <w:r>
        <w:t>Up to this point every asset is processed in isolation by the same shared weights. The graph component introduces cross-sectional information. The assets are treated as nodes; each node computes attention coefficients over its neighbours and aggregates their representations, so that evidence about one banking counter informs the representation of another. Two graph attention layers are applied. The first concatenates its two attention heads and the second averages them, and each is followed by an ELU non-linearity, layer normalisation and a projected residual connection.</w:t>
      </w:r>
    </w:p>
    <w:p>
      <w:pPr>
        <w:jc w:val="both"/>
      </w:pPr>
      <w:r>
        <w:t>The residual connections are essential rather than decorative. Stacked graph attention over a densely connected graph oversmooths: near-uniform attention repeatedly averages node features together until genuinely different assets map to numerically indistinguishable embeddings. In development this was measured directly — the cross-node standard deviation fell from 0.54 at the input to approximately 0.03 after the first layer and to the order of 1e-9 after the second when the residual path was absent. Because concatenation changes the layer width, a shape-matched residual would never activate, so a projected residual is used instead.</w:t>
      </w:r>
    </w:p>
    <w:p>
      <w:pPr>
        <w:spacing w:before="120" w:after="200" w:line="276" w:lineRule="auto"/>
        <w:ind w:left="360"/>
      </w:pPr>
      <w:r>
        <w:rPr>
          <w:b/>
          <w:color w:val="B00000"/>
          <w:sz w:val="20"/>
        </w:rPr>
        <w:t xml:space="preserve">[ACTION REQUIRED] </w:t>
      </w:r>
      <w:r>
        <w:rPr>
          <w:color w:val="B00000"/>
          <w:sz w:val="20"/>
        </w:rPr>
        <w:t>§5.x.5 states a real limitation that you should be ready to discuss. The adjacency matrix is declared as a learnable parameter, but `build_adjacency()` computes sigmoid(A) and then thresholds with (A &gt; 0), which is always true because the sigmoid is strictly positive. The graph is therefore fully connected and the threshold blocks the gradient, so the learnable adjacency does not in fact learn. The per-edge attention coefficients ARE learned, so the block is not inert — but describe it as "learned edge attention over a fully connected graph", never as "learned graph structure". This is listed as further work in §8.x.</w:t>
      </w:r>
    </w:p>
    <w:p>
      <w:pPr>
        <w:pStyle w:val="Heading3"/>
      </w:pPr>
      <w:r>
        <w:t>5.x.6 Component 5 — Fusion, Pooling and Regime Classification</w:t>
      </w:r>
    </w:p>
    <w:p>
      <w:pPr>
        <w:jc w:val="both"/>
      </w:pPr>
      <w:r>
        <w:t>Two views of each asset now exist: its own temporal history and what the rest of the sector implies about it. A fusion network concatenates them and maps the result to a single latent state per asset. Averaging across assets produces a market-level state, which is used by the critic, since a value estimate is a single scalar, and by the regime classifier, since a market regime is a property of the market rather than of an individual counter.</w:t>
      </w:r>
    </w:p>
    <w:p>
      <w:pPr>
        <w:jc w:val="both"/>
      </w:pPr>
      <w:r>
        <w:t>The regime classifier is a small network producing three logits, converted to a distribution by a softmax with a learnable temperature. Two aspects of this design are deliberate. The output is a distribution rather than a hard label, which keeps the component differentiable and allows the model to express genuine uncertainty during a transition instead of committing prematurely. The temperature is a learned parameter, so the model determines its own regime confidence rather than having a sharpness imposed on it.</w:t>
      </w:r>
    </w:p>
    <w:tbl>
      <w:tblPr>
        <w:tblStyle w:val="TableGrid"/>
        <w:tblW w:type="auto" w:w="0"/>
        <w:jc w:val="center"/>
        <w:tblLook w:firstColumn="1" w:firstRow="1" w:lastColumn="0" w:lastRow="0" w:noHBand="0" w:noVBand="1" w:val="04A0"/>
      </w:tblPr>
      <w:tblGrid>
        <w:gridCol w:w="2286"/>
        <w:gridCol w:w="2286"/>
        <w:gridCol w:w="2286"/>
        <w:gridCol w:w="2286"/>
      </w:tblGrid>
      <w:tr>
        <w:tc>
          <w:tcPr>
            <w:tcW w:type="dxa" w:w="1656"/>
            <w:shd w:val="clear" w:color="auto" w:fill="D9D9D9"/>
          </w:tcPr>
          <w:p>
            <w:pPr>
              <w:spacing w:after="40" w:before="40" w:line="240" w:lineRule="auto"/>
              <w:jc w:val="center"/>
            </w:pPr>
            <w:r/>
            <w:r>
              <w:rPr>
                <w:b/>
                <w:sz w:val="19"/>
              </w:rPr>
              <w:t>Output</w:t>
            </w:r>
          </w:p>
        </w:tc>
        <w:tc>
          <w:tcPr>
            <w:tcW w:type="dxa" w:w="1224"/>
            <w:shd w:val="clear" w:color="auto" w:fill="D9D9D9"/>
          </w:tcPr>
          <w:p>
            <w:pPr>
              <w:spacing w:after="40" w:before="40" w:line="240" w:lineRule="auto"/>
              <w:jc w:val="center"/>
            </w:pPr>
            <w:r/>
            <w:r>
              <w:rPr>
                <w:b/>
                <w:sz w:val="19"/>
              </w:rPr>
              <w:t>Shape</w:t>
            </w:r>
          </w:p>
        </w:tc>
        <w:tc>
          <w:tcPr>
            <w:tcW w:type="dxa" w:w="2160"/>
            <w:shd w:val="clear" w:color="auto" w:fill="D9D9D9"/>
          </w:tcPr>
          <w:p>
            <w:pPr>
              <w:spacing w:after="40" w:before="40" w:line="240" w:lineRule="auto"/>
              <w:jc w:val="center"/>
            </w:pPr>
            <w:r/>
            <w:r>
              <w:rPr>
                <w:b/>
                <w:sz w:val="19"/>
              </w:rPr>
              <w:t>Consumer</w:t>
            </w:r>
          </w:p>
        </w:tc>
        <w:tc>
          <w:tcPr>
            <w:tcW w:type="dxa" w:w="4320"/>
            <w:shd w:val="clear" w:color="auto" w:fill="D9D9D9"/>
          </w:tcPr>
          <w:p>
            <w:pPr>
              <w:spacing w:after="40" w:before="40" w:line="240" w:lineRule="auto"/>
              <w:jc w:val="center"/>
            </w:pPr>
            <w:r/>
            <w:r>
              <w:rPr>
                <w:b/>
                <w:sz w:val="19"/>
              </w:rPr>
              <w:t>Rationale</w:t>
            </w:r>
          </w:p>
        </w:tc>
      </w:tr>
      <w:tr>
        <w:tc>
          <w:tcPr>
            <w:tcW w:type="dxa" w:w="1656"/>
          </w:tcPr>
          <w:p>
            <w:pPr>
              <w:spacing w:after="40" w:before="40" w:line="240" w:lineRule="auto"/>
            </w:pPr>
            <w:r>
              <w:rPr>
                <w:sz w:val="19"/>
              </w:rPr>
            </w:r>
            <w:r>
              <w:rPr>
                <w:rFonts w:ascii="Consolas" w:hAnsi="Consolas"/>
                <w:sz w:val="19"/>
              </w:rPr>
              <w:t>h_asset</w:t>
            </w:r>
          </w:p>
        </w:tc>
        <w:tc>
          <w:tcPr>
            <w:tcW w:type="dxa" w:w="1224"/>
          </w:tcPr>
          <w:p>
            <w:pPr>
              <w:spacing w:after="40" w:before="40" w:line="240" w:lineRule="auto"/>
            </w:pPr>
            <w:r>
              <w:rPr>
                <w:sz w:val="19"/>
              </w:rPr>
            </w:r>
            <w:r>
              <w:rPr>
                <w:sz w:val="19"/>
              </w:rPr>
              <w:t>(N, 128)</w:t>
            </w:r>
          </w:p>
        </w:tc>
        <w:tc>
          <w:tcPr>
            <w:tcW w:type="dxa" w:w="2160"/>
          </w:tcPr>
          <w:p>
            <w:pPr>
              <w:spacing w:after="40" w:before="40" w:line="240" w:lineRule="auto"/>
            </w:pPr>
            <w:r>
              <w:rPr>
                <w:sz w:val="19"/>
              </w:rPr>
            </w:r>
            <w:r>
              <w:rPr>
                <w:sz w:val="19"/>
              </w:rPr>
              <w:t>Actor</w:t>
            </w:r>
          </w:p>
        </w:tc>
        <w:tc>
          <w:tcPr>
            <w:tcW w:type="dxa" w:w="4320"/>
          </w:tcPr>
          <w:p>
            <w:pPr>
              <w:spacing w:after="40" w:before="40" w:line="240" w:lineRule="auto"/>
            </w:pPr>
            <w:r>
              <w:rPr>
                <w:sz w:val="19"/>
              </w:rPr>
            </w:r>
            <w:r>
              <w:rPr>
                <w:sz w:val="19"/>
              </w:rPr>
              <w:t>The actor decides a weight per asset and therefore needs each asset's own evidence</w:t>
            </w:r>
          </w:p>
        </w:tc>
      </w:tr>
      <w:tr>
        <w:tc>
          <w:tcPr>
            <w:tcW w:type="dxa" w:w="1656"/>
          </w:tcPr>
          <w:p>
            <w:pPr>
              <w:spacing w:after="40" w:before="40" w:line="240" w:lineRule="auto"/>
            </w:pPr>
            <w:r>
              <w:rPr>
                <w:sz w:val="19"/>
              </w:rPr>
            </w:r>
            <w:r>
              <w:rPr>
                <w:rFonts w:ascii="Consolas" w:hAnsi="Consolas"/>
                <w:sz w:val="19"/>
              </w:rPr>
              <w:t>h_market</w:t>
            </w:r>
          </w:p>
        </w:tc>
        <w:tc>
          <w:tcPr>
            <w:tcW w:type="dxa" w:w="1224"/>
          </w:tcPr>
          <w:p>
            <w:pPr>
              <w:spacing w:after="40" w:before="40" w:line="240" w:lineRule="auto"/>
            </w:pPr>
            <w:r>
              <w:rPr>
                <w:sz w:val="19"/>
              </w:rPr>
            </w:r>
            <w:r>
              <w:rPr>
                <w:sz w:val="19"/>
              </w:rPr>
              <w:t>(128,)</w:t>
            </w:r>
          </w:p>
        </w:tc>
        <w:tc>
          <w:tcPr>
            <w:tcW w:type="dxa" w:w="2160"/>
          </w:tcPr>
          <w:p>
            <w:pPr>
              <w:spacing w:after="40" w:before="40" w:line="240" w:lineRule="auto"/>
            </w:pPr>
            <w:r>
              <w:rPr>
                <w:sz w:val="19"/>
              </w:rPr>
            </w:r>
            <w:r>
              <w:rPr>
                <w:sz w:val="19"/>
              </w:rPr>
              <w:t>Critic, regime classifier</w:t>
            </w:r>
          </w:p>
        </w:tc>
        <w:tc>
          <w:tcPr>
            <w:tcW w:type="dxa" w:w="4320"/>
          </w:tcPr>
          <w:p>
            <w:pPr>
              <w:spacing w:after="40" w:before="40" w:line="240" w:lineRule="auto"/>
            </w:pPr>
            <w:r>
              <w:rPr>
                <w:sz w:val="19"/>
              </w:rPr>
            </w:r>
            <w:r>
              <w:rPr>
                <w:sz w:val="19"/>
              </w:rPr>
              <w:t>A value estimate is a scalar and a regime is a market-level concept; both require a single pooled vector</w:t>
            </w:r>
          </w:p>
        </w:tc>
      </w:tr>
      <w:tr>
        <w:tc>
          <w:tcPr>
            <w:tcW w:type="dxa" w:w="1656"/>
          </w:tcPr>
          <w:p>
            <w:pPr>
              <w:spacing w:after="40" w:before="40" w:line="240" w:lineRule="auto"/>
            </w:pPr>
            <w:r>
              <w:rPr>
                <w:sz w:val="19"/>
              </w:rPr>
            </w:r>
            <w:r>
              <w:rPr>
                <w:rFonts w:ascii="Consolas" w:hAnsi="Consolas"/>
                <w:sz w:val="19"/>
              </w:rPr>
              <w:t>regime_probs</w:t>
            </w:r>
          </w:p>
        </w:tc>
        <w:tc>
          <w:tcPr>
            <w:tcW w:type="dxa" w:w="1224"/>
          </w:tcPr>
          <w:p>
            <w:pPr>
              <w:spacing w:after="40" w:before="40" w:line="240" w:lineRule="auto"/>
            </w:pPr>
            <w:r>
              <w:rPr>
                <w:sz w:val="19"/>
              </w:rPr>
            </w:r>
            <w:r>
              <w:rPr>
                <w:sz w:val="19"/>
              </w:rPr>
              <w:t>(3,)</w:t>
            </w:r>
          </w:p>
        </w:tc>
        <w:tc>
          <w:tcPr>
            <w:tcW w:type="dxa" w:w="2160"/>
          </w:tcPr>
          <w:p>
            <w:pPr>
              <w:spacing w:after="40" w:before="40" w:line="240" w:lineRule="auto"/>
            </w:pPr>
            <w:r>
              <w:rPr>
                <w:sz w:val="19"/>
              </w:rPr>
            </w:r>
            <w:r>
              <w:rPr>
                <w:sz w:val="19"/>
              </w:rPr>
              <w:t>Actor and critic</w:t>
            </w:r>
          </w:p>
        </w:tc>
        <w:tc>
          <w:tcPr>
            <w:tcW w:type="dxa" w:w="4320"/>
          </w:tcPr>
          <w:p>
            <w:pPr>
              <w:spacing w:after="40" w:before="40" w:line="240" w:lineRule="auto"/>
            </w:pPr>
            <w:r>
              <w:rPr>
                <w:sz w:val="19"/>
              </w:rPr>
            </w:r>
            <w:r>
              <w:rPr>
                <w:sz w:val="19"/>
              </w:rPr>
              <w:t>Broadcast to both heads as a conditioning signal</w:t>
            </w:r>
          </w:p>
        </w:tc>
      </w:tr>
    </w:tbl>
    <w:p>
      <w:pPr>
        <w:spacing w:before="60" w:after="240" w:line="240" w:lineRule="auto"/>
        <w:jc w:val="center"/>
      </w:pPr>
      <w:r>
        <w:rPr>
          <w:i/>
          <w:sz w:val="20"/>
        </w:rPr>
        <w:t>Table 5.x.3 — Encoder outputs and their consumers</w:t>
      </w:r>
    </w:p>
    <w:p>
      <w:pPr>
        <w:pStyle w:val="Heading3"/>
      </w:pPr>
      <w:r>
        <w:t>5.x.7 Component 6 — Actor Network</w:t>
      </w:r>
    </w:p>
    <w:p>
      <w:pPr>
        <w:jc w:val="both"/>
      </w:pPr>
      <w:r>
        <w:t>The actor is a per-asset network: the same small multilayer perceptron is applied independently to each asset's latent state and emits a single logit for that asset. It is not a monolithic head that reads a flattened vector and prints all weights at once. The consequence is that the parameter count does not depend on the size of the universe and the learned rule transfers across assets, following the weight-sharing principle of [M6]. The market-level regime distribution is projected and added to every asset's features as a conditioning signal.</w:t>
      </w:r>
    </w:p>
    <w:p>
      <w:pPr>
        <w:jc w:val="both"/>
      </w:pPr>
      <w:r>
        <w:t>The policy is Gaussian over a continuous action space, as PPO requires a density in order to form the importance ratio. The network produces a mean logit per asset and a learnable per-asset log standard deviation. During training an action is sampled; during evaluation the mean is used. The sampled action is then mapped to a valid allocation by a softmax, which guarantees non-negative weights summing to one.</w:t>
      </w:r>
    </w:p>
    <w:p>
      <w:pPr>
        <w:jc w:val="both"/>
      </w:pPr>
      <w:r>
        <w:t>A subtle but critical implementation point is that the log-probability is computed on the pre-squash Gaussian sample, not on the normalised weights. The probability density is defined over the raw space; the softmax is deterministic post-processing and is not part of the distribution. Storing the normalised weights and re-evaluating those under the Gaussian would make the PPO ratio a comparison between two different random variables, and the clipping mechanism would then be operating on a meaningless quantity. The rollout therefore stores the raw action and sends only the normalised weights to the environment.</w:t>
      </w:r>
    </w:p>
    <w:p>
      <w:pPr>
        <w:pStyle w:val="Heading3"/>
      </w:pPr>
      <w:r>
        <w:t>5.x.8 Component 7 — Critic Network</w:t>
      </w:r>
    </w:p>
    <w:p>
      <w:pPr>
        <w:jc w:val="both"/>
      </w:pPr>
      <w:r>
        <w:t>The critic does not select weights. It estimates the expected cumulative reward obtainable from the current market state, which PPO requires as a baseline. The advantage is the difference between the realised return and this estimate, so an accurate critic isolates the effect of the specific action taken from the general favourability of market conditions. Without it, the policy gradient would reward every action taken during a rising market and penalise every action taken during a falling one, regardless of skill, and the resulting variance would overwhelm the learning signal.</w:t>
      </w:r>
    </w:p>
    <w:p>
      <w:pPr>
        <w:pStyle w:val="Heading3"/>
      </w:pPr>
      <w:r>
        <w:t>5.x.9 Component 8 — Market Environment</w:t>
      </w:r>
    </w:p>
    <w:p>
      <w:pPr>
        <w:jc w:val="both"/>
      </w:pPr>
      <w:r>
        <w:t>The environment converts a desired allocation into a realised, cost-aware outcome and is the only component that operates on real prices in real units. Each step caps every weight at the configured maximum and renormalises the long-only allocation back onto the simplex; computes turnover as the sum of absolute weight changes and charges both a proportional transaction cost and a slippage cost against it; realises asset returns from consecutive closing prices; forms the portfolio return as the weighted sum; and updates the portfolio value by that return net of costs.</w:t>
      </w:r>
    </w:p>
    <w:p>
      <w:pPr>
        <w:jc w:val="both"/>
      </w:pPr>
      <w:r>
        <w:t>A volatility-targeting facility is implemented, in which the raw per-asset signal is scaled by relative inverse volatility estimated from a sixty-three-day exponentially weighted moving average before position limits are applied. The estimate is shifted by one day so that the value used at decision time does not incorporate that day's own return. This facility is meaningful only for an independent long-short signal and is inactive in the long-only configuration reported here, where the softmax output is already a budget-constrained allocation rather than a signal to be sized.</w:t>
      </w:r>
    </w:p>
    <w:p>
      <w:pPr>
        <w:pStyle w:val="Heading3"/>
      </w:pPr>
      <w:r>
        <w:t>5.x.10 Component 9 — Reward Module</w:t>
      </w:r>
    </w:p>
    <w:p>
      <w:pPr>
        <w:jc w:val="both"/>
      </w:pPr>
      <w:r>
        <w:t>Raw return is an inadequate objective because it rewards leverage and concentration. The reward is composed of three terms.</w:t>
      </w:r>
    </w:p>
    <w:tbl>
      <w:tblPr>
        <w:tblStyle w:val="TableGrid"/>
        <w:tblW w:type="auto" w:w="0"/>
        <w:jc w:val="center"/>
        <w:tblLook w:firstColumn="1" w:firstRow="1" w:lastColumn="0" w:lastRow="0" w:noHBand="0" w:noVBand="1" w:val="04A0"/>
      </w:tblPr>
      <w:tblGrid>
        <w:gridCol w:w="3048"/>
        <w:gridCol w:w="3048"/>
        <w:gridCol w:w="3048"/>
      </w:tblGrid>
      <w:tr>
        <w:tc>
          <w:tcPr>
            <w:tcW w:type="dxa" w:w="1872"/>
            <w:shd w:val="clear" w:color="auto" w:fill="D9D9D9"/>
          </w:tcPr>
          <w:p>
            <w:pPr>
              <w:spacing w:after="40" w:before="40" w:line="240" w:lineRule="auto"/>
              <w:jc w:val="center"/>
            </w:pPr>
            <w:r/>
            <w:r>
              <w:rPr>
                <w:b/>
                <w:sz w:val="19"/>
              </w:rPr>
              <w:t>Component</w:t>
            </w:r>
          </w:p>
        </w:tc>
        <w:tc>
          <w:tcPr>
            <w:tcW w:type="dxa" w:w="3672"/>
            <w:shd w:val="clear" w:color="auto" w:fill="D9D9D9"/>
          </w:tcPr>
          <w:p>
            <w:pPr>
              <w:spacing w:after="40" w:before="40" w:line="240" w:lineRule="auto"/>
              <w:jc w:val="center"/>
            </w:pPr>
            <w:r/>
            <w:r>
              <w:rPr>
                <w:b/>
                <w:sz w:val="19"/>
              </w:rPr>
              <w:t>Definition</w:t>
            </w:r>
          </w:p>
        </w:tc>
        <w:tc>
          <w:tcPr>
            <w:tcW w:type="dxa" w:w="3816"/>
            <w:shd w:val="clear" w:color="auto" w:fill="D9D9D9"/>
          </w:tcPr>
          <w:p>
            <w:pPr>
              <w:spacing w:after="40" w:before="40" w:line="240" w:lineRule="auto"/>
              <w:jc w:val="center"/>
            </w:pPr>
            <w:r/>
            <w:r>
              <w:rPr>
                <w:b/>
                <w:sz w:val="19"/>
              </w:rPr>
              <w:t>Purpose</w:t>
            </w:r>
          </w:p>
        </w:tc>
      </w:tr>
      <w:tr>
        <w:tc>
          <w:tcPr>
            <w:tcW w:type="dxa" w:w="1872"/>
          </w:tcPr>
          <w:p>
            <w:pPr>
              <w:spacing w:after="40" w:before="40" w:line="240" w:lineRule="auto"/>
            </w:pPr>
            <w:r>
              <w:rPr>
                <w:sz w:val="19"/>
              </w:rPr>
            </w:r>
            <w:r>
              <w:rPr>
                <w:b/>
                <w:sz w:val="19"/>
              </w:rPr>
              <w:t>Sharpe component</w:t>
            </w:r>
          </w:p>
        </w:tc>
        <w:tc>
          <w:tcPr>
            <w:tcW w:type="dxa" w:w="3672"/>
          </w:tcPr>
          <w:p>
            <w:pPr>
              <w:spacing w:after="40" w:before="40" w:line="240" w:lineRule="auto"/>
            </w:pPr>
            <w:r>
              <w:rPr>
                <w:sz w:val="19"/>
              </w:rPr>
            </w:r>
            <w:r>
              <w:rPr>
                <w:sz w:val="19"/>
              </w:rPr>
              <w:t>Rolling window of portfolio returns; mean excess return divided by its standard deviation, annualised, with the excess taken over the daily equivalent of the risk-free rate</w:t>
            </w:r>
          </w:p>
        </w:tc>
        <w:tc>
          <w:tcPr>
            <w:tcW w:type="dxa" w:w="3816"/>
          </w:tcPr>
          <w:p>
            <w:pPr>
              <w:spacing w:after="40" w:before="40" w:line="240" w:lineRule="auto"/>
            </w:pPr>
            <w:r>
              <w:rPr>
                <w:sz w:val="19"/>
              </w:rPr>
            </w:r>
            <w:r>
              <w:rPr>
                <w:sz w:val="19"/>
              </w:rPr>
              <w:t>Rewards return per unit of risk rather than return alone</w:t>
            </w:r>
          </w:p>
        </w:tc>
      </w:tr>
      <w:tr>
        <w:tc>
          <w:tcPr>
            <w:tcW w:type="dxa" w:w="1872"/>
          </w:tcPr>
          <w:p>
            <w:pPr>
              <w:spacing w:after="40" w:before="40" w:line="240" w:lineRule="auto"/>
            </w:pPr>
            <w:r>
              <w:rPr>
                <w:sz w:val="19"/>
              </w:rPr>
            </w:r>
            <w:r>
              <w:rPr>
                <w:b/>
                <w:sz w:val="19"/>
              </w:rPr>
              <w:t>EVaR penalty</w:t>
            </w:r>
          </w:p>
        </w:tc>
        <w:tc>
          <w:tcPr>
            <w:tcW w:type="dxa" w:w="3672"/>
          </w:tcPr>
          <w:p>
            <w:pPr>
              <w:spacing w:after="40" w:before="40" w:line="240" w:lineRule="auto"/>
            </w:pPr>
            <w:r>
              <w:rPr>
                <w:sz w:val="19"/>
              </w:rPr>
            </w:r>
            <w:r>
              <w:rPr>
                <w:sz w:val="19"/>
              </w:rPr>
              <w:t>Entropic value-at-risk computed on the negative returns within the same rolling window, entering the reward with a negative weight</w:t>
            </w:r>
          </w:p>
        </w:tc>
        <w:tc>
          <w:tcPr>
            <w:tcW w:type="dxa" w:w="3816"/>
          </w:tcPr>
          <w:p>
            <w:pPr>
              <w:spacing w:after="40" w:before="40" w:line="240" w:lineRule="auto"/>
            </w:pPr>
            <w:r>
              <w:rPr>
                <w:sz w:val="19"/>
              </w:rPr>
            </w:r>
            <w:r>
              <w:rPr>
                <w:sz w:val="19"/>
              </w:rPr>
              <w:t>A coherent measure that upper-bounds both VaR and CVaR, penalising fat left tails that volatility alone does not capture [M15]</w:t>
            </w:r>
          </w:p>
        </w:tc>
      </w:tr>
      <w:tr>
        <w:tc>
          <w:tcPr>
            <w:tcW w:type="dxa" w:w="1872"/>
          </w:tcPr>
          <w:p>
            <w:pPr>
              <w:spacing w:after="40" w:before="40" w:line="240" w:lineRule="auto"/>
            </w:pPr>
            <w:r>
              <w:rPr>
                <w:sz w:val="19"/>
              </w:rPr>
            </w:r>
            <w:r>
              <w:rPr>
                <w:b/>
                <w:sz w:val="19"/>
              </w:rPr>
              <w:t>Cost penalty</w:t>
            </w:r>
          </w:p>
        </w:tc>
        <w:tc>
          <w:tcPr>
            <w:tcW w:type="dxa" w:w="3672"/>
          </w:tcPr>
          <w:p>
            <w:pPr>
              <w:spacing w:after="40" w:before="40" w:line="240" w:lineRule="auto"/>
            </w:pPr>
            <w:r>
              <w:rPr>
                <w:sz w:val="19"/>
              </w:rPr>
            </w:r>
            <w:r>
              <w:rPr>
                <w:sz w:val="19"/>
              </w:rPr>
              <w:t>A linear term proportional to turnover plus a quadratic term in turnover</w:t>
            </w:r>
          </w:p>
        </w:tc>
        <w:tc>
          <w:tcPr>
            <w:tcW w:type="dxa" w:w="3816"/>
          </w:tcPr>
          <w:p>
            <w:pPr>
              <w:spacing w:after="40" w:before="40" w:line="240" w:lineRule="auto"/>
            </w:pPr>
            <w:r>
              <w:rPr>
                <w:sz w:val="19"/>
              </w:rPr>
            </w:r>
            <w:r>
              <w:rPr>
                <w:sz w:val="19"/>
              </w:rPr>
              <w:t>The linear term mirrors the real trading fee; the quadratic term discourages the churn an unconstrained policy naturally drifts into</w:t>
            </w:r>
          </w:p>
        </w:tc>
      </w:tr>
    </w:tbl>
    <w:p>
      <w:pPr>
        <w:spacing w:before="60" w:after="240" w:line="240" w:lineRule="auto"/>
        <w:jc w:val="center"/>
      </w:pPr>
      <w:r>
        <w:rPr>
          <w:i/>
          <w:sz w:val="20"/>
        </w:rPr>
        <w:t>Table 5.x.4 — Components of the reward function</w:t>
      </w:r>
    </w:p>
    <w:p>
      <w:pPr>
        <w:jc w:val="both"/>
      </w:pPr>
      <w:r>
        <w:t>One consequence of this design required an explicit correction. Because the Sharpe component is annualised, raw rewards reach magnitudes of order ten and discounted returns reach the hundreds. The resulting value loss produces a critic gradient orders of magnitude larger than the actor's, and because gradient-norm clipping is applied jointly across all parameters it rescales the entire update, leaving the actor with an effective learning rate near zero. Rewards are therefore divided by a running estimate of the discounted-return standard deviation. Division rather than mean-centring is used, so that the sign of the Sharpe signal is preserved.</w:t>
      </w:r>
    </w:p>
    <w:p>
      <w:pPr>
        <w:pStyle w:val="Heading3"/>
      </w:pPr>
      <w:r>
        <w:t>5.x.11 Learning Algorithm</w:t>
      </w:r>
    </w:p>
    <w:p>
      <w:pPr>
        <w:jc w:val="both"/>
      </w:pPr>
      <w:r>
        <w:t>Advantages are computed by Generalized Advantage Estimation [M8], which accumulates discounted temporal-difference errors backwards through the collected trajectory, with a decay parameter that interpolates between a high-bias single-step estimate and a high-variance Monte Carlo return. Advantages are normalised within each batch.</w:t>
      </w:r>
    </w:p>
    <w:p>
      <w:pPr>
        <w:jc w:val="both"/>
      </w:pPr>
      <w:r>
        <w:t>The PPO objective combines three terms: a clipped policy loss, which increases the probability of actions with positive advantage while capping how far the policy may move in one update; a squared-error value loss, which trains the critic to predict the advantage-derived returns; and an entropy bonus, which rewards a spread-out policy and prevents premature collapse onto a single allocation.</w:t>
      </w:r>
    </w:p>
    <w:p>
      <w:pPr>
        <w:jc w:val="both"/>
      </w:pPr>
      <w:r>
        <w:t>The update itself is what makes the architecture jointly optimized. A single backward pass produces gradients for every parameter in the system, and one optimizer step applies them all. The gradient reaches the critic from the value loss, the actor from the policy loss and entropy bonus, and the regime encoder from both, flowing back through the fusion layer, the graph attention layers, the temporal attention block, the LSTM and finally into the feature-selection weights. The encoder uses a reduced learning rate relative to the two heads, because it is the deepest component and is shared by both; a lower rate prevents the representation from shifting faster than the heads can track it.</w:t>
      </w:r>
    </w:p>
    <w:p>
      <w:r>
        <w:br w:type="page"/>
      </w:r>
    </w:p>
    <w:p>
      <w:pPr>
        <w:pStyle w:val="Heading1"/>
      </w:pPr>
      <w:r>
        <w:t>Chapter 6 — Implementation</w:t>
      </w:r>
    </w:p>
    <w:p>
      <w:pPr>
        <w:pStyle w:val="Heading2"/>
      </w:pPr>
      <w:r>
        <w:t>6.x Regime-Aware Portfolio Optimization Module</w:t>
      </w:r>
    </w:p>
    <w:p>
      <w:pPr>
        <w:pStyle w:val="Heading3"/>
      </w:pPr>
      <w:r>
        <w:t>6.x.1 Dataset</w:t>
      </w:r>
    </w:p>
    <w:p>
      <w:pPr>
        <w:jc w:val="both"/>
      </w:pPr>
      <w:r>
        <w:t>The dataset consists of daily trading records for the banking sector of the Colombo Stock Exchange, obtained as yearly sector exports covering 2021 to 2025. After parsing, cleaning and completeness filtering, ten counters survive with usable continuous histories: ABL, COMB, DFCC, HNB, NDB, NTB, PABC, SAMP, SEYB and UBC. Feature engineering introduces rolling look-backs of up to twenty-six days, and the rows for which those windows are undefined are discarded, leaving 816 usable trading days spanning 3 February 2021 to 31 December 2025.</w:t>
      </w:r>
    </w:p>
    <w:tbl>
      <w:tblPr>
        <w:tblStyle w:val="TableGrid"/>
        <w:tblW w:type="auto" w:w="0"/>
        <w:jc w:val="center"/>
        <w:tblLook w:firstColumn="1" w:firstRow="1" w:lastColumn="0" w:lastRow="0" w:noHBand="0" w:noVBand="1" w:val="04A0"/>
      </w:tblPr>
      <w:tblGrid>
        <w:gridCol w:w="4572"/>
        <w:gridCol w:w="4572"/>
      </w:tblGrid>
      <w:tr>
        <w:tc>
          <w:tcPr>
            <w:tcW w:type="dxa" w:w="5184"/>
            <w:shd w:val="clear" w:color="auto" w:fill="D9D9D9"/>
          </w:tcPr>
          <w:p>
            <w:pPr>
              <w:spacing w:after="40" w:before="40" w:line="240" w:lineRule="auto"/>
              <w:jc w:val="center"/>
            </w:pPr>
            <w:r/>
            <w:r>
              <w:rPr>
                <w:b/>
                <w:sz w:val="19"/>
              </w:rPr>
              <w:t>Property</w:t>
            </w:r>
          </w:p>
        </w:tc>
        <w:tc>
          <w:tcPr>
            <w:tcW w:type="dxa" w:w="4896"/>
            <w:shd w:val="clear" w:color="auto" w:fill="D9D9D9"/>
          </w:tcPr>
          <w:p>
            <w:pPr>
              <w:spacing w:after="40" w:before="40" w:line="240" w:lineRule="auto"/>
              <w:jc w:val="center"/>
            </w:pPr>
            <w:r/>
            <w:r>
              <w:rPr>
                <w:b/>
                <w:sz w:val="19"/>
              </w:rPr>
              <w:t>Value</w:t>
            </w:r>
          </w:p>
        </w:tc>
      </w:tr>
      <w:tr>
        <w:tc>
          <w:tcPr>
            <w:tcW w:type="dxa" w:w="5184"/>
          </w:tcPr>
          <w:p>
            <w:pPr>
              <w:spacing w:after="40" w:before="40" w:line="240" w:lineRule="auto"/>
            </w:pPr>
            <w:r>
              <w:rPr>
                <w:sz w:val="19"/>
              </w:rPr>
            </w:r>
            <w:r>
              <w:rPr>
                <w:sz w:val="19"/>
              </w:rPr>
              <w:t>Market</w:t>
            </w:r>
          </w:p>
        </w:tc>
        <w:tc>
          <w:tcPr>
            <w:tcW w:type="dxa" w:w="4896"/>
          </w:tcPr>
          <w:p>
            <w:pPr>
              <w:spacing w:after="40" w:before="40" w:line="240" w:lineRule="auto"/>
            </w:pPr>
            <w:r>
              <w:rPr>
                <w:sz w:val="19"/>
              </w:rPr>
            </w:r>
            <w:r>
              <w:rPr>
                <w:sz w:val="19"/>
              </w:rPr>
              <w:t>Colombo Stock Exchange, banking sector</w:t>
            </w:r>
          </w:p>
        </w:tc>
      </w:tr>
      <w:tr>
        <w:tc>
          <w:tcPr>
            <w:tcW w:type="dxa" w:w="5184"/>
          </w:tcPr>
          <w:p>
            <w:pPr>
              <w:spacing w:after="40" w:before="40" w:line="240" w:lineRule="auto"/>
            </w:pPr>
            <w:r>
              <w:rPr>
                <w:sz w:val="19"/>
              </w:rPr>
            </w:r>
            <w:r>
              <w:rPr>
                <w:sz w:val="19"/>
              </w:rPr>
              <w:t>Period</w:t>
            </w:r>
          </w:p>
        </w:tc>
        <w:tc>
          <w:tcPr>
            <w:tcW w:type="dxa" w:w="4896"/>
          </w:tcPr>
          <w:p>
            <w:pPr>
              <w:spacing w:after="40" w:before="40" w:line="240" w:lineRule="auto"/>
            </w:pPr>
            <w:r>
              <w:rPr>
                <w:sz w:val="19"/>
              </w:rPr>
            </w:r>
            <w:r>
              <w:rPr>
                <w:sz w:val="19"/>
              </w:rPr>
              <w:t>February 2021 – December 2025</w:t>
            </w:r>
          </w:p>
        </w:tc>
      </w:tr>
      <w:tr>
        <w:tc>
          <w:tcPr>
            <w:tcW w:type="dxa" w:w="5184"/>
          </w:tcPr>
          <w:p>
            <w:pPr>
              <w:spacing w:after="40" w:before="40" w:line="240" w:lineRule="auto"/>
            </w:pPr>
            <w:r>
              <w:rPr>
                <w:sz w:val="19"/>
              </w:rPr>
            </w:r>
            <w:r>
              <w:rPr>
                <w:sz w:val="19"/>
              </w:rPr>
              <w:t>Counters retained</w:t>
            </w:r>
          </w:p>
        </w:tc>
        <w:tc>
          <w:tcPr>
            <w:tcW w:type="dxa" w:w="4896"/>
          </w:tcPr>
          <w:p>
            <w:pPr>
              <w:spacing w:after="40" w:before="40" w:line="240" w:lineRule="auto"/>
            </w:pPr>
            <w:r>
              <w:rPr>
                <w:sz w:val="19"/>
              </w:rPr>
            </w:r>
            <w:r>
              <w:rPr>
                <w:sz w:val="19"/>
              </w:rPr>
              <w:t>10 (ABL, COMB, DFCC, HNB, NDB, NTB, PABC, SAMP, SEYB, UBC)</w:t>
            </w:r>
          </w:p>
        </w:tc>
      </w:tr>
      <w:tr>
        <w:tc>
          <w:tcPr>
            <w:tcW w:type="dxa" w:w="5184"/>
          </w:tcPr>
          <w:p>
            <w:pPr>
              <w:spacing w:after="40" w:before="40" w:line="240" w:lineRule="auto"/>
            </w:pPr>
            <w:r>
              <w:rPr>
                <w:sz w:val="19"/>
              </w:rPr>
            </w:r>
            <w:r>
              <w:rPr>
                <w:sz w:val="19"/>
              </w:rPr>
              <w:t>Usable trading days after feature engineering</w:t>
            </w:r>
          </w:p>
        </w:tc>
        <w:tc>
          <w:tcPr>
            <w:tcW w:type="dxa" w:w="4896"/>
          </w:tcPr>
          <w:p>
            <w:pPr>
              <w:spacing w:after="40" w:before="40" w:line="240" w:lineRule="auto"/>
            </w:pPr>
            <w:r>
              <w:rPr>
                <w:sz w:val="19"/>
              </w:rPr>
            </w:r>
            <w:r>
              <w:rPr>
                <w:sz w:val="19"/>
              </w:rPr>
              <w:t>816</w:t>
            </w:r>
          </w:p>
        </w:tc>
      </w:tr>
      <w:tr>
        <w:tc>
          <w:tcPr>
            <w:tcW w:type="dxa" w:w="5184"/>
          </w:tcPr>
          <w:p>
            <w:pPr>
              <w:spacing w:after="40" w:before="40" w:line="240" w:lineRule="auto"/>
            </w:pPr>
            <w:r>
              <w:rPr>
                <w:sz w:val="19"/>
              </w:rPr>
            </w:r>
            <w:r>
              <w:rPr>
                <w:sz w:val="19"/>
              </w:rPr>
              <w:t>Features engineered per counter</w:t>
            </w:r>
          </w:p>
        </w:tc>
        <w:tc>
          <w:tcPr>
            <w:tcW w:type="dxa" w:w="4896"/>
          </w:tcPr>
          <w:p>
            <w:pPr>
              <w:spacing w:after="40" w:before="40" w:line="240" w:lineRule="auto"/>
            </w:pPr>
            <w:r>
              <w:rPr>
                <w:sz w:val="19"/>
              </w:rPr>
            </w:r>
            <w:r>
              <w:rPr>
                <w:sz w:val="19"/>
              </w:rPr>
              <w:t>15</w:t>
            </w:r>
          </w:p>
        </w:tc>
      </w:tr>
      <w:tr>
        <w:tc>
          <w:tcPr>
            <w:tcW w:type="dxa" w:w="5184"/>
          </w:tcPr>
          <w:p>
            <w:pPr>
              <w:spacing w:after="40" w:before="40" w:line="240" w:lineRule="auto"/>
            </w:pPr>
            <w:r>
              <w:rPr>
                <w:sz w:val="19"/>
              </w:rPr>
            </w:r>
            <w:r>
              <w:rPr>
                <w:sz w:val="19"/>
              </w:rPr>
              <w:t>Total feature dimension</w:t>
            </w:r>
          </w:p>
        </w:tc>
        <w:tc>
          <w:tcPr>
            <w:tcW w:type="dxa" w:w="4896"/>
          </w:tcPr>
          <w:p>
            <w:pPr>
              <w:spacing w:after="40" w:before="40" w:line="240" w:lineRule="auto"/>
            </w:pPr>
            <w:r>
              <w:rPr>
                <w:sz w:val="19"/>
              </w:rPr>
            </w:r>
            <w:r>
              <w:rPr>
                <w:sz w:val="19"/>
              </w:rPr>
              <w:t>150</w:t>
            </w:r>
          </w:p>
        </w:tc>
      </w:tr>
      <w:tr>
        <w:tc>
          <w:tcPr>
            <w:tcW w:type="dxa" w:w="5184"/>
          </w:tcPr>
          <w:p>
            <w:pPr>
              <w:spacing w:after="40" w:before="40" w:line="240" w:lineRule="auto"/>
            </w:pPr>
            <w:r>
              <w:rPr>
                <w:sz w:val="19"/>
              </w:rPr>
            </w:r>
            <w:r>
              <w:rPr>
                <w:sz w:val="19"/>
              </w:rPr>
              <w:t>Missing values after cleaning</w:t>
            </w:r>
          </w:p>
        </w:tc>
        <w:tc>
          <w:tcPr>
            <w:tcW w:type="dxa" w:w="4896"/>
          </w:tcPr>
          <w:p>
            <w:pPr>
              <w:spacing w:after="40" w:before="40" w:line="240" w:lineRule="auto"/>
            </w:pPr>
            <w:r>
              <w:rPr>
                <w:sz w:val="19"/>
              </w:rPr>
            </w:r>
            <w:r>
              <w:rPr>
                <w:sz w:val="19"/>
              </w:rPr>
              <w:t>0</w:t>
            </w:r>
          </w:p>
        </w:tc>
      </w:tr>
    </w:tbl>
    <w:p>
      <w:pPr>
        <w:spacing w:before="60" w:after="240" w:line="240" w:lineRule="auto"/>
        <w:jc w:val="center"/>
      </w:pPr>
      <w:r>
        <w:rPr>
          <w:i/>
          <w:sz w:val="20"/>
        </w:rPr>
        <w:t>Table 6.x.1 — Dataset summary</w:t>
      </w:r>
    </w:p>
    <w:p>
      <w:pPr>
        <w:spacing w:before="120" w:after="200" w:line="276" w:lineRule="auto"/>
        <w:ind w:left="360"/>
      </w:pPr>
      <w:r>
        <w:rPr>
          <w:b/>
          <w:color w:val="B00000"/>
          <w:sz w:val="20"/>
        </w:rPr>
        <w:t xml:space="preserve">[ACTION REQUIRED] </w:t>
      </w:r>
      <w:r>
        <w:rPr>
          <w:color w:val="B00000"/>
          <w:sz w:val="20"/>
        </w:rPr>
        <w:t>Insert here a figure showing the normalised price paths of the ten counters over the full period, and a bar chart of their annualised volatilities. Both are produced by the exploratory cell of the notebook (§4 of CSE_PPO_Regime_Portfolio.ipynb). The volatility spread across the ten counters is a strong visual motivation for the module and is worth showing.</w:t>
      </w:r>
    </w:p>
    <w:p>
      <w:pPr>
        <w:pStyle w:val="Heading3"/>
      </w:pPr>
      <w:r>
        <w:t>6.x.2 Data Preprocessing</w:t>
      </w:r>
    </w:p>
    <w:p>
      <w:pPr>
        <w:jc w:val="both"/>
      </w:pPr>
      <w:r>
        <w:t>The loader addresses several practical irregularities in the raw exports. The number of title rows preceding the header varies between years, so the header row is located by scanning the first lines for a company identifier column. Column names drift across years and are mapped onto a canonical set. Numeric fields carry thousands separators and are cleaned before conversion. Records are then pivoted from long format into date-by-company matrices, with duplicate entries for a single company-day resolved by taking the last observation.</w:t>
      </w:r>
    </w:p>
    <w:p>
      <w:pPr>
        <w:jc w:val="both"/>
      </w:pPr>
      <w:r>
        <w:t>Counters are ranked by the proportion of missing observations and the most complete are retained. Remaining gaps in the price matrix are forward-filled and then backward-filled, on the reasoning that a non-traded day carries the last known price; gaps in the volume matrix are forward-filled and then filled with zero, since an absence of trading implies an absence of volume.</w:t>
      </w:r>
    </w:p>
    <w:p>
      <w:pPr>
        <w:spacing w:before="120" w:after="200" w:line="276" w:lineRule="auto"/>
        <w:ind w:left="360"/>
      </w:pPr>
      <w:r>
        <w:rPr>
          <w:b/>
          <w:color w:val="B00000"/>
          <w:sz w:val="20"/>
        </w:rPr>
        <w:t xml:space="preserve">[ACTION REQUIRED] </w:t>
      </w:r>
      <w:r>
        <w:rPr>
          <w:color w:val="B00000"/>
          <w:sz w:val="20"/>
        </w:rPr>
        <w:t>Insert a screenshot of the `load_prices_and_volumes()` method here, following the template's convention of showing implementation code as a figure. Caption it "Figure 6.x.1 — Loading and aligning CSE price and volume data".</w:t>
      </w:r>
    </w:p>
    <w:p>
      <w:pPr>
        <w:pStyle w:val="Heading3"/>
      </w:pPr>
      <w:r>
        <w:t>6.x.3 Feature Engineering</w:t>
      </w:r>
    </w:p>
    <w:p>
      <w:pPr>
        <w:jc w:val="both"/>
      </w:pPr>
      <w:r>
        <w:t>Prices and volumes are non-stationary and are measured on incomparable scales across counters, so each counter is expanded into fifteen stationary descriptors.</w:t>
      </w:r>
    </w:p>
    <w:tbl>
      <w:tblPr>
        <w:tblStyle w:val="TableGrid"/>
        <w:tblW w:type="auto" w:w="0"/>
        <w:jc w:val="center"/>
        <w:tblLook w:firstColumn="1" w:firstRow="1" w:lastColumn="0" w:lastRow="0" w:noHBand="0" w:noVBand="1" w:val="04A0"/>
      </w:tblPr>
      <w:tblGrid>
        <w:gridCol w:w="2286"/>
        <w:gridCol w:w="2286"/>
        <w:gridCol w:w="2286"/>
        <w:gridCol w:w="2286"/>
      </w:tblGrid>
      <w:tr>
        <w:tc>
          <w:tcPr>
            <w:tcW w:type="dxa" w:w="648"/>
            <w:shd w:val="clear" w:color="auto" w:fill="D9D9D9"/>
          </w:tcPr>
          <w:p>
            <w:pPr>
              <w:spacing w:after="40" w:before="40" w:line="240" w:lineRule="auto"/>
              <w:jc w:val="center"/>
            </w:pPr>
            <w:r/>
            <w:r>
              <w:rPr>
                <w:b/>
                <w:sz w:val="18"/>
              </w:rPr>
              <w:t>#</w:t>
            </w:r>
          </w:p>
        </w:tc>
        <w:tc>
          <w:tcPr>
            <w:tcW w:type="dxa" w:w="1944"/>
            <w:shd w:val="clear" w:color="auto" w:fill="D9D9D9"/>
          </w:tcPr>
          <w:p>
            <w:pPr>
              <w:spacing w:after="40" w:before="40" w:line="240" w:lineRule="auto"/>
              <w:jc w:val="center"/>
            </w:pPr>
            <w:r/>
            <w:r>
              <w:rPr>
                <w:b/>
                <w:sz w:val="18"/>
              </w:rPr>
              <w:t>Feature</w:t>
            </w:r>
          </w:p>
        </w:tc>
        <w:tc>
          <w:tcPr>
            <w:tcW w:type="dxa" w:w="3456"/>
            <w:shd w:val="clear" w:color="auto" w:fill="D9D9D9"/>
          </w:tcPr>
          <w:p>
            <w:pPr>
              <w:spacing w:after="40" w:before="40" w:line="240" w:lineRule="auto"/>
              <w:jc w:val="center"/>
            </w:pPr>
            <w:r/>
            <w:r>
              <w:rPr>
                <w:b/>
                <w:sz w:val="18"/>
              </w:rPr>
              <w:t>Definition</w:t>
            </w:r>
          </w:p>
        </w:tc>
        <w:tc>
          <w:tcPr>
            <w:tcW w:type="dxa" w:w="4032"/>
            <w:shd w:val="clear" w:color="auto" w:fill="D9D9D9"/>
          </w:tcPr>
          <w:p>
            <w:pPr>
              <w:spacing w:after="40" w:before="40" w:line="240" w:lineRule="auto"/>
              <w:jc w:val="center"/>
            </w:pPr>
            <w:r/>
            <w:r>
              <w:rPr>
                <w:b/>
                <w:sz w:val="18"/>
              </w:rPr>
              <w:t>Information captured</w:t>
            </w:r>
          </w:p>
        </w:tc>
      </w:tr>
      <w:tr>
        <w:tc>
          <w:tcPr>
            <w:tcW w:type="dxa" w:w="648"/>
          </w:tcPr>
          <w:p>
            <w:pPr>
              <w:spacing w:after="40" w:before="40" w:line="240" w:lineRule="auto"/>
            </w:pPr>
            <w:r>
              <w:rPr>
                <w:sz w:val="18"/>
              </w:rPr>
            </w:r>
            <w:r>
              <w:rPr>
                <w:sz w:val="18"/>
              </w:rPr>
              <w:t>1</w:t>
            </w:r>
          </w:p>
        </w:tc>
        <w:tc>
          <w:tcPr>
            <w:tcW w:type="dxa" w:w="1944"/>
          </w:tcPr>
          <w:p>
            <w:pPr>
              <w:spacing w:after="40" w:before="40" w:line="240" w:lineRule="auto"/>
            </w:pPr>
            <w:r>
              <w:rPr>
                <w:sz w:val="18"/>
              </w:rPr>
            </w:r>
            <w:r>
              <w:rPr>
                <w:sz w:val="18"/>
              </w:rPr>
              <w:t>Log return</w:t>
            </w:r>
          </w:p>
        </w:tc>
        <w:tc>
          <w:tcPr>
            <w:tcW w:type="dxa" w:w="3456"/>
          </w:tcPr>
          <w:p>
            <w:pPr>
              <w:spacing w:after="40" w:before="40" w:line="240" w:lineRule="auto"/>
            </w:pPr>
            <w:r>
              <w:rPr>
                <w:sz w:val="18"/>
              </w:rPr>
            </w:r>
            <w:r>
              <w:rPr>
                <w:sz w:val="18"/>
              </w:rPr>
              <w:t>ln(P_t / P_{t-1})</w:t>
            </w:r>
          </w:p>
        </w:tc>
        <w:tc>
          <w:tcPr>
            <w:tcW w:type="dxa" w:w="4032"/>
          </w:tcPr>
          <w:p>
            <w:pPr>
              <w:spacing w:after="40" w:before="40" w:line="240" w:lineRule="auto"/>
            </w:pPr>
            <w:r>
              <w:rPr>
                <w:sz w:val="18"/>
              </w:rPr>
            </w:r>
            <w:r>
              <w:rPr>
                <w:sz w:val="18"/>
              </w:rPr>
              <w:t>The core return signal</w:t>
            </w:r>
          </w:p>
        </w:tc>
      </w:tr>
      <w:tr>
        <w:tc>
          <w:tcPr>
            <w:tcW w:type="dxa" w:w="648"/>
          </w:tcPr>
          <w:p>
            <w:pPr>
              <w:spacing w:after="40" w:before="40" w:line="240" w:lineRule="auto"/>
            </w:pPr>
            <w:r>
              <w:rPr>
                <w:sz w:val="18"/>
              </w:rPr>
            </w:r>
            <w:r>
              <w:rPr>
                <w:sz w:val="18"/>
              </w:rPr>
              <w:t>2–4</w:t>
            </w:r>
          </w:p>
        </w:tc>
        <w:tc>
          <w:tcPr>
            <w:tcW w:type="dxa" w:w="1944"/>
          </w:tcPr>
          <w:p>
            <w:pPr>
              <w:spacing w:after="40" w:before="40" w:line="240" w:lineRule="auto"/>
            </w:pPr>
            <w:r>
              <w:rPr>
                <w:sz w:val="18"/>
              </w:rPr>
            </w:r>
            <w:r>
              <w:rPr>
                <w:sz w:val="18"/>
              </w:rPr>
              <w:t>Realised volatility</w:t>
            </w:r>
          </w:p>
        </w:tc>
        <w:tc>
          <w:tcPr>
            <w:tcW w:type="dxa" w:w="3456"/>
          </w:tcPr>
          <w:p>
            <w:pPr>
              <w:spacing w:after="40" w:before="40" w:line="240" w:lineRule="auto"/>
            </w:pPr>
            <w:r>
              <w:rPr>
                <w:sz w:val="18"/>
              </w:rPr>
            </w:r>
            <w:r>
              <w:rPr>
                <w:sz w:val="18"/>
              </w:rPr>
              <w:t>Rolling standard deviation of returns over 5, 10 and 20 days, annualised</w:t>
            </w:r>
          </w:p>
        </w:tc>
        <w:tc>
          <w:tcPr>
            <w:tcW w:type="dxa" w:w="4032"/>
          </w:tcPr>
          <w:p>
            <w:pPr>
              <w:spacing w:after="40" w:before="40" w:line="240" w:lineRule="auto"/>
            </w:pPr>
            <w:r>
              <w:rPr>
                <w:sz w:val="18"/>
              </w:rPr>
            </w:r>
            <w:r>
              <w:rPr>
                <w:sz w:val="18"/>
              </w:rPr>
              <w:t>Risk level at three horizons — the primary regime marker</w:t>
            </w:r>
          </w:p>
        </w:tc>
      </w:tr>
      <w:tr>
        <w:tc>
          <w:tcPr>
            <w:tcW w:type="dxa" w:w="648"/>
          </w:tcPr>
          <w:p>
            <w:pPr>
              <w:spacing w:after="40" w:before="40" w:line="240" w:lineRule="auto"/>
            </w:pPr>
            <w:r>
              <w:rPr>
                <w:sz w:val="18"/>
              </w:rPr>
            </w:r>
            <w:r>
              <w:rPr>
                <w:sz w:val="18"/>
              </w:rPr>
              <w:t>5–7</w:t>
            </w:r>
          </w:p>
        </w:tc>
        <w:tc>
          <w:tcPr>
            <w:tcW w:type="dxa" w:w="1944"/>
          </w:tcPr>
          <w:p>
            <w:pPr>
              <w:spacing w:after="40" w:before="40" w:line="240" w:lineRule="auto"/>
            </w:pPr>
            <w:r>
              <w:rPr>
                <w:sz w:val="18"/>
              </w:rPr>
            </w:r>
            <w:r>
              <w:rPr>
                <w:sz w:val="18"/>
              </w:rPr>
              <w:t>Momentum</w:t>
            </w:r>
          </w:p>
        </w:tc>
        <w:tc>
          <w:tcPr>
            <w:tcW w:type="dxa" w:w="3456"/>
          </w:tcPr>
          <w:p>
            <w:pPr>
              <w:spacing w:after="40" w:before="40" w:line="240" w:lineRule="auto"/>
            </w:pPr>
            <w:r>
              <w:rPr>
                <w:sz w:val="18"/>
              </w:rPr>
            </w:r>
            <w:r>
              <w:rPr>
                <w:sz w:val="18"/>
              </w:rPr>
              <w:t>Rate of change over 5, 10 and 20 days</w:t>
            </w:r>
          </w:p>
        </w:tc>
        <w:tc>
          <w:tcPr>
            <w:tcW w:type="dxa" w:w="4032"/>
          </w:tcPr>
          <w:p>
            <w:pPr>
              <w:spacing w:after="40" w:before="40" w:line="240" w:lineRule="auto"/>
            </w:pPr>
            <w:r>
              <w:rPr>
                <w:sz w:val="18"/>
              </w:rPr>
            </w:r>
            <w:r>
              <w:rPr>
                <w:sz w:val="18"/>
              </w:rPr>
              <w:t>Trend direction and persistence</w:t>
            </w:r>
          </w:p>
        </w:tc>
      </w:tr>
      <w:tr>
        <w:tc>
          <w:tcPr>
            <w:tcW w:type="dxa" w:w="648"/>
          </w:tcPr>
          <w:p>
            <w:pPr>
              <w:spacing w:after="40" w:before="40" w:line="240" w:lineRule="auto"/>
            </w:pPr>
            <w:r>
              <w:rPr>
                <w:sz w:val="18"/>
              </w:rPr>
            </w:r>
            <w:r>
              <w:rPr>
                <w:sz w:val="18"/>
              </w:rPr>
              <w:t>8</w:t>
            </w:r>
          </w:p>
        </w:tc>
        <w:tc>
          <w:tcPr>
            <w:tcW w:type="dxa" w:w="1944"/>
          </w:tcPr>
          <w:p>
            <w:pPr>
              <w:spacing w:after="40" w:before="40" w:line="240" w:lineRule="auto"/>
            </w:pPr>
            <w:r>
              <w:rPr>
                <w:sz w:val="18"/>
              </w:rPr>
            </w:r>
            <w:r>
              <w:rPr>
                <w:sz w:val="18"/>
              </w:rPr>
              <w:t>Relative Strength Index</w:t>
            </w:r>
          </w:p>
        </w:tc>
        <w:tc>
          <w:tcPr>
            <w:tcW w:type="dxa" w:w="3456"/>
          </w:tcPr>
          <w:p>
            <w:pPr>
              <w:spacing w:after="40" w:before="40" w:line="240" w:lineRule="auto"/>
            </w:pPr>
            <w:r>
              <w:rPr>
                <w:sz w:val="18"/>
              </w:rPr>
            </w:r>
            <w:r>
              <w:rPr>
                <w:sz w:val="18"/>
              </w:rPr>
              <w:t>14-day RSI</w:t>
            </w:r>
          </w:p>
        </w:tc>
        <w:tc>
          <w:tcPr>
            <w:tcW w:type="dxa" w:w="4032"/>
          </w:tcPr>
          <w:p>
            <w:pPr>
              <w:spacing w:after="40" w:before="40" w:line="240" w:lineRule="auto"/>
            </w:pPr>
            <w:r>
              <w:rPr>
                <w:sz w:val="18"/>
              </w:rPr>
            </w:r>
            <w:r>
              <w:rPr>
                <w:sz w:val="18"/>
              </w:rPr>
              <w:t>Overbought and oversold pressure</w:t>
            </w:r>
          </w:p>
        </w:tc>
      </w:tr>
      <w:tr>
        <w:tc>
          <w:tcPr>
            <w:tcW w:type="dxa" w:w="648"/>
          </w:tcPr>
          <w:p>
            <w:pPr>
              <w:spacing w:after="40" w:before="40" w:line="240" w:lineRule="auto"/>
            </w:pPr>
            <w:r>
              <w:rPr>
                <w:sz w:val="18"/>
              </w:rPr>
            </w:r>
            <w:r>
              <w:rPr>
                <w:sz w:val="18"/>
              </w:rPr>
              <w:t>9–11</w:t>
            </w:r>
          </w:p>
        </w:tc>
        <w:tc>
          <w:tcPr>
            <w:tcW w:type="dxa" w:w="1944"/>
          </w:tcPr>
          <w:p>
            <w:pPr>
              <w:spacing w:after="40" w:before="40" w:line="240" w:lineRule="auto"/>
            </w:pPr>
            <w:r>
              <w:rPr>
                <w:sz w:val="18"/>
              </w:rPr>
            </w:r>
            <w:r>
              <w:rPr>
                <w:sz w:val="18"/>
              </w:rPr>
              <w:t>MACD family</w:t>
            </w:r>
          </w:p>
        </w:tc>
        <w:tc>
          <w:tcPr>
            <w:tcW w:type="dxa" w:w="3456"/>
          </w:tcPr>
          <w:p>
            <w:pPr>
              <w:spacing w:after="40" w:before="40" w:line="240" w:lineRule="auto"/>
            </w:pPr>
            <w:r>
              <w:rPr>
                <w:sz w:val="18"/>
              </w:rPr>
            </w:r>
            <w:r>
              <w:rPr>
                <w:sz w:val="18"/>
              </w:rPr>
              <w:t>MACD line, signal line and histogram (12/26/9)</w:t>
            </w:r>
          </w:p>
        </w:tc>
        <w:tc>
          <w:tcPr>
            <w:tcW w:type="dxa" w:w="4032"/>
          </w:tcPr>
          <w:p>
            <w:pPr>
              <w:spacing w:after="40" w:before="40" w:line="240" w:lineRule="auto"/>
            </w:pPr>
            <w:r>
              <w:rPr>
                <w:sz w:val="18"/>
              </w:rPr>
            </w:r>
            <w:r>
              <w:rPr>
                <w:sz w:val="18"/>
              </w:rPr>
              <w:t>Trend-following oscillator and the momentum of the trend itself</w:t>
            </w:r>
          </w:p>
        </w:tc>
      </w:tr>
      <w:tr>
        <w:tc>
          <w:tcPr>
            <w:tcW w:type="dxa" w:w="648"/>
          </w:tcPr>
          <w:p>
            <w:pPr>
              <w:spacing w:after="40" w:before="40" w:line="240" w:lineRule="auto"/>
            </w:pPr>
            <w:r>
              <w:rPr>
                <w:sz w:val="18"/>
              </w:rPr>
            </w:r>
            <w:r>
              <w:rPr>
                <w:sz w:val="18"/>
              </w:rPr>
              <w:t>12</w:t>
            </w:r>
          </w:p>
        </w:tc>
        <w:tc>
          <w:tcPr>
            <w:tcW w:type="dxa" w:w="1944"/>
          </w:tcPr>
          <w:p>
            <w:pPr>
              <w:spacing w:after="40" w:before="40" w:line="240" w:lineRule="auto"/>
            </w:pPr>
            <w:r>
              <w:rPr>
                <w:sz w:val="18"/>
              </w:rPr>
            </w:r>
            <w:r>
              <w:rPr>
                <w:sz w:val="18"/>
              </w:rPr>
              <w:t>Bollinger %B</w:t>
            </w:r>
          </w:p>
        </w:tc>
        <w:tc>
          <w:tcPr>
            <w:tcW w:type="dxa" w:w="3456"/>
          </w:tcPr>
          <w:p>
            <w:pPr>
              <w:spacing w:after="40" w:before="40" w:line="240" w:lineRule="auto"/>
            </w:pPr>
            <w:r>
              <w:rPr>
                <w:sz w:val="18"/>
              </w:rPr>
            </w:r>
            <w:r>
              <w:rPr>
                <w:sz w:val="18"/>
              </w:rPr>
              <w:t>Position within a 20-day, two-standard-deviation envelope</w:t>
            </w:r>
          </w:p>
        </w:tc>
        <w:tc>
          <w:tcPr>
            <w:tcW w:type="dxa" w:w="4032"/>
          </w:tcPr>
          <w:p>
            <w:pPr>
              <w:spacing w:after="40" w:before="40" w:line="240" w:lineRule="auto"/>
            </w:pPr>
            <w:r>
              <w:rPr>
                <w:sz w:val="18"/>
              </w:rPr>
            </w:r>
            <w:r>
              <w:rPr>
                <w:sz w:val="18"/>
              </w:rPr>
              <w:t>Mean-reversion pressure relative to recent range</w:t>
            </w:r>
          </w:p>
        </w:tc>
      </w:tr>
      <w:tr>
        <w:tc>
          <w:tcPr>
            <w:tcW w:type="dxa" w:w="648"/>
          </w:tcPr>
          <w:p>
            <w:pPr>
              <w:spacing w:after="40" w:before="40" w:line="240" w:lineRule="auto"/>
            </w:pPr>
            <w:r>
              <w:rPr>
                <w:sz w:val="18"/>
              </w:rPr>
            </w:r>
            <w:r>
              <w:rPr>
                <w:sz w:val="18"/>
              </w:rPr>
              <w:t>13–15</w:t>
            </w:r>
          </w:p>
        </w:tc>
        <w:tc>
          <w:tcPr>
            <w:tcW w:type="dxa" w:w="1944"/>
          </w:tcPr>
          <w:p>
            <w:pPr>
              <w:spacing w:after="40" w:before="40" w:line="240" w:lineRule="auto"/>
            </w:pPr>
            <w:r>
              <w:rPr>
                <w:sz w:val="18"/>
              </w:rPr>
            </w:r>
            <w:r>
              <w:rPr>
                <w:sz w:val="18"/>
              </w:rPr>
              <w:t>Relative volume</w:t>
            </w:r>
          </w:p>
        </w:tc>
        <w:tc>
          <w:tcPr>
            <w:tcW w:type="dxa" w:w="3456"/>
          </w:tcPr>
          <w:p>
            <w:pPr>
              <w:spacing w:after="40" w:before="40" w:line="240" w:lineRule="auto"/>
            </w:pPr>
            <w:r>
              <w:rPr>
                <w:sz w:val="18"/>
              </w:rPr>
            </w:r>
            <w:r>
              <w:rPr>
                <w:sz w:val="18"/>
              </w:rPr>
              <w:t>Volume divided by its rolling mean over 5, 10 and 20 days</w:t>
            </w:r>
          </w:p>
        </w:tc>
        <w:tc>
          <w:tcPr>
            <w:tcW w:type="dxa" w:w="4032"/>
          </w:tcPr>
          <w:p>
            <w:pPr>
              <w:spacing w:after="40" w:before="40" w:line="240" w:lineRule="auto"/>
            </w:pPr>
            <w:r>
              <w:rPr>
                <w:sz w:val="18"/>
              </w:rPr>
            </w:r>
            <w:r>
              <w:rPr>
                <w:sz w:val="18"/>
              </w:rPr>
              <w:t>Participation and liquidity shifts</w:t>
            </w:r>
          </w:p>
        </w:tc>
      </w:tr>
    </w:tbl>
    <w:p>
      <w:pPr>
        <w:spacing w:before="60" w:after="240" w:line="240" w:lineRule="auto"/>
        <w:jc w:val="center"/>
      </w:pPr>
      <w:r>
        <w:rPr>
          <w:i/>
          <w:sz w:val="20"/>
        </w:rPr>
        <w:t>Table 6.x.2 — The fifteen features engineered for each counter</w:t>
      </w:r>
    </w:p>
    <w:p>
      <w:pPr>
        <w:jc w:val="both"/>
      </w:pPr>
      <w:r>
        <w:t>The feature routine emits columns grouped by indicator type. The encoder, however, requires them grouped by asset, so that the flat matrix can be reshaped into per-asset blocks. A reordering step therefore rearranges the columns so that each counter's fifteen features are contiguous and appear in an identical order for every counter. This is a correctness requirement rather than a convenience: without it, the reshape would slice across unrelated counters and each vector handed to the encoder would be a meaningless mixture of different companies' indicators, with no error raised. The implementation asserts that the resulting dimension equals the number of assets multiplied by the number of features per asset, so that a mismatch fails loudly.</w:t>
      </w:r>
    </w:p>
    <w:p>
      <w:pPr>
        <w:pStyle w:val="Heading3"/>
      </w:pPr>
      <w:r>
        <w:t>6.x.4 Chronological Splitting and Normalisation</w:t>
      </w:r>
    </w:p>
    <w:p>
      <w:pPr>
        <w:jc w:val="both"/>
      </w:pPr>
      <w:r>
        <w:t>Financial series must never be shuffled, because a random split would allow the model to observe the future. The 816 rows are therefore divided in strict time order.</w:t>
      </w:r>
    </w:p>
    <w:tbl>
      <w:tblPr>
        <w:tblStyle w:val="TableGrid"/>
        <w:tblW w:type="auto" w:w="0"/>
        <w:jc w:val="center"/>
        <w:tblLook w:firstColumn="1" w:firstRow="1" w:lastColumn="0" w:lastRow="0" w:noHBand="0" w:noVBand="1" w:val="04A0"/>
      </w:tblPr>
      <w:tblGrid>
        <w:gridCol w:w="1829"/>
        <w:gridCol w:w="1829"/>
        <w:gridCol w:w="1829"/>
        <w:gridCol w:w="1829"/>
        <w:gridCol w:w="1829"/>
      </w:tblGrid>
      <w:tr>
        <w:tc>
          <w:tcPr>
            <w:tcW w:type="dxa" w:w="1584"/>
            <w:shd w:val="clear" w:color="auto" w:fill="D9D9D9"/>
          </w:tcPr>
          <w:p>
            <w:pPr>
              <w:spacing w:after="40" w:before="40" w:line="240" w:lineRule="auto"/>
              <w:jc w:val="center"/>
            </w:pPr>
            <w:r/>
            <w:r>
              <w:rPr>
                <w:b/>
                <w:sz w:val="19"/>
              </w:rPr>
              <w:t>Split</w:t>
            </w:r>
          </w:p>
        </w:tc>
        <w:tc>
          <w:tcPr>
            <w:tcW w:type="dxa" w:w="1440"/>
            <w:shd w:val="clear" w:color="auto" w:fill="D9D9D9"/>
          </w:tcPr>
          <w:p>
            <w:pPr>
              <w:spacing w:after="40" w:before="40" w:line="240" w:lineRule="auto"/>
              <w:jc w:val="center"/>
            </w:pPr>
            <w:r/>
            <w:r>
              <w:rPr>
                <w:b/>
                <w:sz w:val="19"/>
              </w:rPr>
              <w:t>Proportion</w:t>
            </w:r>
          </w:p>
        </w:tc>
        <w:tc>
          <w:tcPr>
            <w:tcW w:type="dxa" w:w="1008"/>
            <w:shd w:val="clear" w:color="auto" w:fill="D9D9D9"/>
          </w:tcPr>
          <w:p>
            <w:pPr>
              <w:spacing w:after="40" w:before="40" w:line="240" w:lineRule="auto"/>
              <w:jc w:val="center"/>
            </w:pPr>
            <w:r/>
            <w:r>
              <w:rPr>
                <w:b/>
                <w:sz w:val="19"/>
              </w:rPr>
              <w:t>Rows</w:t>
            </w:r>
          </w:p>
        </w:tc>
        <w:tc>
          <w:tcPr>
            <w:tcW w:type="dxa" w:w="2016"/>
            <w:shd w:val="clear" w:color="auto" w:fill="D9D9D9"/>
          </w:tcPr>
          <w:p>
            <w:pPr>
              <w:spacing w:after="40" w:before="40" w:line="240" w:lineRule="auto"/>
              <w:jc w:val="center"/>
            </w:pPr>
            <w:r/>
            <w:r>
              <w:rPr>
                <w:b/>
                <w:sz w:val="19"/>
              </w:rPr>
              <w:t>Windows produced</w:t>
            </w:r>
          </w:p>
        </w:tc>
        <w:tc>
          <w:tcPr>
            <w:tcW w:type="dxa" w:w="4032"/>
            <w:shd w:val="clear" w:color="auto" w:fill="D9D9D9"/>
          </w:tcPr>
          <w:p>
            <w:pPr>
              <w:spacing w:after="40" w:before="40" w:line="240" w:lineRule="auto"/>
              <w:jc w:val="center"/>
            </w:pPr>
            <w:r/>
            <w:r>
              <w:rPr>
                <w:b/>
                <w:sz w:val="19"/>
              </w:rPr>
              <w:t>Purpose</w:t>
            </w:r>
          </w:p>
        </w:tc>
      </w:tr>
      <w:tr>
        <w:tc>
          <w:tcPr>
            <w:tcW w:type="dxa" w:w="1584"/>
          </w:tcPr>
          <w:p>
            <w:pPr>
              <w:spacing w:after="40" w:before="40" w:line="240" w:lineRule="auto"/>
            </w:pPr>
            <w:r>
              <w:rPr>
                <w:sz w:val="19"/>
              </w:rPr>
            </w:r>
            <w:r>
              <w:rPr>
                <w:sz w:val="19"/>
              </w:rPr>
              <w:t>Training</w:t>
            </w:r>
          </w:p>
        </w:tc>
        <w:tc>
          <w:tcPr>
            <w:tcW w:type="dxa" w:w="1440"/>
          </w:tcPr>
          <w:p>
            <w:pPr>
              <w:spacing w:after="40" w:before="40" w:line="240" w:lineRule="auto"/>
            </w:pPr>
            <w:r>
              <w:rPr>
                <w:sz w:val="19"/>
              </w:rPr>
            </w:r>
            <w:r>
              <w:rPr>
                <w:sz w:val="19"/>
              </w:rPr>
              <w:t>70%</w:t>
            </w:r>
          </w:p>
        </w:tc>
        <w:tc>
          <w:tcPr>
            <w:tcW w:type="dxa" w:w="1008"/>
          </w:tcPr>
          <w:p>
            <w:pPr>
              <w:spacing w:after="40" w:before="40" w:line="240" w:lineRule="auto"/>
            </w:pPr>
            <w:r>
              <w:rPr>
                <w:sz w:val="19"/>
              </w:rPr>
            </w:r>
            <w:r>
              <w:rPr>
                <w:sz w:val="19"/>
              </w:rPr>
              <w:t>571</w:t>
            </w:r>
          </w:p>
        </w:tc>
        <w:tc>
          <w:tcPr>
            <w:tcW w:type="dxa" w:w="2016"/>
          </w:tcPr>
          <w:p>
            <w:pPr>
              <w:spacing w:after="40" w:before="40" w:line="240" w:lineRule="auto"/>
            </w:pPr>
            <w:r>
              <w:rPr>
                <w:sz w:val="19"/>
              </w:rPr>
            </w:r>
            <w:r>
              <w:rPr>
                <w:sz w:val="19"/>
              </w:rPr>
              <w:t>542</w:t>
            </w:r>
          </w:p>
        </w:tc>
        <w:tc>
          <w:tcPr>
            <w:tcW w:type="dxa" w:w="4032"/>
          </w:tcPr>
          <w:p>
            <w:pPr>
              <w:spacing w:after="40" w:before="40" w:line="240" w:lineRule="auto"/>
            </w:pPr>
            <w:r>
              <w:rPr>
                <w:sz w:val="19"/>
              </w:rPr>
            </w:r>
            <w:r>
              <w:rPr>
                <w:sz w:val="19"/>
              </w:rPr>
              <w:t>Rollout collection and policy updates</w:t>
            </w:r>
          </w:p>
        </w:tc>
      </w:tr>
      <w:tr>
        <w:tc>
          <w:tcPr>
            <w:tcW w:type="dxa" w:w="1584"/>
          </w:tcPr>
          <w:p>
            <w:pPr>
              <w:spacing w:after="40" w:before="40" w:line="240" w:lineRule="auto"/>
            </w:pPr>
            <w:r>
              <w:rPr>
                <w:sz w:val="19"/>
              </w:rPr>
            </w:r>
            <w:r>
              <w:rPr>
                <w:sz w:val="19"/>
              </w:rPr>
              <w:t>Validation</w:t>
            </w:r>
          </w:p>
        </w:tc>
        <w:tc>
          <w:tcPr>
            <w:tcW w:type="dxa" w:w="1440"/>
          </w:tcPr>
          <w:p>
            <w:pPr>
              <w:spacing w:after="40" w:before="40" w:line="240" w:lineRule="auto"/>
            </w:pPr>
            <w:r>
              <w:rPr>
                <w:sz w:val="19"/>
              </w:rPr>
            </w:r>
            <w:r>
              <w:rPr>
                <w:sz w:val="19"/>
              </w:rPr>
              <w:t>15%</w:t>
            </w:r>
          </w:p>
        </w:tc>
        <w:tc>
          <w:tcPr>
            <w:tcW w:type="dxa" w:w="1008"/>
          </w:tcPr>
          <w:p>
            <w:pPr>
              <w:spacing w:after="40" w:before="40" w:line="240" w:lineRule="auto"/>
            </w:pPr>
            <w:r>
              <w:rPr>
                <w:sz w:val="19"/>
              </w:rPr>
            </w:r>
            <w:r>
              <w:rPr>
                <w:sz w:val="19"/>
              </w:rPr>
              <w:t>122</w:t>
            </w:r>
          </w:p>
        </w:tc>
        <w:tc>
          <w:tcPr>
            <w:tcW w:type="dxa" w:w="2016"/>
          </w:tcPr>
          <w:p>
            <w:pPr>
              <w:spacing w:after="40" w:before="40" w:line="240" w:lineRule="auto"/>
            </w:pPr>
            <w:r>
              <w:rPr>
                <w:sz w:val="19"/>
              </w:rPr>
            </w:r>
            <w:r>
              <w:rPr>
                <w:sz w:val="19"/>
              </w:rPr>
              <w:t>93</w:t>
            </w:r>
          </w:p>
        </w:tc>
        <w:tc>
          <w:tcPr>
            <w:tcW w:type="dxa" w:w="4032"/>
          </w:tcPr>
          <w:p>
            <w:pPr>
              <w:spacing w:after="40" w:before="40" w:line="240" w:lineRule="auto"/>
            </w:pPr>
            <w:r>
              <w:rPr>
                <w:sz w:val="19"/>
              </w:rPr>
            </w:r>
            <w:r>
              <w:rPr>
                <w:sz w:val="19"/>
              </w:rPr>
              <w:t>Model selection and early stopping</w:t>
            </w:r>
          </w:p>
        </w:tc>
      </w:tr>
      <w:tr>
        <w:tc>
          <w:tcPr>
            <w:tcW w:type="dxa" w:w="1584"/>
          </w:tcPr>
          <w:p>
            <w:pPr>
              <w:spacing w:after="40" w:before="40" w:line="240" w:lineRule="auto"/>
            </w:pPr>
            <w:r>
              <w:rPr>
                <w:sz w:val="19"/>
              </w:rPr>
            </w:r>
            <w:r>
              <w:rPr>
                <w:sz w:val="19"/>
              </w:rPr>
              <w:t>Test</w:t>
            </w:r>
          </w:p>
        </w:tc>
        <w:tc>
          <w:tcPr>
            <w:tcW w:type="dxa" w:w="1440"/>
          </w:tcPr>
          <w:p>
            <w:pPr>
              <w:spacing w:after="40" w:before="40" w:line="240" w:lineRule="auto"/>
            </w:pPr>
            <w:r>
              <w:rPr>
                <w:sz w:val="19"/>
              </w:rPr>
            </w:r>
            <w:r>
              <w:rPr>
                <w:sz w:val="19"/>
              </w:rPr>
              <w:t>15%</w:t>
            </w:r>
          </w:p>
        </w:tc>
        <w:tc>
          <w:tcPr>
            <w:tcW w:type="dxa" w:w="1008"/>
          </w:tcPr>
          <w:p>
            <w:pPr>
              <w:spacing w:after="40" w:before="40" w:line="240" w:lineRule="auto"/>
            </w:pPr>
            <w:r>
              <w:rPr>
                <w:sz w:val="19"/>
              </w:rPr>
            </w:r>
            <w:r>
              <w:rPr>
                <w:sz w:val="19"/>
              </w:rPr>
              <w:t>123</w:t>
            </w:r>
          </w:p>
        </w:tc>
        <w:tc>
          <w:tcPr>
            <w:tcW w:type="dxa" w:w="2016"/>
          </w:tcPr>
          <w:p>
            <w:pPr>
              <w:spacing w:after="40" w:before="40" w:line="240" w:lineRule="auto"/>
            </w:pPr>
            <w:r>
              <w:rPr>
                <w:sz w:val="19"/>
              </w:rPr>
            </w:r>
            <w:r>
              <w:rPr>
                <w:sz w:val="19"/>
              </w:rPr>
              <w:t>94</w:t>
            </w:r>
          </w:p>
        </w:tc>
        <w:tc>
          <w:tcPr>
            <w:tcW w:type="dxa" w:w="4032"/>
          </w:tcPr>
          <w:p>
            <w:pPr>
              <w:spacing w:after="40" w:before="40" w:line="240" w:lineRule="auto"/>
            </w:pPr>
            <w:r>
              <w:rPr>
                <w:sz w:val="19"/>
              </w:rPr>
            </w:r>
            <w:r>
              <w:rPr>
                <w:sz w:val="19"/>
              </w:rPr>
              <w:t>Final held-out evaluation, reported once</w:t>
            </w:r>
          </w:p>
        </w:tc>
      </w:tr>
    </w:tbl>
    <w:p>
      <w:pPr>
        <w:spacing w:before="60" w:after="240" w:line="240" w:lineRule="auto"/>
        <w:jc w:val="center"/>
      </w:pPr>
      <w:r>
        <w:rPr>
          <w:i/>
          <w:sz w:val="20"/>
        </w:rPr>
        <w:t>Table 6.x.3 — Chronological data splits</w:t>
      </w:r>
    </w:p>
    <w:p>
      <w:pPr>
        <w:jc w:val="both"/>
      </w:pPr>
      <w:r>
        <w:t>Normalisation is the step at which leakage is most easily introduced. A standardisation scaler is fitted on the training block alone, and the same fitted scaler is applied unchanged to the validation and test blocks. Because the mean and standard deviation derive only from the training period, no information about the evaluation periods reaches the model. This is the single most common source of inflated backtest results in the reinforcement learning portfolio literature and is worth stating explicitly when the results are presented.</w:t>
      </w:r>
    </w:p>
    <w:p>
      <w:pPr>
        <w:pStyle w:val="Heading3"/>
      </w:pPr>
      <w:r>
        <w:t>6.x.5 Windowing</w:t>
      </w:r>
    </w:p>
    <w:p>
      <w:pPr>
        <w:jc w:val="both"/>
      </w:pPr>
      <w:r>
        <w:t>A market regime is a property of a stretch of time rather than of a single day, so the model never observes an isolated row. Sliding windows of thirty days are formed with unit stride, each window forming one observation whose final row is the decision day. Prices are aligned to that final row. Windows are formed after the chronological split, so no window spans a split boundary.</w:t>
      </w:r>
    </w:p>
    <w:p>
      <w:pPr>
        <w:spacing w:after="200" w:before="120" w:line="240" w:lineRule="auto"/>
        <w:ind w:left="144"/>
      </w:pPr>
      <w:r>
        <w:rPr>
          <w:rFonts w:ascii="Consolas" w:hAnsi="Consolas"/>
          <w:sz w:val="17"/>
        </w:rPr>
        <w:t>normalised features                sliding windows (stride 1)</w:t>
        <w:br/>
        <w:t xml:space="preserve">      (571, 150)              --&gt;          (542, 30, 150)</w:t>
        <w:br/>
        <w:br/>
        <w:t xml:space="preserve">  window[0]   = rows   0 ..  29     decision taken on day  29</w:t>
        <w:br/>
        <w:t xml:space="preserve">  window[1]   = rows   1 ..  30     decision taken on day  30</w:t>
        <w:br/>
        <w:t xml:space="preserve">   ...</w:t>
        <w:br/>
        <w:t xml:space="preserve">  window[541] = rows 541 .. 570     decision taken on day 570</w:t>
        <w:br/>
        <w:br/>
        <w:t xml:space="preserve">  inside the encoder, each (30, 150) window is viewed as</w:t>
        <w:br/>
        <w:t xml:space="preserve">  (30, 10, 15) and permuted to (10, 30, 15) = (asset, time, feature)</w:t>
      </w:r>
    </w:p>
    <w:p>
      <w:pPr>
        <w:spacing w:before="60" w:after="240" w:line="240" w:lineRule="auto"/>
        <w:jc w:val="center"/>
      </w:pPr>
      <w:r>
        <w:rPr>
          <w:i/>
          <w:sz w:val="20"/>
        </w:rPr>
        <w:t>Figure 6.x.2 — Construction of the observation tensor</w:t>
      </w:r>
    </w:p>
    <w:p>
      <w:pPr>
        <w:pStyle w:val="Heading3"/>
      </w:pPr>
      <w:r>
        <w:t>6.x.6 Model Implementation and Parameter Budget</w:t>
      </w:r>
    </w:p>
    <w:p>
      <w:pPr>
        <w:jc w:val="both"/>
      </w:pPr>
      <w:r>
        <w:t>All components are implemented as PyTorch modules and composed into a single agent class, so that one call to the backward pass reaches every parameter. Table 6.x.4 gives the parameter budget of the configuration used for the reported results.</w:t>
      </w:r>
    </w:p>
    <w:tbl>
      <w:tblPr>
        <w:tblStyle w:val="TableGrid"/>
        <w:tblW w:type="auto" w:w="0"/>
        <w:jc w:val="center"/>
        <w:tblLook w:firstColumn="1" w:firstRow="1" w:lastColumn="0" w:lastRow="0" w:noHBand="0" w:noVBand="1" w:val="04A0"/>
      </w:tblPr>
      <w:tblGrid>
        <w:gridCol w:w="3048"/>
        <w:gridCol w:w="3048"/>
        <w:gridCol w:w="3048"/>
      </w:tblGrid>
      <w:tr>
        <w:tc>
          <w:tcPr>
            <w:tcW w:type="dxa" w:w="4608"/>
            <w:shd w:val="clear" w:color="auto" w:fill="D9D9D9"/>
          </w:tcPr>
          <w:p>
            <w:pPr>
              <w:spacing w:after="40" w:before="40" w:line="240" w:lineRule="auto"/>
              <w:jc w:val="center"/>
            </w:pPr>
            <w:r/>
            <w:r>
              <w:rPr>
                <w:b/>
                <w:sz w:val="19"/>
              </w:rPr>
              <w:t>Component</w:t>
            </w:r>
          </w:p>
        </w:tc>
        <w:tc>
          <w:tcPr>
            <w:tcW w:type="dxa" w:w="2880"/>
            <w:shd w:val="clear" w:color="auto" w:fill="D9D9D9"/>
          </w:tcPr>
          <w:p>
            <w:pPr>
              <w:spacing w:after="40" w:before="40" w:line="240" w:lineRule="auto"/>
              <w:jc w:val="center"/>
            </w:pPr>
            <w:r/>
            <w:r>
              <w:rPr>
                <w:b/>
                <w:sz w:val="19"/>
              </w:rPr>
              <w:t>Trainable parameters</w:t>
            </w:r>
          </w:p>
        </w:tc>
        <w:tc>
          <w:tcPr>
            <w:tcW w:type="dxa" w:w="2304"/>
            <w:shd w:val="clear" w:color="auto" w:fill="D9D9D9"/>
          </w:tcPr>
          <w:p>
            <w:pPr>
              <w:spacing w:after="40" w:before="40" w:line="240" w:lineRule="auto"/>
              <w:jc w:val="center"/>
            </w:pPr>
            <w:r/>
            <w:r>
              <w:rPr>
                <w:b/>
                <w:sz w:val="19"/>
              </w:rPr>
              <w:t>Share of total</w:t>
            </w:r>
          </w:p>
        </w:tc>
      </w:tr>
      <w:tr>
        <w:tc>
          <w:tcPr>
            <w:tcW w:type="dxa" w:w="4608"/>
          </w:tcPr>
          <w:p>
            <w:pPr>
              <w:spacing w:after="40" w:before="40" w:line="240" w:lineRule="auto"/>
            </w:pPr>
            <w:r>
              <w:rPr>
                <w:sz w:val="19"/>
              </w:rPr>
            </w:r>
            <w:r>
              <w:rPr>
                <w:sz w:val="19"/>
              </w:rPr>
              <w:t>Differentiable regime encoder</w:t>
            </w:r>
          </w:p>
        </w:tc>
        <w:tc>
          <w:tcPr>
            <w:tcW w:type="dxa" w:w="2880"/>
          </w:tcPr>
          <w:p>
            <w:pPr>
              <w:spacing w:after="40" w:before="40" w:line="240" w:lineRule="auto"/>
            </w:pPr>
            <w:r>
              <w:rPr>
                <w:sz w:val="19"/>
              </w:rPr>
            </w:r>
            <w:r>
              <w:rPr>
                <w:sz w:val="19"/>
              </w:rPr>
              <w:t>505,989</w:t>
            </w:r>
          </w:p>
        </w:tc>
        <w:tc>
          <w:tcPr>
            <w:tcW w:type="dxa" w:w="2304"/>
          </w:tcPr>
          <w:p>
            <w:pPr>
              <w:spacing w:after="40" w:before="40" w:line="240" w:lineRule="auto"/>
            </w:pPr>
            <w:r>
              <w:rPr>
                <w:sz w:val="19"/>
              </w:rPr>
            </w:r>
            <w:r>
              <w:rPr>
                <w:sz w:val="19"/>
              </w:rPr>
              <w:t>79.0%</w:t>
            </w:r>
          </w:p>
        </w:tc>
      </w:tr>
      <w:tr>
        <w:tc>
          <w:tcPr>
            <w:tcW w:type="dxa" w:w="4608"/>
          </w:tcPr>
          <w:p>
            <w:pPr>
              <w:spacing w:after="40" w:before="40" w:line="240" w:lineRule="auto"/>
            </w:pPr>
            <w:r>
              <w:rPr>
                <w:sz w:val="19"/>
              </w:rPr>
            </w:r>
            <w:r>
              <w:rPr>
                <w:sz w:val="19"/>
              </w:rPr>
              <w:t>Actor network</w:t>
            </w:r>
          </w:p>
        </w:tc>
        <w:tc>
          <w:tcPr>
            <w:tcW w:type="dxa" w:w="2880"/>
          </w:tcPr>
          <w:p>
            <w:pPr>
              <w:spacing w:after="40" w:before="40" w:line="240" w:lineRule="auto"/>
            </w:pPr>
            <w:r>
              <w:rPr>
                <w:sz w:val="19"/>
              </w:rPr>
            </w:r>
            <w:r>
              <w:rPr>
                <w:sz w:val="19"/>
              </w:rPr>
              <w:t>67,339</w:t>
            </w:r>
          </w:p>
        </w:tc>
        <w:tc>
          <w:tcPr>
            <w:tcW w:type="dxa" w:w="2304"/>
          </w:tcPr>
          <w:p>
            <w:pPr>
              <w:spacing w:after="40" w:before="40" w:line="240" w:lineRule="auto"/>
            </w:pPr>
            <w:r>
              <w:rPr>
                <w:sz w:val="19"/>
              </w:rPr>
            </w:r>
            <w:r>
              <w:rPr>
                <w:sz w:val="19"/>
              </w:rPr>
              <w:t>10.5%</w:t>
            </w:r>
          </w:p>
        </w:tc>
      </w:tr>
      <w:tr>
        <w:tc>
          <w:tcPr>
            <w:tcW w:type="dxa" w:w="4608"/>
          </w:tcPr>
          <w:p>
            <w:pPr>
              <w:spacing w:after="40" w:before="40" w:line="240" w:lineRule="auto"/>
            </w:pPr>
            <w:r>
              <w:rPr>
                <w:sz w:val="19"/>
              </w:rPr>
            </w:r>
            <w:r>
              <w:rPr>
                <w:sz w:val="19"/>
              </w:rPr>
              <w:t>Critic network</w:t>
            </w:r>
          </w:p>
        </w:tc>
        <w:tc>
          <w:tcPr>
            <w:tcW w:type="dxa" w:w="2880"/>
          </w:tcPr>
          <w:p>
            <w:pPr>
              <w:spacing w:after="40" w:before="40" w:line="240" w:lineRule="auto"/>
            </w:pPr>
            <w:r>
              <w:rPr>
                <w:sz w:val="19"/>
              </w:rPr>
            </w:r>
            <w:r>
              <w:rPr>
                <w:sz w:val="19"/>
              </w:rPr>
              <w:t>67,329</w:t>
            </w:r>
          </w:p>
        </w:tc>
        <w:tc>
          <w:tcPr>
            <w:tcW w:type="dxa" w:w="2304"/>
          </w:tcPr>
          <w:p>
            <w:pPr>
              <w:spacing w:after="40" w:before="40" w:line="240" w:lineRule="auto"/>
            </w:pPr>
            <w:r>
              <w:rPr>
                <w:sz w:val="19"/>
              </w:rPr>
            </w:r>
            <w:r>
              <w:rPr>
                <w:sz w:val="19"/>
              </w:rPr>
              <w:t>10.5%</w:t>
            </w:r>
          </w:p>
        </w:tc>
      </w:tr>
      <w:tr>
        <w:tc>
          <w:tcPr>
            <w:tcW w:type="dxa" w:w="4608"/>
          </w:tcPr>
          <w:p>
            <w:pPr>
              <w:spacing w:after="40" w:before="40" w:line="240" w:lineRule="auto"/>
            </w:pPr>
            <w:r>
              <w:rPr>
                <w:sz w:val="19"/>
              </w:rPr>
            </w:r>
            <w:r>
              <w:rPr>
                <w:b/>
                <w:sz w:val="19"/>
              </w:rPr>
              <w:t>Total</w:t>
            </w:r>
          </w:p>
        </w:tc>
        <w:tc>
          <w:tcPr>
            <w:tcW w:type="dxa" w:w="2880"/>
          </w:tcPr>
          <w:p>
            <w:pPr>
              <w:spacing w:after="40" w:before="40" w:line="240" w:lineRule="auto"/>
            </w:pPr>
            <w:r>
              <w:rPr>
                <w:sz w:val="19"/>
              </w:rPr>
            </w:r>
            <w:r>
              <w:rPr>
                <w:b/>
                <w:sz w:val="19"/>
              </w:rPr>
              <w:t>640,657</w:t>
            </w:r>
          </w:p>
        </w:tc>
        <w:tc>
          <w:tcPr>
            <w:tcW w:type="dxa" w:w="2304"/>
          </w:tcPr>
          <w:p>
            <w:pPr>
              <w:spacing w:after="40" w:before="40" w:line="240" w:lineRule="auto"/>
            </w:pPr>
            <w:r>
              <w:rPr>
                <w:sz w:val="19"/>
              </w:rPr>
            </w:r>
            <w:r>
              <w:rPr>
                <w:b/>
                <w:sz w:val="19"/>
              </w:rPr>
              <w:t>100%</w:t>
            </w:r>
          </w:p>
        </w:tc>
      </w:tr>
    </w:tbl>
    <w:p>
      <w:pPr>
        <w:spacing w:before="60" w:after="240" w:line="240" w:lineRule="auto"/>
        <w:jc w:val="center"/>
      </w:pPr>
      <w:r>
        <w:rPr>
          <w:i/>
          <w:sz w:val="20"/>
        </w:rPr>
        <w:t>Table 6.x.4 — Parameter budget</w:t>
      </w:r>
    </w:p>
    <w:p>
      <w:pPr>
        <w:jc w:val="both"/>
      </w:pPr>
      <w:r>
        <w:t>The concentration of parameters in the encoder is expected and is consistent with the design intent: the representation of market state is the substantive part of the model, while the two heads are comparatively thin readouts of it. The per-asset weight sharing in the actor means that its parameter count would be unchanged if the universe were expanded.</w:t>
      </w:r>
    </w:p>
    <w:p>
      <w:pPr>
        <w:jc w:val="both"/>
      </w:pPr>
      <w:r>
        <w:t>Table 6.x.5 traces one observation through the full system, with the tensor shape at each stage. The batch dimension is omitted.</w:t>
      </w:r>
    </w:p>
    <w:tbl>
      <w:tblPr>
        <w:tblStyle w:val="TableGrid"/>
        <w:tblW w:type="auto" w:w="0"/>
        <w:jc w:val="center"/>
        <w:tblLook w:firstColumn="1" w:firstRow="1" w:lastColumn="0" w:lastRow="0" w:noHBand="0" w:noVBand="1" w:val="04A0"/>
      </w:tblPr>
      <w:tblGrid>
        <w:gridCol w:w="2286"/>
        <w:gridCol w:w="2286"/>
        <w:gridCol w:w="2286"/>
        <w:gridCol w:w="2286"/>
      </w:tblGrid>
      <w:tr>
        <w:tc>
          <w:tcPr>
            <w:tcW w:type="dxa" w:w="576"/>
            <w:shd w:val="clear" w:color="auto" w:fill="D9D9D9"/>
          </w:tcPr>
          <w:p>
            <w:pPr>
              <w:spacing w:after="40" w:before="40" w:line="240" w:lineRule="auto"/>
              <w:jc w:val="center"/>
            </w:pPr>
            <w:r/>
            <w:r>
              <w:rPr>
                <w:b/>
                <w:sz w:val="18"/>
              </w:rPr>
              <w:t>#</w:t>
            </w:r>
          </w:p>
        </w:tc>
        <w:tc>
          <w:tcPr>
            <w:tcW w:type="dxa" w:w="3312"/>
            <w:shd w:val="clear" w:color="auto" w:fill="D9D9D9"/>
          </w:tcPr>
          <w:p>
            <w:pPr>
              <w:spacing w:after="40" w:before="40" w:line="240" w:lineRule="auto"/>
              <w:jc w:val="center"/>
            </w:pPr>
            <w:r/>
            <w:r>
              <w:rPr>
                <w:b/>
                <w:sz w:val="18"/>
              </w:rPr>
              <w:t>Stage</w:t>
            </w:r>
          </w:p>
        </w:tc>
        <w:tc>
          <w:tcPr>
            <w:tcW w:type="dxa" w:w="2880"/>
            <w:shd w:val="clear" w:color="auto" w:fill="D9D9D9"/>
          </w:tcPr>
          <w:p>
            <w:pPr>
              <w:spacing w:after="40" w:before="40" w:line="240" w:lineRule="auto"/>
              <w:jc w:val="center"/>
            </w:pPr>
            <w:r/>
            <w:r>
              <w:rPr>
                <w:b/>
                <w:sz w:val="18"/>
              </w:rPr>
              <w:t>Input</w:t>
            </w:r>
          </w:p>
        </w:tc>
        <w:tc>
          <w:tcPr>
            <w:tcW w:type="dxa" w:w="3312"/>
            <w:shd w:val="clear" w:color="auto" w:fill="D9D9D9"/>
          </w:tcPr>
          <w:p>
            <w:pPr>
              <w:spacing w:after="40" w:before="40" w:line="240" w:lineRule="auto"/>
              <w:jc w:val="center"/>
            </w:pPr>
            <w:r/>
            <w:r>
              <w:rPr>
                <w:b/>
                <w:sz w:val="18"/>
              </w:rPr>
              <w:t>Output</w:t>
            </w:r>
          </w:p>
        </w:tc>
      </w:tr>
      <w:tr>
        <w:tc>
          <w:tcPr>
            <w:tcW w:type="dxa" w:w="576"/>
          </w:tcPr>
          <w:p>
            <w:pPr>
              <w:spacing w:after="40" w:before="40" w:line="240" w:lineRule="auto"/>
            </w:pPr>
            <w:r>
              <w:rPr>
                <w:sz w:val="18"/>
              </w:rPr>
            </w:r>
            <w:r>
              <w:rPr>
                <w:sz w:val="18"/>
              </w:rPr>
              <w:t>1</w:t>
            </w:r>
          </w:p>
        </w:tc>
        <w:tc>
          <w:tcPr>
            <w:tcW w:type="dxa" w:w="3312"/>
          </w:tcPr>
          <w:p>
            <w:pPr>
              <w:spacing w:after="40" w:before="40" w:line="240" w:lineRule="auto"/>
            </w:pPr>
            <w:r>
              <w:rPr>
                <w:sz w:val="18"/>
              </w:rPr>
            </w:r>
            <w:r>
              <w:rPr>
                <w:sz w:val="18"/>
              </w:rPr>
              <w:t>Feature engineering</w:t>
            </w:r>
          </w:p>
        </w:tc>
        <w:tc>
          <w:tcPr>
            <w:tcW w:type="dxa" w:w="2880"/>
          </w:tcPr>
          <w:p>
            <w:pPr>
              <w:spacing w:after="40" w:before="40" w:line="240" w:lineRule="auto"/>
            </w:pPr>
            <w:r>
              <w:rPr>
                <w:sz w:val="18"/>
              </w:rPr>
            </w:r>
            <w:r>
              <w:rPr>
                <w:sz w:val="18"/>
              </w:rPr>
              <w:t>prices, volumes</w:t>
            </w:r>
          </w:p>
        </w:tc>
        <w:tc>
          <w:tcPr>
            <w:tcW w:type="dxa" w:w="3312"/>
          </w:tcPr>
          <w:p>
            <w:pPr>
              <w:spacing w:after="40" w:before="40" w:line="240" w:lineRule="auto"/>
            </w:pPr>
            <w:r>
              <w:rPr>
                <w:sz w:val="18"/>
              </w:rPr>
            </w:r>
            <w:r>
              <w:rPr>
                <w:rFonts w:ascii="Consolas" w:hAnsi="Consolas"/>
                <w:sz w:val="18"/>
              </w:rPr>
              <w:t>(816, 150)</w:t>
            </w:r>
          </w:p>
        </w:tc>
      </w:tr>
      <w:tr>
        <w:tc>
          <w:tcPr>
            <w:tcW w:type="dxa" w:w="576"/>
          </w:tcPr>
          <w:p>
            <w:pPr>
              <w:spacing w:after="40" w:before="40" w:line="240" w:lineRule="auto"/>
            </w:pPr>
            <w:r>
              <w:rPr>
                <w:sz w:val="18"/>
              </w:rPr>
            </w:r>
            <w:r>
              <w:rPr>
                <w:sz w:val="18"/>
              </w:rPr>
              <w:t>2</w:t>
            </w:r>
          </w:p>
        </w:tc>
        <w:tc>
          <w:tcPr>
            <w:tcW w:type="dxa" w:w="3312"/>
          </w:tcPr>
          <w:p>
            <w:pPr>
              <w:spacing w:after="40" w:before="40" w:line="240" w:lineRule="auto"/>
            </w:pPr>
            <w:r>
              <w:rPr>
                <w:sz w:val="18"/>
              </w:rPr>
            </w:r>
            <w:r>
              <w:rPr>
                <w:sz w:val="18"/>
              </w:rPr>
              <w:t>Per-asset reordering</w:t>
            </w:r>
          </w:p>
        </w:tc>
        <w:tc>
          <w:tcPr>
            <w:tcW w:type="dxa" w:w="2880"/>
          </w:tcPr>
          <w:p>
            <w:pPr>
              <w:spacing w:after="40" w:before="40" w:line="240" w:lineRule="auto"/>
            </w:pPr>
            <w:r>
              <w:rPr>
                <w:sz w:val="18"/>
              </w:rPr>
            </w:r>
            <w:r>
              <w:rPr>
                <w:rFonts w:ascii="Consolas" w:hAnsi="Consolas"/>
                <w:sz w:val="18"/>
              </w:rPr>
              <w:t>(816, 150)</w:t>
            </w:r>
          </w:p>
        </w:tc>
        <w:tc>
          <w:tcPr>
            <w:tcW w:type="dxa" w:w="3312"/>
          </w:tcPr>
          <w:p>
            <w:pPr>
              <w:spacing w:after="40" w:before="40" w:line="240" w:lineRule="auto"/>
            </w:pPr>
            <w:r>
              <w:rPr>
                <w:sz w:val="18"/>
              </w:rPr>
            </w:r>
            <w:r>
              <w:rPr>
                <w:rFonts w:ascii="Consolas" w:hAnsi="Consolas"/>
                <w:sz w:val="18"/>
              </w:rPr>
              <w:t>(816, 150)</w:t>
            </w:r>
            <w:r>
              <w:rPr>
                <w:sz w:val="18"/>
              </w:rPr>
              <w:t xml:space="preserve"> regrouped</w:t>
            </w:r>
          </w:p>
        </w:tc>
      </w:tr>
      <w:tr>
        <w:tc>
          <w:tcPr>
            <w:tcW w:type="dxa" w:w="576"/>
          </w:tcPr>
          <w:p>
            <w:pPr>
              <w:spacing w:after="40" w:before="40" w:line="240" w:lineRule="auto"/>
            </w:pPr>
            <w:r>
              <w:rPr>
                <w:sz w:val="18"/>
              </w:rPr>
            </w:r>
            <w:r>
              <w:rPr>
                <w:sz w:val="18"/>
              </w:rPr>
              <w:t>3</w:t>
            </w:r>
          </w:p>
        </w:tc>
        <w:tc>
          <w:tcPr>
            <w:tcW w:type="dxa" w:w="3312"/>
          </w:tcPr>
          <w:p>
            <w:pPr>
              <w:spacing w:after="40" w:before="40" w:line="240" w:lineRule="auto"/>
            </w:pPr>
            <w:r>
              <w:rPr>
                <w:sz w:val="18"/>
              </w:rPr>
            </w:r>
            <w:r>
              <w:rPr>
                <w:sz w:val="18"/>
              </w:rPr>
              <w:t>Chronological split</w:t>
            </w:r>
          </w:p>
        </w:tc>
        <w:tc>
          <w:tcPr>
            <w:tcW w:type="dxa" w:w="2880"/>
          </w:tcPr>
          <w:p>
            <w:pPr>
              <w:spacing w:after="40" w:before="40" w:line="240" w:lineRule="auto"/>
            </w:pPr>
            <w:r>
              <w:rPr>
                <w:sz w:val="18"/>
              </w:rPr>
            </w:r>
            <w:r>
              <w:rPr>
                <w:rFonts w:ascii="Consolas" w:hAnsi="Consolas"/>
                <w:sz w:val="18"/>
              </w:rPr>
              <w:t>(816, 150)</w:t>
            </w:r>
          </w:p>
        </w:tc>
        <w:tc>
          <w:tcPr>
            <w:tcW w:type="dxa" w:w="3312"/>
          </w:tcPr>
          <w:p>
            <w:pPr>
              <w:spacing w:after="40" w:before="40" w:line="240" w:lineRule="auto"/>
            </w:pPr>
            <w:r>
              <w:rPr>
                <w:sz w:val="18"/>
              </w:rPr>
            </w:r>
            <w:r>
              <w:rPr>
                <w:sz w:val="18"/>
              </w:rPr>
              <w:t>571 / 122 / 123</w:t>
            </w:r>
          </w:p>
        </w:tc>
      </w:tr>
      <w:tr>
        <w:tc>
          <w:tcPr>
            <w:tcW w:type="dxa" w:w="576"/>
          </w:tcPr>
          <w:p>
            <w:pPr>
              <w:spacing w:after="40" w:before="40" w:line="240" w:lineRule="auto"/>
            </w:pPr>
            <w:r>
              <w:rPr>
                <w:sz w:val="18"/>
              </w:rPr>
            </w:r>
            <w:r>
              <w:rPr>
                <w:sz w:val="18"/>
              </w:rPr>
              <w:t>4</w:t>
            </w:r>
          </w:p>
        </w:tc>
        <w:tc>
          <w:tcPr>
            <w:tcW w:type="dxa" w:w="3312"/>
          </w:tcPr>
          <w:p>
            <w:pPr>
              <w:spacing w:after="40" w:before="40" w:line="240" w:lineRule="auto"/>
            </w:pPr>
            <w:r>
              <w:rPr>
                <w:sz w:val="18"/>
              </w:rPr>
            </w:r>
            <w:r>
              <w:rPr>
                <w:sz w:val="18"/>
              </w:rPr>
              <w:t>Normalisation (train-fitted)</w:t>
            </w:r>
          </w:p>
        </w:tc>
        <w:tc>
          <w:tcPr>
            <w:tcW w:type="dxa" w:w="2880"/>
          </w:tcPr>
          <w:p>
            <w:pPr>
              <w:spacing w:after="40" w:before="40" w:line="240" w:lineRule="auto"/>
            </w:pPr>
            <w:r>
              <w:rPr>
                <w:sz w:val="18"/>
              </w:rPr>
            </w:r>
            <w:r>
              <w:rPr>
                <w:rFonts w:ascii="Consolas" w:hAnsi="Consolas"/>
                <w:sz w:val="18"/>
              </w:rPr>
              <w:t>(571, 150)</w:t>
            </w:r>
          </w:p>
        </w:tc>
        <w:tc>
          <w:tcPr>
            <w:tcW w:type="dxa" w:w="3312"/>
          </w:tcPr>
          <w:p>
            <w:pPr>
              <w:spacing w:after="40" w:before="40" w:line="240" w:lineRule="auto"/>
            </w:pPr>
            <w:r>
              <w:rPr>
                <w:sz w:val="18"/>
              </w:rPr>
            </w:r>
            <w:r>
              <w:rPr>
                <w:rFonts w:ascii="Consolas" w:hAnsi="Consolas"/>
                <w:sz w:val="18"/>
              </w:rPr>
              <w:t>(571, 150)</w:t>
            </w:r>
          </w:p>
        </w:tc>
      </w:tr>
      <w:tr>
        <w:tc>
          <w:tcPr>
            <w:tcW w:type="dxa" w:w="576"/>
          </w:tcPr>
          <w:p>
            <w:pPr>
              <w:spacing w:after="40" w:before="40" w:line="240" w:lineRule="auto"/>
            </w:pPr>
            <w:r>
              <w:rPr>
                <w:sz w:val="18"/>
              </w:rPr>
            </w:r>
            <w:r>
              <w:rPr>
                <w:sz w:val="18"/>
              </w:rPr>
              <w:t>5</w:t>
            </w:r>
          </w:p>
        </w:tc>
        <w:tc>
          <w:tcPr>
            <w:tcW w:type="dxa" w:w="3312"/>
          </w:tcPr>
          <w:p>
            <w:pPr>
              <w:spacing w:after="40" w:before="40" w:line="240" w:lineRule="auto"/>
            </w:pPr>
            <w:r>
              <w:rPr>
                <w:sz w:val="18"/>
              </w:rPr>
            </w:r>
            <w:r>
              <w:rPr>
                <w:sz w:val="18"/>
              </w:rPr>
              <w:t>Windowing</w:t>
            </w:r>
          </w:p>
        </w:tc>
        <w:tc>
          <w:tcPr>
            <w:tcW w:type="dxa" w:w="2880"/>
          </w:tcPr>
          <w:p>
            <w:pPr>
              <w:spacing w:after="40" w:before="40" w:line="240" w:lineRule="auto"/>
            </w:pPr>
            <w:r>
              <w:rPr>
                <w:sz w:val="18"/>
              </w:rPr>
            </w:r>
            <w:r>
              <w:rPr>
                <w:rFonts w:ascii="Consolas" w:hAnsi="Consolas"/>
                <w:sz w:val="18"/>
              </w:rPr>
              <w:t>(571, 150)</w:t>
            </w:r>
          </w:p>
        </w:tc>
        <w:tc>
          <w:tcPr>
            <w:tcW w:type="dxa" w:w="3312"/>
          </w:tcPr>
          <w:p>
            <w:pPr>
              <w:spacing w:after="40" w:before="40" w:line="240" w:lineRule="auto"/>
            </w:pPr>
            <w:r>
              <w:rPr>
                <w:sz w:val="18"/>
              </w:rPr>
            </w:r>
            <w:r>
              <w:rPr>
                <w:rFonts w:ascii="Consolas" w:hAnsi="Consolas"/>
                <w:sz w:val="18"/>
              </w:rPr>
              <w:t>(542, 30, 150)</w:t>
            </w:r>
          </w:p>
        </w:tc>
      </w:tr>
      <w:tr>
        <w:tc>
          <w:tcPr>
            <w:tcW w:type="dxa" w:w="576"/>
          </w:tcPr>
          <w:p>
            <w:pPr>
              <w:spacing w:after="40" w:before="40" w:line="240" w:lineRule="auto"/>
            </w:pPr>
            <w:r>
              <w:rPr>
                <w:sz w:val="18"/>
              </w:rPr>
            </w:r>
            <w:r>
              <w:rPr>
                <w:sz w:val="18"/>
              </w:rPr>
              <w:t>6</w:t>
            </w:r>
          </w:p>
        </w:tc>
        <w:tc>
          <w:tcPr>
            <w:tcW w:type="dxa" w:w="3312"/>
          </w:tcPr>
          <w:p>
            <w:pPr>
              <w:spacing w:after="40" w:before="40" w:line="240" w:lineRule="auto"/>
            </w:pPr>
            <w:r>
              <w:rPr>
                <w:sz w:val="18"/>
              </w:rPr>
            </w:r>
            <w:r>
              <w:rPr>
                <w:sz w:val="18"/>
              </w:rPr>
              <w:t>Encoder reshape</w:t>
            </w:r>
          </w:p>
        </w:tc>
        <w:tc>
          <w:tcPr>
            <w:tcW w:type="dxa" w:w="2880"/>
          </w:tcPr>
          <w:p>
            <w:pPr>
              <w:spacing w:after="40" w:before="40" w:line="240" w:lineRule="auto"/>
            </w:pPr>
            <w:r>
              <w:rPr>
                <w:sz w:val="18"/>
              </w:rPr>
            </w:r>
            <w:r>
              <w:rPr>
                <w:rFonts w:ascii="Consolas" w:hAnsi="Consolas"/>
                <w:sz w:val="18"/>
              </w:rPr>
              <w:t>(30, 150)</w:t>
            </w:r>
          </w:p>
        </w:tc>
        <w:tc>
          <w:tcPr>
            <w:tcW w:type="dxa" w:w="3312"/>
          </w:tcPr>
          <w:p>
            <w:pPr>
              <w:spacing w:after="40" w:before="40" w:line="240" w:lineRule="auto"/>
            </w:pPr>
            <w:r>
              <w:rPr>
                <w:sz w:val="18"/>
              </w:rPr>
            </w:r>
            <w:r>
              <w:rPr>
                <w:rFonts w:ascii="Consolas" w:hAnsi="Consolas"/>
                <w:sz w:val="18"/>
              </w:rPr>
              <w:t>(10, 30, 15)</w:t>
            </w:r>
          </w:p>
        </w:tc>
      </w:tr>
      <w:tr>
        <w:tc>
          <w:tcPr>
            <w:tcW w:type="dxa" w:w="576"/>
          </w:tcPr>
          <w:p>
            <w:pPr>
              <w:spacing w:after="40" w:before="40" w:line="240" w:lineRule="auto"/>
            </w:pPr>
            <w:r>
              <w:rPr>
                <w:sz w:val="18"/>
              </w:rPr>
            </w:r>
            <w:r>
              <w:rPr>
                <w:sz w:val="18"/>
              </w:rPr>
              <w:t>7</w:t>
            </w:r>
          </w:p>
        </w:tc>
        <w:tc>
          <w:tcPr>
            <w:tcW w:type="dxa" w:w="3312"/>
          </w:tcPr>
          <w:p>
            <w:pPr>
              <w:spacing w:after="40" w:before="40" w:line="240" w:lineRule="auto"/>
            </w:pPr>
            <w:r>
              <w:rPr>
                <w:sz w:val="18"/>
              </w:rPr>
            </w:r>
            <w:r>
              <w:rPr>
                <w:sz w:val="18"/>
              </w:rPr>
              <w:t>Variable Selection Network</w:t>
            </w:r>
          </w:p>
        </w:tc>
        <w:tc>
          <w:tcPr>
            <w:tcW w:type="dxa" w:w="2880"/>
          </w:tcPr>
          <w:p>
            <w:pPr>
              <w:spacing w:after="40" w:before="40" w:line="240" w:lineRule="auto"/>
            </w:pPr>
            <w:r>
              <w:rPr>
                <w:sz w:val="18"/>
              </w:rPr>
            </w:r>
            <w:r>
              <w:rPr>
                <w:rFonts w:ascii="Consolas" w:hAnsi="Consolas"/>
                <w:sz w:val="18"/>
              </w:rPr>
              <w:t>(10, 30, 15)</w:t>
            </w:r>
          </w:p>
        </w:tc>
        <w:tc>
          <w:tcPr>
            <w:tcW w:type="dxa" w:w="3312"/>
          </w:tcPr>
          <w:p>
            <w:pPr>
              <w:spacing w:after="40" w:before="40" w:line="240" w:lineRule="auto"/>
            </w:pPr>
            <w:r>
              <w:rPr>
                <w:sz w:val="18"/>
              </w:rPr>
            </w:r>
            <w:r>
              <w:rPr>
                <w:rFonts w:ascii="Consolas" w:hAnsi="Consolas"/>
                <w:sz w:val="18"/>
              </w:rPr>
              <w:t>(10, 30, 64)</w:t>
            </w:r>
            <w:r>
              <w:rPr>
                <w:sz w:val="18"/>
              </w:rPr>
              <w:t xml:space="preserve"> + weights</w:t>
            </w:r>
          </w:p>
        </w:tc>
      </w:tr>
      <w:tr>
        <w:tc>
          <w:tcPr>
            <w:tcW w:type="dxa" w:w="576"/>
          </w:tcPr>
          <w:p>
            <w:pPr>
              <w:spacing w:after="40" w:before="40" w:line="240" w:lineRule="auto"/>
            </w:pPr>
            <w:r>
              <w:rPr>
                <w:sz w:val="18"/>
              </w:rPr>
            </w:r>
            <w:r>
              <w:rPr>
                <w:sz w:val="18"/>
              </w:rPr>
              <w:t>8</w:t>
            </w:r>
          </w:p>
        </w:tc>
        <w:tc>
          <w:tcPr>
            <w:tcW w:type="dxa" w:w="3312"/>
          </w:tcPr>
          <w:p>
            <w:pPr>
              <w:spacing w:after="40" w:before="40" w:line="240" w:lineRule="auto"/>
            </w:pPr>
            <w:r>
              <w:rPr>
                <w:sz w:val="18"/>
              </w:rPr>
            </w:r>
            <w:r>
              <w:rPr>
                <w:sz w:val="18"/>
              </w:rPr>
              <w:t>LSTM (2 layers)</w:t>
            </w:r>
          </w:p>
        </w:tc>
        <w:tc>
          <w:tcPr>
            <w:tcW w:type="dxa" w:w="2880"/>
          </w:tcPr>
          <w:p>
            <w:pPr>
              <w:spacing w:after="40" w:before="40" w:line="240" w:lineRule="auto"/>
            </w:pPr>
            <w:r>
              <w:rPr>
                <w:sz w:val="18"/>
              </w:rPr>
            </w:r>
            <w:r>
              <w:rPr>
                <w:rFonts w:ascii="Consolas" w:hAnsi="Consolas"/>
                <w:sz w:val="18"/>
              </w:rPr>
              <w:t>(10, 30, 64)</w:t>
            </w:r>
          </w:p>
        </w:tc>
        <w:tc>
          <w:tcPr>
            <w:tcW w:type="dxa" w:w="3312"/>
          </w:tcPr>
          <w:p>
            <w:pPr>
              <w:spacing w:after="40" w:before="40" w:line="240" w:lineRule="auto"/>
            </w:pPr>
            <w:r>
              <w:rPr>
                <w:sz w:val="18"/>
              </w:rPr>
            </w:r>
            <w:r>
              <w:rPr>
                <w:rFonts w:ascii="Consolas" w:hAnsi="Consolas"/>
                <w:sz w:val="18"/>
              </w:rPr>
              <w:t>(10, 30, 128)</w:t>
            </w:r>
          </w:p>
        </w:tc>
      </w:tr>
      <w:tr>
        <w:tc>
          <w:tcPr>
            <w:tcW w:type="dxa" w:w="576"/>
          </w:tcPr>
          <w:p>
            <w:pPr>
              <w:spacing w:after="40" w:before="40" w:line="240" w:lineRule="auto"/>
            </w:pPr>
            <w:r>
              <w:rPr>
                <w:sz w:val="18"/>
              </w:rPr>
            </w:r>
            <w:r>
              <w:rPr>
                <w:sz w:val="18"/>
              </w:rPr>
              <w:t>9</w:t>
            </w:r>
          </w:p>
        </w:tc>
        <w:tc>
          <w:tcPr>
            <w:tcW w:type="dxa" w:w="3312"/>
          </w:tcPr>
          <w:p>
            <w:pPr>
              <w:spacing w:after="40" w:before="40" w:line="240" w:lineRule="auto"/>
            </w:pPr>
            <w:r>
              <w:rPr>
                <w:sz w:val="18"/>
              </w:rPr>
            </w:r>
            <w:r>
              <w:rPr>
                <w:sz w:val="18"/>
              </w:rPr>
              <w:t>Temporal attention</w:t>
            </w:r>
          </w:p>
        </w:tc>
        <w:tc>
          <w:tcPr>
            <w:tcW w:type="dxa" w:w="2880"/>
          </w:tcPr>
          <w:p>
            <w:pPr>
              <w:spacing w:after="40" w:before="40" w:line="240" w:lineRule="auto"/>
            </w:pPr>
            <w:r>
              <w:rPr>
                <w:sz w:val="18"/>
              </w:rPr>
            </w:r>
            <w:r>
              <w:rPr>
                <w:rFonts w:ascii="Consolas" w:hAnsi="Consolas"/>
                <w:sz w:val="18"/>
              </w:rPr>
              <w:t>(10, 30, 128)</w:t>
            </w:r>
          </w:p>
        </w:tc>
        <w:tc>
          <w:tcPr>
            <w:tcW w:type="dxa" w:w="3312"/>
          </w:tcPr>
          <w:p>
            <w:pPr>
              <w:spacing w:after="40" w:before="40" w:line="240" w:lineRule="auto"/>
            </w:pPr>
            <w:r>
              <w:rPr>
                <w:sz w:val="18"/>
              </w:rPr>
            </w:r>
            <w:r>
              <w:rPr>
                <w:rFonts w:ascii="Consolas" w:hAnsi="Consolas"/>
                <w:sz w:val="18"/>
              </w:rPr>
              <w:t>(10, 30, 128)</w:t>
            </w:r>
            <w:r>
              <w:rPr>
                <w:sz w:val="18"/>
              </w:rPr>
              <w:t xml:space="preserve"> + attention</w:t>
            </w:r>
          </w:p>
        </w:tc>
      </w:tr>
      <w:tr>
        <w:tc>
          <w:tcPr>
            <w:tcW w:type="dxa" w:w="576"/>
          </w:tcPr>
          <w:p>
            <w:pPr>
              <w:spacing w:after="40" w:before="40" w:line="240" w:lineRule="auto"/>
            </w:pPr>
            <w:r>
              <w:rPr>
                <w:sz w:val="18"/>
              </w:rPr>
            </w:r>
            <w:r>
              <w:rPr>
                <w:sz w:val="18"/>
              </w:rPr>
              <w:t>10</w:t>
            </w:r>
          </w:p>
        </w:tc>
        <w:tc>
          <w:tcPr>
            <w:tcW w:type="dxa" w:w="3312"/>
          </w:tcPr>
          <w:p>
            <w:pPr>
              <w:spacing w:after="40" w:before="40" w:line="240" w:lineRule="auto"/>
            </w:pPr>
            <w:r>
              <w:rPr>
                <w:sz w:val="18"/>
              </w:rPr>
            </w:r>
            <w:r>
              <w:rPr>
                <w:sz w:val="18"/>
              </w:rPr>
              <w:t>Final-step slice</w:t>
            </w:r>
          </w:p>
        </w:tc>
        <w:tc>
          <w:tcPr>
            <w:tcW w:type="dxa" w:w="2880"/>
          </w:tcPr>
          <w:p>
            <w:pPr>
              <w:spacing w:after="40" w:before="40" w:line="240" w:lineRule="auto"/>
            </w:pPr>
            <w:r>
              <w:rPr>
                <w:sz w:val="18"/>
              </w:rPr>
            </w:r>
            <w:r>
              <w:rPr>
                <w:rFonts w:ascii="Consolas" w:hAnsi="Consolas"/>
                <w:sz w:val="18"/>
              </w:rPr>
              <w:t>(10, 30, 128)</w:t>
            </w:r>
          </w:p>
        </w:tc>
        <w:tc>
          <w:tcPr>
            <w:tcW w:type="dxa" w:w="3312"/>
          </w:tcPr>
          <w:p>
            <w:pPr>
              <w:spacing w:after="40" w:before="40" w:line="240" w:lineRule="auto"/>
            </w:pPr>
            <w:r>
              <w:rPr>
                <w:sz w:val="18"/>
              </w:rPr>
            </w:r>
            <w:r>
              <w:rPr>
                <w:rFonts w:ascii="Consolas" w:hAnsi="Consolas"/>
                <w:sz w:val="18"/>
              </w:rPr>
              <w:t>(10, 128)</w:t>
            </w:r>
          </w:p>
        </w:tc>
      </w:tr>
      <w:tr>
        <w:tc>
          <w:tcPr>
            <w:tcW w:type="dxa" w:w="576"/>
          </w:tcPr>
          <w:p>
            <w:pPr>
              <w:spacing w:after="40" w:before="40" w:line="240" w:lineRule="auto"/>
            </w:pPr>
            <w:r>
              <w:rPr>
                <w:sz w:val="18"/>
              </w:rPr>
            </w:r>
            <w:r>
              <w:rPr>
                <w:sz w:val="18"/>
              </w:rPr>
              <w:t>11</w:t>
            </w:r>
          </w:p>
        </w:tc>
        <w:tc>
          <w:tcPr>
            <w:tcW w:type="dxa" w:w="3312"/>
          </w:tcPr>
          <w:p>
            <w:pPr>
              <w:spacing w:after="40" w:before="40" w:line="240" w:lineRule="auto"/>
            </w:pPr>
            <w:r>
              <w:rPr>
                <w:sz w:val="18"/>
              </w:rPr>
            </w:r>
            <w:r>
              <w:rPr>
                <w:sz w:val="18"/>
              </w:rPr>
              <w:t>Graph attention (2 layers)</w:t>
            </w:r>
          </w:p>
        </w:tc>
        <w:tc>
          <w:tcPr>
            <w:tcW w:type="dxa" w:w="2880"/>
          </w:tcPr>
          <w:p>
            <w:pPr>
              <w:spacing w:after="40" w:before="40" w:line="240" w:lineRule="auto"/>
            </w:pPr>
            <w:r>
              <w:rPr>
                <w:sz w:val="18"/>
              </w:rPr>
            </w:r>
            <w:r>
              <w:rPr>
                <w:rFonts w:ascii="Consolas" w:hAnsi="Consolas"/>
                <w:sz w:val="18"/>
              </w:rPr>
              <w:t>(10, 128)</w:t>
            </w:r>
          </w:p>
        </w:tc>
        <w:tc>
          <w:tcPr>
            <w:tcW w:type="dxa" w:w="3312"/>
          </w:tcPr>
          <w:p>
            <w:pPr>
              <w:spacing w:after="40" w:before="40" w:line="240" w:lineRule="auto"/>
            </w:pPr>
            <w:r>
              <w:rPr>
                <w:sz w:val="18"/>
              </w:rPr>
            </w:r>
            <w:r>
              <w:rPr>
                <w:rFonts w:ascii="Consolas" w:hAnsi="Consolas"/>
                <w:sz w:val="18"/>
              </w:rPr>
              <w:t>(10, 64)</w:t>
            </w:r>
            <w:r>
              <w:rPr>
                <w:sz w:val="18"/>
              </w:rPr>
              <w:t xml:space="preserve"> + attention</w:t>
            </w:r>
          </w:p>
        </w:tc>
      </w:tr>
      <w:tr>
        <w:tc>
          <w:tcPr>
            <w:tcW w:type="dxa" w:w="576"/>
          </w:tcPr>
          <w:p>
            <w:pPr>
              <w:spacing w:after="40" w:before="40" w:line="240" w:lineRule="auto"/>
            </w:pPr>
            <w:r>
              <w:rPr>
                <w:sz w:val="18"/>
              </w:rPr>
            </w:r>
            <w:r>
              <w:rPr>
                <w:sz w:val="18"/>
              </w:rPr>
              <w:t>12</w:t>
            </w:r>
          </w:p>
        </w:tc>
        <w:tc>
          <w:tcPr>
            <w:tcW w:type="dxa" w:w="3312"/>
          </w:tcPr>
          <w:p>
            <w:pPr>
              <w:spacing w:after="40" w:before="40" w:line="240" w:lineRule="auto"/>
            </w:pPr>
            <w:r>
              <w:rPr>
                <w:sz w:val="18"/>
              </w:rPr>
            </w:r>
            <w:r>
              <w:rPr>
                <w:sz w:val="18"/>
              </w:rPr>
              <w:t>Fusion</w:t>
            </w:r>
          </w:p>
        </w:tc>
        <w:tc>
          <w:tcPr>
            <w:tcW w:type="dxa" w:w="2880"/>
          </w:tcPr>
          <w:p>
            <w:pPr>
              <w:spacing w:after="40" w:before="40" w:line="240" w:lineRule="auto"/>
            </w:pPr>
            <w:r>
              <w:rPr>
                <w:sz w:val="18"/>
              </w:rPr>
            </w:r>
            <w:r>
              <w:rPr>
                <w:rFonts w:ascii="Consolas" w:hAnsi="Consolas"/>
                <w:sz w:val="18"/>
              </w:rPr>
              <w:t>(10, 192)</w:t>
            </w:r>
          </w:p>
        </w:tc>
        <w:tc>
          <w:tcPr>
            <w:tcW w:type="dxa" w:w="3312"/>
          </w:tcPr>
          <w:p>
            <w:pPr>
              <w:spacing w:after="40" w:before="40" w:line="240" w:lineRule="auto"/>
            </w:pPr>
            <w:r>
              <w:rPr>
                <w:sz w:val="18"/>
              </w:rPr>
            </w:r>
            <w:r>
              <w:rPr>
                <w:rFonts w:ascii="Consolas" w:hAnsi="Consolas"/>
                <w:sz w:val="18"/>
              </w:rPr>
              <w:t>(10, 128)</w:t>
            </w:r>
            <w:r>
              <w:rPr>
                <w:sz w:val="18"/>
              </w:rPr>
              <w:t xml:space="preserve"> per-asset latent</w:t>
            </w:r>
          </w:p>
        </w:tc>
      </w:tr>
      <w:tr>
        <w:tc>
          <w:tcPr>
            <w:tcW w:type="dxa" w:w="576"/>
          </w:tcPr>
          <w:p>
            <w:pPr>
              <w:spacing w:after="40" w:before="40" w:line="240" w:lineRule="auto"/>
            </w:pPr>
            <w:r>
              <w:rPr>
                <w:sz w:val="18"/>
              </w:rPr>
            </w:r>
            <w:r>
              <w:rPr>
                <w:sz w:val="18"/>
              </w:rPr>
              <w:t>13</w:t>
            </w:r>
          </w:p>
        </w:tc>
        <w:tc>
          <w:tcPr>
            <w:tcW w:type="dxa" w:w="3312"/>
          </w:tcPr>
          <w:p>
            <w:pPr>
              <w:spacing w:after="40" w:before="40" w:line="240" w:lineRule="auto"/>
            </w:pPr>
            <w:r>
              <w:rPr>
                <w:sz w:val="18"/>
              </w:rPr>
            </w:r>
            <w:r>
              <w:rPr>
                <w:sz w:val="18"/>
              </w:rPr>
              <w:t>Mean pooling</w:t>
            </w:r>
          </w:p>
        </w:tc>
        <w:tc>
          <w:tcPr>
            <w:tcW w:type="dxa" w:w="2880"/>
          </w:tcPr>
          <w:p>
            <w:pPr>
              <w:spacing w:after="40" w:before="40" w:line="240" w:lineRule="auto"/>
            </w:pPr>
            <w:r>
              <w:rPr>
                <w:sz w:val="18"/>
              </w:rPr>
            </w:r>
            <w:r>
              <w:rPr>
                <w:rFonts w:ascii="Consolas" w:hAnsi="Consolas"/>
                <w:sz w:val="18"/>
              </w:rPr>
              <w:t>(10, 128)</w:t>
            </w:r>
          </w:p>
        </w:tc>
        <w:tc>
          <w:tcPr>
            <w:tcW w:type="dxa" w:w="3312"/>
          </w:tcPr>
          <w:p>
            <w:pPr>
              <w:spacing w:after="40" w:before="40" w:line="240" w:lineRule="auto"/>
            </w:pPr>
            <w:r>
              <w:rPr>
                <w:sz w:val="18"/>
              </w:rPr>
            </w:r>
            <w:r>
              <w:rPr>
                <w:rFonts w:ascii="Consolas" w:hAnsi="Consolas"/>
                <w:sz w:val="18"/>
              </w:rPr>
              <w:t>(128,)</w:t>
            </w:r>
            <w:r>
              <w:rPr>
                <w:sz w:val="18"/>
              </w:rPr>
              <w:t xml:space="preserve"> market state</w:t>
            </w:r>
          </w:p>
        </w:tc>
      </w:tr>
      <w:tr>
        <w:tc>
          <w:tcPr>
            <w:tcW w:type="dxa" w:w="576"/>
          </w:tcPr>
          <w:p>
            <w:pPr>
              <w:spacing w:after="40" w:before="40" w:line="240" w:lineRule="auto"/>
            </w:pPr>
            <w:r>
              <w:rPr>
                <w:sz w:val="18"/>
              </w:rPr>
            </w:r>
            <w:r>
              <w:rPr>
                <w:sz w:val="18"/>
              </w:rPr>
              <w:t>14</w:t>
            </w:r>
          </w:p>
        </w:tc>
        <w:tc>
          <w:tcPr>
            <w:tcW w:type="dxa" w:w="3312"/>
          </w:tcPr>
          <w:p>
            <w:pPr>
              <w:spacing w:after="40" w:before="40" w:line="240" w:lineRule="auto"/>
            </w:pPr>
            <w:r>
              <w:rPr>
                <w:sz w:val="18"/>
              </w:rPr>
            </w:r>
            <w:r>
              <w:rPr>
                <w:sz w:val="18"/>
              </w:rPr>
              <w:t>Regime classifier</w:t>
            </w:r>
          </w:p>
        </w:tc>
        <w:tc>
          <w:tcPr>
            <w:tcW w:type="dxa" w:w="2880"/>
          </w:tcPr>
          <w:p>
            <w:pPr>
              <w:spacing w:after="40" w:before="40" w:line="240" w:lineRule="auto"/>
            </w:pPr>
            <w:r>
              <w:rPr>
                <w:sz w:val="18"/>
              </w:rPr>
            </w:r>
            <w:r>
              <w:rPr>
                <w:rFonts w:ascii="Consolas" w:hAnsi="Consolas"/>
                <w:sz w:val="18"/>
              </w:rPr>
              <w:t>(128,)</w:t>
            </w:r>
          </w:p>
        </w:tc>
        <w:tc>
          <w:tcPr>
            <w:tcW w:type="dxa" w:w="3312"/>
          </w:tcPr>
          <w:p>
            <w:pPr>
              <w:spacing w:after="40" w:before="40" w:line="240" w:lineRule="auto"/>
            </w:pPr>
            <w:r>
              <w:rPr>
                <w:sz w:val="18"/>
              </w:rPr>
            </w:r>
            <w:r>
              <w:rPr>
                <w:rFonts w:ascii="Consolas" w:hAnsi="Consolas"/>
                <w:sz w:val="18"/>
              </w:rPr>
              <w:t>(3,)</w:t>
            </w:r>
            <w:r>
              <w:rPr>
                <w:sz w:val="18"/>
              </w:rPr>
              <w:t xml:space="preserve"> regime probabilities</w:t>
            </w:r>
          </w:p>
        </w:tc>
      </w:tr>
      <w:tr>
        <w:tc>
          <w:tcPr>
            <w:tcW w:type="dxa" w:w="576"/>
          </w:tcPr>
          <w:p>
            <w:pPr>
              <w:spacing w:after="40" w:before="40" w:line="240" w:lineRule="auto"/>
            </w:pPr>
            <w:r>
              <w:rPr>
                <w:sz w:val="18"/>
              </w:rPr>
            </w:r>
            <w:r>
              <w:rPr>
                <w:sz w:val="18"/>
              </w:rPr>
              <w:t>15</w:t>
            </w:r>
          </w:p>
        </w:tc>
        <w:tc>
          <w:tcPr>
            <w:tcW w:type="dxa" w:w="3312"/>
          </w:tcPr>
          <w:p>
            <w:pPr>
              <w:spacing w:after="40" w:before="40" w:line="240" w:lineRule="auto"/>
            </w:pPr>
            <w:r>
              <w:rPr>
                <w:sz w:val="18"/>
              </w:rPr>
            </w:r>
            <w:r>
              <w:rPr>
                <w:sz w:val="18"/>
              </w:rPr>
              <w:t>Actor</w:t>
            </w:r>
          </w:p>
        </w:tc>
        <w:tc>
          <w:tcPr>
            <w:tcW w:type="dxa" w:w="2880"/>
          </w:tcPr>
          <w:p>
            <w:pPr>
              <w:spacing w:after="40" w:before="40" w:line="240" w:lineRule="auto"/>
            </w:pPr>
            <w:r>
              <w:rPr>
                <w:sz w:val="18"/>
              </w:rPr>
            </w:r>
            <w:r>
              <w:rPr>
                <w:rFonts w:ascii="Consolas" w:hAnsi="Consolas"/>
                <w:sz w:val="18"/>
              </w:rPr>
              <w:t>(10, 128)</w:t>
            </w:r>
            <w:r>
              <w:rPr>
                <w:sz w:val="18"/>
              </w:rPr>
              <w:t xml:space="preserve"> + </w:t>
            </w:r>
            <w:r>
              <w:rPr>
                <w:rFonts w:ascii="Consolas" w:hAnsi="Consolas"/>
                <w:sz w:val="18"/>
              </w:rPr>
              <w:t>(3,)</w:t>
            </w:r>
          </w:p>
        </w:tc>
        <w:tc>
          <w:tcPr>
            <w:tcW w:type="dxa" w:w="3312"/>
          </w:tcPr>
          <w:p>
            <w:pPr>
              <w:spacing w:after="40" w:before="40" w:line="240" w:lineRule="auto"/>
            </w:pPr>
            <w:r>
              <w:rPr>
                <w:sz w:val="18"/>
              </w:rPr>
            </w:r>
            <w:r>
              <w:rPr>
                <w:rFonts w:ascii="Consolas" w:hAnsi="Consolas"/>
                <w:sz w:val="18"/>
              </w:rPr>
              <w:t>(10,)</w:t>
            </w:r>
            <w:r>
              <w:rPr>
                <w:sz w:val="18"/>
              </w:rPr>
              <w:t xml:space="preserve"> weights</w:t>
            </w:r>
          </w:p>
        </w:tc>
      </w:tr>
      <w:tr>
        <w:tc>
          <w:tcPr>
            <w:tcW w:type="dxa" w:w="576"/>
          </w:tcPr>
          <w:p>
            <w:pPr>
              <w:spacing w:after="40" w:before="40" w:line="240" w:lineRule="auto"/>
            </w:pPr>
            <w:r>
              <w:rPr>
                <w:sz w:val="18"/>
              </w:rPr>
            </w:r>
            <w:r>
              <w:rPr>
                <w:sz w:val="18"/>
              </w:rPr>
              <w:t>16</w:t>
            </w:r>
          </w:p>
        </w:tc>
        <w:tc>
          <w:tcPr>
            <w:tcW w:type="dxa" w:w="3312"/>
          </w:tcPr>
          <w:p>
            <w:pPr>
              <w:spacing w:after="40" w:before="40" w:line="240" w:lineRule="auto"/>
            </w:pPr>
            <w:r>
              <w:rPr>
                <w:sz w:val="18"/>
              </w:rPr>
            </w:r>
            <w:r>
              <w:rPr>
                <w:sz w:val="18"/>
              </w:rPr>
              <w:t>Critic</w:t>
            </w:r>
          </w:p>
        </w:tc>
        <w:tc>
          <w:tcPr>
            <w:tcW w:type="dxa" w:w="2880"/>
          </w:tcPr>
          <w:p>
            <w:pPr>
              <w:spacing w:after="40" w:before="40" w:line="240" w:lineRule="auto"/>
            </w:pPr>
            <w:r>
              <w:rPr>
                <w:sz w:val="18"/>
              </w:rPr>
            </w:r>
            <w:r>
              <w:rPr>
                <w:rFonts w:ascii="Consolas" w:hAnsi="Consolas"/>
                <w:sz w:val="18"/>
              </w:rPr>
              <w:t>(128,)</w:t>
            </w:r>
            <w:r>
              <w:rPr>
                <w:sz w:val="18"/>
              </w:rPr>
              <w:t xml:space="preserve"> + </w:t>
            </w:r>
            <w:r>
              <w:rPr>
                <w:rFonts w:ascii="Consolas" w:hAnsi="Consolas"/>
                <w:sz w:val="18"/>
              </w:rPr>
              <w:t>(3,)</w:t>
            </w:r>
          </w:p>
        </w:tc>
        <w:tc>
          <w:tcPr>
            <w:tcW w:type="dxa" w:w="3312"/>
          </w:tcPr>
          <w:p>
            <w:pPr>
              <w:spacing w:after="40" w:before="40" w:line="240" w:lineRule="auto"/>
            </w:pPr>
            <w:r>
              <w:rPr>
                <w:sz w:val="18"/>
              </w:rPr>
            </w:r>
            <w:r>
              <w:rPr>
                <w:sz w:val="18"/>
              </w:rPr>
              <w:t>scalar value</w:t>
            </w:r>
          </w:p>
        </w:tc>
      </w:tr>
      <w:tr>
        <w:tc>
          <w:tcPr>
            <w:tcW w:type="dxa" w:w="576"/>
          </w:tcPr>
          <w:p>
            <w:pPr>
              <w:spacing w:after="40" w:before="40" w:line="240" w:lineRule="auto"/>
            </w:pPr>
            <w:r>
              <w:rPr>
                <w:sz w:val="18"/>
              </w:rPr>
            </w:r>
            <w:r>
              <w:rPr>
                <w:sz w:val="18"/>
              </w:rPr>
              <w:t>17</w:t>
            </w:r>
          </w:p>
        </w:tc>
        <w:tc>
          <w:tcPr>
            <w:tcW w:type="dxa" w:w="3312"/>
          </w:tcPr>
          <w:p>
            <w:pPr>
              <w:spacing w:after="40" w:before="40" w:line="240" w:lineRule="auto"/>
            </w:pPr>
            <w:r>
              <w:rPr>
                <w:sz w:val="18"/>
              </w:rPr>
            </w:r>
            <w:r>
              <w:rPr>
                <w:sz w:val="18"/>
              </w:rPr>
              <w:t>Environment</w:t>
            </w:r>
          </w:p>
        </w:tc>
        <w:tc>
          <w:tcPr>
            <w:tcW w:type="dxa" w:w="2880"/>
          </w:tcPr>
          <w:p>
            <w:pPr>
              <w:spacing w:after="40" w:before="40" w:line="240" w:lineRule="auto"/>
            </w:pPr>
            <w:r>
              <w:rPr>
                <w:sz w:val="18"/>
              </w:rPr>
            </w:r>
            <w:r>
              <w:rPr>
                <w:rFonts w:ascii="Consolas" w:hAnsi="Consolas"/>
                <w:sz w:val="18"/>
              </w:rPr>
              <w:t>(10,)</w:t>
            </w:r>
            <w:r>
              <w:rPr>
                <w:sz w:val="18"/>
              </w:rPr>
              <w:t xml:space="preserve"> weights</w:t>
            </w:r>
          </w:p>
        </w:tc>
        <w:tc>
          <w:tcPr>
            <w:tcW w:type="dxa" w:w="3312"/>
          </w:tcPr>
          <w:p>
            <w:pPr>
              <w:spacing w:after="40" w:before="40" w:line="240" w:lineRule="auto"/>
            </w:pPr>
            <w:r>
              <w:rPr>
                <w:sz w:val="18"/>
              </w:rPr>
            </w:r>
            <w:r>
              <w:rPr>
                <w:sz w:val="18"/>
              </w:rPr>
              <w:t>return, cost, next observation</w:t>
            </w:r>
          </w:p>
        </w:tc>
      </w:tr>
      <w:tr>
        <w:tc>
          <w:tcPr>
            <w:tcW w:type="dxa" w:w="576"/>
          </w:tcPr>
          <w:p>
            <w:pPr>
              <w:spacing w:after="40" w:before="40" w:line="240" w:lineRule="auto"/>
            </w:pPr>
            <w:r>
              <w:rPr>
                <w:sz w:val="18"/>
              </w:rPr>
            </w:r>
            <w:r>
              <w:rPr>
                <w:sz w:val="18"/>
              </w:rPr>
              <w:t>18</w:t>
            </w:r>
          </w:p>
        </w:tc>
        <w:tc>
          <w:tcPr>
            <w:tcW w:type="dxa" w:w="3312"/>
          </w:tcPr>
          <w:p>
            <w:pPr>
              <w:spacing w:after="40" w:before="40" w:line="240" w:lineRule="auto"/>
            </w:pPr>
            <w:r>
              <w:rPr>
                <w:sz w:val="18"/>
              </w:rPr>
            </w:r>
            <w:r>
              <w:rPr>
                <w:sz w:val="18"/>
              </w:rPr>
              <w:t>Reward module</w:t>
            </w:r>
          </w:p>
        </w:tc>
        <w:tc>
          <w:tcPr>
            <w:tcW w:type="dxa" w:w="2880"/>
          </w:tcPr>
          <w:p>
            <w:pPr>
              <w:spacing w:after="40" w:before="40" w:line="240" w:lineRule="auto"/>
            </w:pPr>
            <w:r>
              <w:rPr>
                <w:sz w:val="18"/>
              </w:rPr>
            </w:r>
            <w:r>
              <w:rPr>
                <w:sz w:val="18"/>
              </w:rPr>
              <w:t>return, weight change</w:t>
            </w:r>
          </w:p>
        </w:tc>
        <w:tc>
          <w:tcPr>
            <w:tcW w:type="dxa" w:w="3312"/>
          </w:tcPr>
          <w:p>
            <w:pPr>
              <w:spacing w:after="40" w:before="40" w:line="240" w:lineRule="auto"/>
            </w:pPr>
            <w:r>
              <w:rPr>
                <w:sz w:val="18"/>
              </w:rPr>
            </w:r>
            <w:r>
              <w:rPr>
                <w:sz w:val="18"/>
              </w:rPr>
              <w:t>scalar reward</w:t>
            </w:r>
          </w:p>
        </w:tc>
      </w:tr>
      <w:tr>
        <w:tc>
          <w:tcPr>
            <w:tcW w:type="dxa" w:w="576"/>
          </w:tcPr>
          <w:p>
            <w:pPr>
              <w:spacing w:after="40" w:before="40" w:line="240" w:lineRule="auto"/>
            </w:pPr>
            <w:r>
              <w:rPr>
                <w:sz w:val="18"/>
              </w:rPr>
            </w:r>
            <w:r>
              <w:rPr>
                <w:sz w:val="18"/>
              </w:rPr>
              <w:t>19</w:t>
            </w:r>
          </w:p>
        </w:tc>
        <w:tc>
          <w:tcPr>
            <w:tcW w:type="dxa" w:w="3312"/>
          </w:tcPr>
          <w:p>
            <w:pPr>
              <w:spacing w:after="40" w:before="40" w:line="240" w:lineRule="auto"/>
            </w:pPr>
            <w:r>
              <w:rPr>
                <w:sz w:val="18"/>
              </w:rPr>
            </w:r>
            <w:r>
              <w:rPr>
                <w:sz w:val="18"/>
              </w:rPr>
              <w:t>GAE</w:t>
            </w:r>
          </w:p>
        </w:tc>
        <w:tc>
          <w:tcPr>
            <w:tcW w:type="dxa" w:w="2880"/>
          </w:tcPr>
          <w:p>
            <w:pPr>
              <w:spacing w:after="40" w:before="40" w:line="240" w:lineRule="auto"/>
            </w:pPr>
            <w:r>
              <w:rPr>
                <w:sz w:val="18"/>
              </w:rPr>
            </w:r>
            <w:r>
              <w:rPr>
                <w:sz w:val="18"/>
              </w:rPr>
              <w:t>rollout</w:t>
            </w:r>
          </w:p>
        </w:tc>
        <w:tc>
          <w:tcPr>
            <w:tcW w:type="dxa" w:w="3312"/>
          </w:tcPr>
          <w:p>
            <w:pPr>
              <w:spacing w:after="40" w:before="40" w:line="240" w:lineRule="auto"/>
            </w:pPr>
            <w:r>
              <w:rPr>
                <w:sz w:val="18"/>
              </w:rPr>
            </w:r>
            <w:r>
              <w:rPr>
                <w:sz w:val="18"/>
              </w:rPr>
              <w:t>advantages, returns</w:t>
            </w:r>
          </w:p>
        </w:tc>
      </w:tr>
      <w:tr>
        <w:tc>
          <w:tcPr>
            <w:tcW w:type="dxa" w:w="576"/>
          </w:tcPr>
          <w:p>
            <w:pPr>
              <w:spacing w:after="40" w:before="40" w:line="240" w:lineRule="auto"/>
            </w:pPr>
            <w:r>
              <w:rPr>
                <w:sz w:val="18"/>
              </w:rPr>
            </w:r>
            <w:r>
              <w:rPr>
                <w:sz w:val="18"/>
              </w:rPr>
              <w:t>20</w:t>
            </w:r>
          </w:p>
        </w:tc>
        <w:tc>
          <w:tcPr>
            <w:tcW w:type="dxa" w:w="3312"/>
          </w:tcPr>
          <w:p>
            <w:pPr>
              <w:spacing w:after="40" w:before="40" w:line="240" w:lineRule="auto"/>
            </w:pPr>
            <w:r>
              <w:rPr>
                <w:sz w:val="18"/>
              </w:rPr>
            </w:r>
            <w:r>
              <w:rPr>
                <w:sz w:val="18"/>
              </w:rPr>
              <w:t>PPO update</w:t>
            </w:r>
          </w:p>
        </w:tc>
        <w:tc>
          <w:tcPr>
            <w:tcW w:type="dxa" w:w="2880"/>
          </w:tcPr>
          <w:p>
            <w:pPr>
              <w:spacing w:after="40" w:before="40" w:line="240" w:lineRule="auto"/>
            </w:pPr>
            <w:r>
              <w:rPr>
                <w:sz w:val="18"/>
              </w:rPr>
            </w:r>
            <w:r>
              <w:rPr>
                <w:sz w:val="18"/>
              </w:rPr>
              <w:t>mini-batch</w:t>
            </w:r>
          </w:p>
        </w:tc>
        <w:tc>
          <w:tcPr>
            <w:tcW w:type="dxa" w:w="3312"/>
          </w:tcPr>
          <w:p>
            <w:pPr>
              <w:spacing w:after="40" w:before="40" w:line="240" w:lineRule="auto"/>
            </w:pPr>
            <w:r>
              <w:rPr>
                <w:sz w:val="18"/>
              </w:rPr>
            </w:r>
            <w:r>
              <w:rPr>
                <w:sz w:val="18"/>
              </w:rPr>
              <w:t>one joint optimizer step</w:t>
            </w:r>
          </w:p>
        </w:tc>
      </w:tr>
    </w:tbl>
    <w:p>
      <w:pPr>
        <w:spacing w:before="60" w:after="240" w:line="240" w:lineRule="auto"/>
        <w:jc w:val="center"/>
      </w:pPr>
      <w:r>
        <w:rPr>
          <w:i/>
          <w:sz w:val="20"/>
        </w:rPr>
        <w:t>Table 6.x.5 — End-to-end tensor shape reference</w:t>
      </w:r>
    </w:p>
    <w:p>
      <w:pPr>
        <w:pStyle w:val="Heading3"/>
      </w:pPr>
      <w:r>
        <w:t>6.x.7 Training Configuration</w:t>
      </w:r>
    </w:p>
    <w:tbl>
      <w:tblPr>
        <w:tblStyle w:val="TableGrid"/>
        <w:tblW w:type="auto" w:w="0"/>
        <w:jc w:val="center"/>
        <w:tblLook w:firstColumn="1" w:firstRow="1" w:lastColumn="0" w:lastRow="0" w:noHBand="0" w:noVBand="1" w:val="04A0"/>
      </w:tblPr>
      <w:tblGrid>
        <w:gridCol w:w="3048"/>
        <w:gridCol w:w="3048"/>
        <w:gridCol w:w="3048"/>
      </w:tblGrid>
      <w:tr>
        <w:tc>
          <w:tcPr>
            <w:tcW w:type="dxa" w:w="1728"/>
            <w:shd w:val="clear" w:color="auto" w:fill="D9D9D9"/>
          </w:tcPr>
          <w:p>
            <w:pPr>
              <w:spacing w:after="40" w:before="40" w:line="240" w:lineRule="auto"/>
              <w:jc w:val="center"/>
            </w:pPr>
            <w:r/>
            <w:r>
              <w:rPr>
                <w:b/>
                <w:sz w:val="19"/>
              </w:rPr>
              <w:t>Group</w:t>
            </w:r>
          </w:p>
        </w:tc>
        <w:tc>
          <w:tcPr>
            <w:tcW w:type="dxa" w:w="4752"/>
            <w:shd w:val="clear" w:color="auto" w:fill="D9D9D9"/>
          </w:tcPr>
          <w:p>
            <w:pPr>
              <w:spacing w:after="40" w:before="40" w:line="240" w:lineRule="auto"/>
              <w:jc w:val="center"/>
            </w:pPr>
            <w:r/>
            <w:r>
              <w:rPr>
                <w:b/>
                <w:sz w:val="19"/>
              </w:rPr>
              <w:t>Parameter</w:t>
            </w:r>
          </w:p>
        </w:tc>
        <w:tc>
          <w:tcPr>
            <w:tcW w:type="dxa" w:w="3600"/>
            <w:shd w:val="clear" w:color="auto" w:fill="D9D9D9"/>
          </w:tcPr>
          <w:p>
            <w:pPr>
              <w:spacing w:after="40" w:before="40" w:line="240" w:lineRule="auto"/>
              <w:jc w:val="center"/>
            </w:pPr>
            <w:r/>
            <w:r>
              <w:rPr>
                <w:b/>
                <w:sz w:val="19"/>
              </w:rPr>
              <w:t>Value</w:t>
            </w:r>
          </w:p>
        </w:tc>
      </w:tr>
      <w:tr>
        <w:tc>
          <w:tcPr>
            <w:tcW w:type="dxa" w:w="1728"/>
          </w:tcPr>
          <w:p>
            <w:pPr>
              <w:spacing w:after="40" w:before="40" w:line="240" w:lineRule="auto"/>
            </w:pPr>
            <w:r>
              <w:rPr>
                <w:sz w:val="19"/>
              </w:rPr>
            </w:r>
            <w:r>
              <w:rPr>
                <w:sz w:val="19"/>
              </w:rPr>
              <w:t>Data</w:t>
            </w:r>
          </w:p>
        </w:tc>
        <w:tc>
          <w:tcPr>
            <w:tcW w:type="dxa" w:w="4752"/>
          </w:tcPr>
          <w:p>
            <w:pPr>
              <w:spacing w:after="40" w:before="40" w:line="240" w:lineRule="auto"/>
            </w:pPr>
            <w:r>
              <w:rPr>
                <w:sz w:val="19"/>
              </w:rPr>
            </w:r>
            <w:r>
              <w:rPr>
                <w:sz w:val="19"/>
              </w:rPr>
              <w:t>Look-back window</w:t>
            </w:r>
          </w:p>
        </w:tc>
        <w:tc>
          <w:tcPr>
            <w:tcW w:type="dxa" w:w="3600"/>
          </w:tcPr>
          <w:p>
            <w:pPr>
              <w:spacing w:after="40" w:before="40" w:line="240" w:lineRule="auto"/>
            </w:pPr>
            <w:r>
              <w:rPr>
                <w:sz w:val="19"/>
              </w:rPr>
            </w:r>
            <w:r>
              <w:rPr>
                <w:sz w:val="19"/>
              </w:rPr>
              <w:t>30 days</w:t>
            </w:r>
          </w:p>
        </w:tc>
      </w:tr>
      <w:tr>
        <w:tc>
          <w:tcPr>
            <w:tcW w:type="dxa" w:w="1728"/>
          </w:tcPr>
          <w:p>
            <w:pPr>
              <w:spacing w:after="40" w:before="40" w:line="240" w:lineRule="auto"/>
            </w:pPr>
            <w:r>
              <w:rPr>
                <w:sz w:val="19"/>
              </w:rPr>
            </w:r>
            <w:r>
              <w:rPr>
                <w:sz w:val="19"/>
              </w:rPr>
              <w:t>Data</w:t>
            </w:r>
          </w:p>
        </w:tc>
        <w:tc>
          <w:tcPr>
            <w:tcW w:type="dxa" w:w="4752"/>
          </w:tcPr>
          <w:p>
            <w:pPr>
              <w:spacing w:after="40" w:before="40" w:line="240" w:lineRule="auto"/>
            </w:pPr>
            <w:r>
              <w:rPr>
                <w:sz w:val="19"/>
              </w:rPr>
            </w:r>
            <w:r>
              <w:rPr>
                <w:sz w:val="19"/>
              </w:rPr>
              <w:t>Train / validation / test split</w:t>
            </w:r>
          </w:p>
        </w:tc>
        <w:tc>
          <w:tcPr>
            <w:tcW w:type="dxa" w:w="3600"/>
          </w:tcPr>
          <w:p>
            <w:pPr>
              <w:spacing w:after="40" w:before="40" w:line="240" w:lineRule="auto"/>
            </w:pPr>
            <w:r>
              <w:rPr>
                <w:sz w:val="19"/>
              </w:rPr>
            </w:r>
            <w:r>
              <w:rPr>
                <w:sz w:val="19"/>
              </w:rPr>
              <w:t>70% / 15% / 15%</w:t>
            </w:r>
          </w:p>
        </w:tc>
      </w:tr>
      <w:tr>
        <w:tc>
          <w:tcPr>
            <w:tcW w:type="dxa" w:w="1728"/>
          </w:tcPr>
          <w:p>
            <w:pPr>
              <w:spacing w:after="40" w:before="40" w:line="240" w:lineRule="auto"/>
            </w:pPr>
            <w:r>
              <w:rPr>
                <w:sz w:val="19"/>
              </w:rPr>
            </w:r>
            <w:r>
              <w:rPr>
                <w:sz w:val="19"/>
              </w:rPr>
              <w:t>Data</w:t>
            </w:r>
          </w:p>
        </w:tc>
        <w:tc>
          <w:tcPr>
            <w:tcW w:type="dxa" w:w="4752"/>
          </w:tcPr>
          <w:p>
            <w:pPr>
              <w:spacing w:after="40" w:before="40" w:line="240" w:lineRule="auto"/>
            </w:pPr>
            <w:r>
              <w:rPr>
                <w:sz w:val="19"/>
              </w:rPr>
            </w:r>
            <w:r>
              <w:rPr>
                <w:sz w:val="19"/>
              </w:rPr>
              <w:t>Normalisation</w:t>
            </w:r>
          </w:p>
        </w:tc>
        <w:tc>
          <w:tcPr>
            <w:tcW w:type="dxa" w:w="3600"/>
          </w:tcPr>
          <w:p>
            <w:pPr>
              <w:spacing w:after="40" w:before="40" w:line="240" w:lineRule="auto"/>
            </w:pPr>
            <w:r>
              <w:rPr>
                <w:sz w:val="19"/>
              </w:rPr>
            </w:r>
            <w:r>
              <w:rPr>
                <w:sz w:val="19"/>
              </w:rPr>
              <w:t>Z-score, fitted on training split only</w:t>
            </w:r>
          </w:p>
        </w:tc>
      </w:tr>
      <w:tr>
        <w:tc>
          <w:tcPr>
            <w:tcW w:type="dxa" w:w="1728"/>
          </w:tcPr>
          <w:p>
            <w:pPr>
              <w:spacing w:after="40" w:before="40" w:line="240" w:lineRule="auto"/>
            </w:pPr>
            <w:r>
              <w:rPr>
                <w:sz w:val="19"/>
              </w:rPr>
            </w:r>
            <w:r>
              <w:rPr>
                <w:sz w:val="19"/>
              </w:rPr>
              <w:t>Encoder</w:t>
            </w:r>
          </w:p>
        </w:tc>
        <w:tc>
          <w:tcPr>
            <w:tcW w:type="dxa" w:w="4752"/>
          </w:tcPr>
          <w:p>
            <w:pPr>
              <w:spacing w:after="40" w:before="40" w:line="240" w:lineRule="auto"/>
            </w:pPr>
            <w:r>
              <w:rPr>
                <w:sz w:val="19"/>
              </w:rPr>
            </w:r>
            <w:r>
              <w:rPr>
                <w:sz w:val="19"/>
              </w:rPr>
              <w:t>VSN hidden dimension</w:t>
            </w:r>
          </w:p>
        </w:tc>
        <w:tc>
          <w:tcPr>
            <w:tcW w:type="dxa" w:w="3600"/>
          </w:tcPr>
          <w:p>
            <w:pPr>
              <w:spacing w:after="40" w:before="40" w:line="240" w:lineRule="auto"/>
            </w:pPr>
            <w:r>
              <w:rPr>
                <w:sz w:val="19"/>
              </w:rPr>
            </w:r>
            <w:r>
              <w:rPr>
                <w:sz w:val="19"/>
              </w:rPr>
              <w:t>64</w:t>
            </w:r>
          </w:p>
        </w:tc>
      </w:tr>
      <w:tr>
        <w:tc>
          <w:tcPr>
            <w:tcW w:type="dxa" w:w="1728"/>
          </w:tcPr>
          <w:p>
            <w:pPr>
              <w:spacing w:after="40" w:before="40" w:line="240" w:lineRule="auto"/>
            </w:pPr>
            <w:r>
              <w:rPr>
                <w:sz w:val="19"/>
              </w:rPr>
            </w:r>
            <w:r>
              <w:rPr>
                <w:sz w:val="19"/>
              </w:rPr>
              <w:t>Encoder</w:t>
            </w:r>
          </w:p>
        </w:tc>
        <w:tc>
          <w:tcPr>
            <w:tcW w:type="dxa" w:w="4752"/>
          </w:tcPr>
          <w:p>
            <w:pPr>
              <w:spacing w:after="40" w:before="40" w:line="240" w:lineRule="auto"/>
            </w:pPr>
            <w:r>
              <w:rPr>
                <w:sz w:val="19"/>
              </w:rPr>
            </w:r>
            <w:r>
              <w:rPr>
                <w:sz w:val="19"/>
              </w:rPr>
              <w:t>LSTM hidden dimension / layers</w:t>
            </w:r>
          </w:p>
        </w:tc>
        <w:tc>
          <w:tcPr>
            <w:tcW w:type="dxa" w:w="3600"/>
          </w:tcPr>
          <w:p>
            <w:pPr>
              <w:spacing w:after="40" w:before="40" w:line="240" w:lineRule="auto"/>
            </w:pPr>
            <w:r>
              <w:rPr>
                <w:sz w:val="19"/>
              </w:rPr>
            </w:r>
            <w:r>
              <w:rPr>
                <w:sz w:val="19"/>
              </w:rPr>
              <w:t>128 / 2</w:t>
            </w:r>
          </w:p>
        </w:tc>
      </w:tr>
      <w:tr>
        <w:tc>
          <w:tcPr>
            <w:tcW w:type="dxa" w:w="1728"/>
          </w:tcPr>
          <w:p>
            <w:pPr>
              <w:spacing w:after="40" w:before="40" w:line="240" w:lineRule="auto"/>
            </w:pPr>
            <w:r>
              <w:rPr>
                <w:sz w:val="19"/>
              </w:rPr>
            </w:r>
            <w:r>
              <w:rPr>
                <w:sz w:val="19"/>
              </w:rPr>
              <w:t>Encoder</w:t>
            </w:r>
          </w:p>
        </w:tc>
        <w:tc>
          <w:tcPr>
            <w:tcW w:type="dxa" w:w="4752"/>
          </w:tcPr>
          <w:p>
            <w:pPr>
              <w:spacing w:after="40" w:before="40" w:line="240" w:lineRule="auto"/>
            </w:pPr>
            <w:r>
              <w:rPr>
                <w:sz w:val="19"/>
              </w:rPr>
            </w:r>
            <w:r>
              <w:rPr>
                <w:sz w:val="19"/>
              </w:rPr>
              <w:t>Attention heads</w:t>
            </w:r>
          </w:p>
        </w:tc>
        <w:tc>
          <w:tcPr>
            <w:tcW w:type="dxa" w:w="3600"/>
          </w:tcPr>
          <w:p>
            <w:pPr>
              <w:spacing w:after="40" w:before="40" w:line="240" w:lineRule="auto"/>
            </w:pPr>
            <w:r>
              <w:rPr>
                <w:sz w:val="19"/>
              </w:rPr>
            </w:r>
            <w:r>
              <w:rPr>
                <w:sz w:val="19"/>
              </w:rPr>
              <w:t>4</w:t>
            </w:r>
          </w:p>
        </w:tc>
      </w:tr>
      <w:tr>
        <w:tc>
          <w:tcPr>
            <w:tcW w:type="dxa" w:w="1728"/>
          </w:tcPr>
          <w:p>
            <w:pPr>
              <w:spacing w:after="40" w:before="40" w:line="240" w:lineRule="auto"/>
            </w:pPr>
            <w:r>
              <w:rPr>
                <w:sz w:val="19"/>
              </w:rPr>
            </w:r>
            <w:r>
              <w:rPr>
                <w:sz w:val="19"/>
              </w:rPr>
              <w:t>Encoder</w:t>
            </w:r>
          </w:p>
        </w:tc>
        <w:tc>
          <w:tcPr>
            <w:tcW w:type="dxa" w:w="4752"/>
          </w:tcPr>
          <w:p>
            <w:pPr>
              <w:spacing w:after="40" w:before="40" w:line="240" w:lineRule="auto"/>
            </w:pPr>
            <w:r>
              <w:rPr>
                <w:sz w:val="19"/>
              </w:rPr>
            </w:r>
            <w:r>
              <w:rPr>
                <w:sz w:val="19"/>
              </w:rPr>
              <w:t>Graph hidden dimension / heads / layers</w:t>
            </w:r>
          </w:p>
        </w:tc>
        <w:tc>
          <w:tcPr>
            <w:tcW w:type="dxa" w:w="3600"/>
          </w:tcPr>
          <w:p>
            <w:pPr>
              <w:spacing w:after="40" w:before="40" w:line="240" w:lineRule="auto"/>
            </w:pPr>
            <w:r>
              <w:rPr>
                <w:sz w:val="19"/>
              </w:rPr>
            </w:r>
            <w:r>
              <w:rPr>
                <w:sz w:val="19"/>
              </w:rPr>
              <w:t>64 / 2 / 2</w:t>
            </w:r>
          </w:p>
        </w:tc>
      </w:tr>
      <w:tr>
        <w:tc>
          <w:tcPr>
            <w:tcW w:type="dxa" w:w="1728"/>
          </w:tcPr>
          <w:p>
            <w:pPr>
              <w:spacing w:after="40" w:before="40" w:line="240" w:lineRule="auto"/>
            </w:pPr>
            <w:r>
              <w:rPr>
                <w:sz w:val="19"/>
              </w:rPr>
            </w:r>
            <w:r>
              <w:rPr>
                <w:sz w:val="19"/>
              </w:rPr>
              <w:t>Encoder</w:t>
            </w:r>
          </w:p>
        </w:tc>
        <w:tc>
          <w:tcPr>
            <w:tcW w:type="dxa" w:w="4752"/>
          </w:tcPr>
          <w:p>
            <w:pPr>
              <w:spacing w:after="40" w:before="40" w:line="240" w:lineRule="auto"/>
            </w:pPr>
            <w:r>
              <w:rPr>
                <w:sz w:val="19"/>
              </w:rPr>
            </w:r>
            <w:r>
              <w:rPr>
                <w:sz w:val="19"/>
              </w:rPr>
              <w:t>Latent state dimension</w:t>
            </w:r>
          </w:p>
        </w:tc>
        <w:tc>
          <w:tcPr>
            <w:tcW w:type="dxa" w:w="3600"/>
          </w:tcPr>
          <w:p>
            <w:pPr>
              <w:spacing w:after="40" w:before="40" w:line="240" w:lineRule="auto"/>
            </w:pPr>
            <w:r>
              <w:rPr>
                <w:sz w:val="19"/>
              </w:rPr>
            </w:r>
            <w:r>
              <w:rPr>
                <w:sz w:val="19"/>
              </w:rPr>
              <w:t>128</w:t>
            </w:r>
          </w:p>
        </w:tc>
      </w:tr>
      <w:tr>
        <w:tc>
          <w:tcPr>
            <w:tcW w:type="dxa" w:w="1728"/>
          </w:tcPr>
          <w:p>
            <w:pPr>
              <w:spacing w:after="40" w:before="40" w:line="240" w:lineRule="auto"/>
            </w:pPr>
            <w:r>
              <w:rPr>
                <w:sz w:val="19"/>
              </w:rPr>
            </w:r>
            <w:r>
              <w:rPr>
                <w:sz w:val="19"/>
              </w:rPr>
              <w:t>Encoder</w:t>
            </w:r>
          </w:p>
        </w:tc>
        <w:tc>
          <w:tcPr>
            <w:tcW w:type="dxa" w:w="4752"/>
          </w:tcPr>
          <w:p>
            <w:pPr>
              <w:spacing w:after="40" w:before="40" w:line="240" w:lineRule="auto"/>
            </w:pPr>
            <w:r>
              <w:rPr>
                <w:sz w:val="19"/>
              </w:rPr>
            </w:r>
            <w:r>
              <w:rPr>
                <w:sz w:val="19"/>
              </w:rPr>
              <w:t>Number of regimes</w:t>
            </w:r>
          </w:p>
        </w:tc>
        <w:tc>
          <w:tcPr>
            <w:tcW w:type="dxa" w:w="3600"/>
          </w:tcPr>
          <w:p>
            <w:pPr>
              <w:spacing w:after="40" w:before="40" w:line="240" w:lineRule="auto"/>
            </w:pPr>
            <w:r>
              <w:rPr>
                <w:sz w:val="19"/>
              </w:rPr>
            </w:r>
            <w:r>
              <w:rPr>
                <w:sz w:val="19"/>
              </w:rPr>
              <w:t>3</w:t>
            </w:r>
          </w:p>
        </w:tc>
      </w:tr>
      <w:tr>
        <w:tc>
          <w:tcPr>
            <w:tcW w:type="dxa" w:w="1728"/>
          </w:tcPr>
          <w:p>
            <w:pPr>
              <w:spacing w:after="40" w:before="40" w:line="240" w:lineRule="auto"/>
            </w:pPr>
            <w:r>
              <w:rPr>
                <w:sz w:val="19"/>
              </w:rPr>
            </w:r>
            <w:r>
              <w:rPr>
                <w:sz w:val="19"/>
              </w:rPr>
              <w:t>Encoder</w:t>
            </w:r>
          </w:p>
        </w:tc>
        <w:tc>
          <w:tcPr>
            <w:tcW w:type="dxa" w:w="4752"/>
          </w:tcPr>
          <w:p>
            <w:pPr>
              <w:spacing w:after="40" w:before="40" w:line="240" w:lineRule="auto"/>
            </w:pPr>
            <w:r>
              <w:rPr>
                <w:sz w:val="19"/>
              </w:rPr>
            </w:r>
            <w:r>
              <w:rPr>
                <w:sz w:val="19"/>
              </w:rPr>
              <w:t>Dropout</w:t>
            </w:r>
          </w:p>
        </w:tc>
        <w:tc>
          <w:tcPr>
            <w:tcW w:type="dxa" w:w="3600"/>
          </w:tcPr>
          <w:p>
            <w:pPr>
              <w:spacing w:after="40" w:before="40" w:line="240" w:lineRule="auto"/>
            </w:pPr>
            <w:r>
              <w:rPr>
                <w:sz w:val="19"/>
              </w:rPr>
            </w:r>
            <w:r>
              <w:rPr>
                <w:sz w:val="19"/>
              </w:rPr>
              <w:t>0.1</w:t>
            </w:r>
          </w:p>
        </w:tc>
      </w:tr>
      <w:tr>
        <w:tc>
          <w:tcPr>
            <w:tcW w:type="dxa" w:w="1728"/>
          </w:tcPr>
          <w:p>
            <w:pPr>
              <w:spacing w:after="40" w:before="40" w:line="240" w:lineRule="auto"/>
            </w:pPr>
            <w:r>
              <w:rPr>
                <w:sz w:val="19"/>
              </w:rPr>
            </w:r>
            <w:r>
              <w:rPr>
                <w:sz w:val="19"/>
              </w:rPr>
              <w:t>Actor</w:t>
            </w:r>
          </w:p>
        </w:tc>
        <w:tc>
          <w:tcPr>
            <w:tcW w:type="dxa" w:w="4752"/>
          </w:tcPr>
          <w:p>
            <w:pPr>
              <w:spacing w:after="40" w:before="40" w:line="240" w:lineRule="auto"/>
            </w:pPr>
            <w:r>
              <w:rPr>
                <w:sz w:val="19"/>
              </w:rPr>
            </w:r>
            <w:r>
              <w:rPr>
                <w:sz w:val="19"/>
              </w:rPr>
              <w:t>Hidden dimensions</w:t>
            </w:r>
          </w:p>
        </w:tc>
        <w:tc>
          <w:tcPr>
            <w:tcW w:type="dxa" w:w="3600"/>
          </w:tcPr>
          <w:p>
            <w:pPr>
              <w:spacing w:after="40" w:before="40" w:line="240" w:lineRule="auto"/>
            </w:pPr>
            <w:r>
              <w:rPr>
                <w:sz w:val="19"/>
              </w:rPr>
            </w:r>
            <w:r>
              <w:rPr>
                <w:sz w:val="19"/>
              </w:rPr>
              <w:t>[256, 128]</w:t>
            </w:r>
          </w:p>
        </w:tc>
      </w:tr>
      <w:tr>
        <w:tc>
          <w:tcPr>
            <w:tcW w:type="dxa" w:w="1728"/>
          </w:tcPr>
          <w:p>
            <w:pPr>
              <w:spacing w:after="40" w:before="40" w:line="240" w:lineRule="auto"/>
            </w:pPr>
            <w:r>
              <w:rPr>
                <w:sz w:val="19"/>
              </w:rPr>
            </w:r>
            <w:r>
              <w:rPr>
                <w:sz w:val="19"/>
              </w:rPr>
              <w:t>Critic</w:t>
            </w:r>
          </w:p>
        </w:tc>
        <w:tc>
          <w:tcPr>
            <w:tcW w:type="dxa" w:w="4752"/>
          </w:tcPr>
          <w:p>
            <w:pPr>
              <w:spacing w:after="40" w:before="40" w:line="240" w:lineRule="auto"/>
            </w:pPr>
            <w:r>
              <w:rPr>
                <w:sz w:val="19"/>
              </w:rPr>
            </w:r>
            <w:r>
              <w:rPr>
                <w:sz w:val="19"/>
              </w:rPr>
              <w:t>Hidden dimensions</w:t>
            </w:r>
          </w:p>
        </w:tc>
        <w:tc>
          <w:tcPr>
            <w:tcW w:type="dxa" w:w="3600"/>
          </w:tcPr>
          <w:p>
            <w:pPr>
              <w:spacing w:after="40" w:before="40" w:line="240" w:lineRule="auto"/>
            </w:pPr>
            <w:r>
              <w:rPr>
                <w:sz w:val="19"/>
              </w:rPr>
            </w:r>
            <w:r>
              <w:rPr>
                <w:sz w:val="19"/>
              </w:rPr>
              <w:t>[256, 128]</w:t>
            </w:r>
          </w:p>
        </w:tc>
      </w:tr>
      <w:tr>
        <w:tc>
          <w:tcPr>
            <w:tcW w:type="dxa" w:w="1728"/>
          </w:tcPr>
          <w:p>
            <w:pPr>
              <w:spacing w:after="40" w:before="40" w:line="240" w:lineRule="auto"/>
            </w:pPr>
            <w:r>
              <w:rPr>
                <w:sz w:val="19"/>
              </w:rPr>
            </w:r>
            <w:r>
              <w:rPr>
                <w:sz w:val="19"/>
              </w:rPr>
              <w:t>PPO</w:t>
            </w:r>
          </w:p>
        </w:tc>
        <w:tc>
          <w:tcPr>
            <w:tcW w:type="dxa" w:w="4752"/>
          </w:tcPr>
          <w:p>
            <w:pPr>
              <w:spacing w:after="40" w:before="40" w:line="240" w:lineRule="auto"/>
            </w:pPr>
            <w:r>
              <w:rPr>
                <w:sz w:val="19"/>
              </w:rPr>
            </w:r>
            <w:r>
              <w:rPr>
                <w:sz w:val="19"/>
              </w:rPr>
              <w:t>Clip parameter</w:t>
            </w:r>
          </w:p>
        </w:tc>
        <w:tc>
          <w:tcPr>
            <w:tcW w:type="dxa" w:w="3600"/>
          </w:tcPr>
          <w:p>
            <w:pPr>
              <w:spacing w:after="40" w:before="40" w:line="240" w:lineRule="auto"/>
            </w:pPr>
            <w:r>
              <w:rPr>
                <w:sz w:val="19"/>
              </w:rPr>
            </w:r>
            <w:r>
              <w:rPr>
                <w:sz w:val="19"/>
              </w:rPr>
              <w:t>0.2</w:t>
            </w:r>
          </w:p>
        </w:tc>
      </w:tr>
      <w:tr>
        <w:tc>
          <w:tcPr>
            <w:tcW w:type="dxa" w:w="1728"/>
          </w:tcPr>
          <w:p>
            <w:pPr>
              <w:spacing w:after="40" w:before="40" w:line="240" w:lineRule="auto"/>
            </w:pPr>
            <w:r>
              <w:rPr>
                <w:sz w:val="19"/>
              </w:rPr>
            </w:r>
            <w:r>
              <w:rPr>
                <w:sz w:val="19"/>
              </w:rPr>
              <w:t>PPO</w:t>
            </w:r>
          </w:p>
        </w:tc>
        <w:tc>
          <w:tcPr>
            <w:tcW w:type="dxa" w:w="4752"/>
          </w:tcPr>
          <w:p>
            <w:pPr>
              <w:spacing w:after="40" w:before="40" w:line="240" w:lineRule="auto"/>
            </w:pPr>
            <w:r>
              <w:rPr>
                <w:sz w:val="19"/>
              </w:rPr>
            </w:r>
            <w:r>
              <w:rPr>
                <w:sz w:val="19"/>
              </w:rPr>
              <w:t>Discount factor / GAE lambda</w:t>
            </w:r>
          </w:p>
        </w:tc>
        <w:tc>
          <w:tcPr>
            <w:tcW w:type="dxa" w:w="3600"/>
          </w:tcPr>
          <w:p>
            <w:pPr>
              <w:spacing w:after="40" w:before="40" w:line="240" w:lineRule="auto"/>
            </w:pPr>
            <w:r>
              <w:rPr>
                <w:sz w:val="19"/>
              </w:rPr>
            </w:r>
            <w:r>
              <w:rPr>
                <w:sz w:val="19"/>
              </w:rPr>
              <w:t>0.99 / 0.95</w:t>
            </w:r>
          </w:p>
        </w:tc>
      </w:tr>
      <w:tr>
        <w:tc>
          <w:tcPr>
            <w:tcW w:type="dxa" w:w="1728"/>
          </w:tcPr>
          <w:p>
            <w:pPr>
              <w:spacing w:after="40" w:before="40" w:line="240" w:lineRule="auto"/>
            </w:pPr>
            <w:r>
              <w:rPr>
                <w:sz w:val="19"/>
              </w:rPr>
            </w:r>
            <w:r>
              <w:rPr>
                <w:sz w:val="19"/>
              </w:rPr>
              <w:t>PPO</w:t>
            </w:r>
          </w:p>
        </w:tc>
        <w:tc>
          <w:tcPr>
            <w:tcW w:type="dxa" w:w="4752"/>
          </w:tcPr>
          <w:p>
            <w:pPr>
              <w:spacing w:after="40" w:before="40" w:line="240" w:lineRule="auto"/>
            </w:pPr>
            <w:r>
              <w:rPr>
                <w:sz w:val="19"/>
              </w:rPr>
            </w:r>
            <w:r>
              <w:rPr>
                <w:sz w:val="19"/>
              </w:rPr>
              <w:t>Entropy / value loss coefficients</w:t>
            </w:r>
          </w:p>
        </w:tc>
        <w:tc>
          <w:tcPr>
            <w:tcW w:type="dxa" w:w="3600"/>
          </w:tcPr>
          <w:p>
            <w:pPr>
              <w:spacing w:after="40" w:before="40" w:line="240" w:lineRule="auto"/>
            </w:pPr>
            <w:r>
              <w:rPr>
                <w:sz w:val="19"/>
              </w:rPr>
            </w:r>
            <w:r>
              <w:rPr>
                <w:sz w:val="19"/>
              </w:rPr>
              <w:t>0.01 / 0.5</w:t>
            </w:r>
          </w:p>
        </w:tc>
      </w:tr>
      <w:tr>
        <w:tc>
          <w:tcPr>
            <w:tcW w:type="dxa" w:w="1728"/>
          </w:tcPr>
          <w:p>
            <w:pPr>
              <w:spacing w:after="40" w:before="40" w:line="240" w:lineRule="auto"/>
            </w:pPr>
            <w:r>
              <w:rPr>
                <w:sz w:val="19"/>
              </w:rPr>
            </w:r>
            <w:r>
              <w:rPr>
                <w:sz w:val="19"/>
              </w:rPr>
              <w:t>PPO</w:t>
            </w:r>
          </w:p>
        </w:tc>
        <w:tc>
          <w:tcPr>
            <w:tcW w:type="dxa" w:w="4752"/>
          </w:tcPr>
          <w:p>
            <w:pPr>
              <w:spacing w:after="40" w:before="40" w:line="240" w:lineRule="auto"/>
            </w:pPr>
            <w:r>
              <w:rPr>
                <w:sz w:val="19"/>
              </w:rPr>
            </w:r>
            <w:r>
              <w:rPr>
                <w:sz w:val="19"/>
              </w:rPr>
              <w:t>Learning rate (heads / encoder)</w:t>
            </w:r>
          </w:p>
        </w:tc>
        <w:tc>
          <w:tcPr>
            <w:tcW w:type="dxa" w:w="3600"/>
          </w:tcPr>
          <w:p>
            <w:pPr>
              <w:spacing w:after="40" w:before="40" w:line="240" w:lineRule="auto"/>
            </w:pPr>
            <w:r>
              <w:rPr>
                <w:sz w:val="19"/>
              </w:rPr>
            </w:r>
            <w:r>
              <w:rPr>
                <w:sz w:val="19"/>
              </w:rPr>
              <w:t>3e-4 / 1.5e-4</w:t>
            </w:r>
          </w:p>
        </w:tc>
      </w:tr>
      <w:tr>
        <w:tc>
          <w:tcPr>
            <w:tcW w:type="dxa" w:w="1728"/>
          </w:tcPr>
          <w:p>
            <w:pPr>
              <w:spacing w:after="40" w:before="40" w:line="240" w:lineRule="auto"/>
            </w:pPr>
            <w:r>
              <w:rPr>
                <w:sz w:val="19"/>
              </w:rPr>
            </w:r>
            <w:r>
              <w:rPr>
                <w:sz w:val="19"/>
              </w:rPr>
              <w:t>PPO</w:t>
            </w:r>
          </w:p>
        </w:tc>
        <w:tc>
          <w:tcPr>
            <w:tcW w:type="dxa" w:w="4752"/>
          </w:tcPr>
          <w:p>
            <w:pPr>
              <w:spacing w:after="40" w:before="40" w:line="240" w:lineRule="auto"/>
            </w:pPr>
            <w:r>
              <w:rPr>
                <w:sz w:val="19"/>
              </w:rPr>
            </w:r>
            <w:r>
              <w:rPr>
                <w:sz w:val="19"/>
              </w:rPr>
              <w:t>Gradient norm clip</w:t>
            </w:r>
          </w:p>
        </w:tc>
        <w:tc>
          <w:tcPr>
            <w:tcW w:type="dxa" w:w="3600"/>
          </w:tcPr>
          <w:p>
            <w:pPr>
              <w:spacing w:after="40" w:before="40" w:line="240" w:lineRule="auto"/>
            </w:pPr>
            <w:r>
              <w:rPr>
                <w:sz w:val="19"/>
              </w:rPr>
            </w:r>
            <w:r>
              <w:rPr>
                <w:sz w:val="19"/>
              </w:rPr>
              <w:t>0.5</w:t>
            </w:r>
          </w:p>
        </w:tc>
      </w:tr>
      <w:tr>
        <w:tc>
          <w:tcPr>
            <w:tcW w:type="dxa" w:w="1728"/>
          </w:tcPr>
          <w:p>
            <w:pPr>
              <w:spacing w:after="40" w:before="40" w:line="240" w:lineRule="auto"/>
            </w:pPr>
            <w:r>
              <w:rPr>
                <w:sz w:val="19"/>
              </w:rPr>
            </w:r>
            <w:r>
              <w:rPr>
                <w:sz w:val="19"/>
              </w:rPr>
              <w:t>PPO</w:t>
            </w:r>
          </w:p>
        </w:tc>
        <w:tc>
          <w:tcPr>
            <w:tcW w:type="dxa" w:w="4752"/>
          </w:tcPr>
          <w:p>
            <w:pPr>
              <w:spacing w:after="40" w:before="40" w:line="240" w:lineRule="auto"/>
            </w:pPr>
            <w:r>
              <w:rPr>
                <w:sz w:val="19"/>
              </w:rPr>
            </w:r>
            <w:r>
              <w:rPr>
                <w:sz w:val="19"/>
              </w:rPr>
              <w:t>Rollout length / epochs / batch size</w:t>
            </w:r>
          </w:p>
        </w:tc>
        <w:tc>
          <w:tcPr>
            <w:tcW w:type="dxa" w:w="3600"/>
          </w:tcPr>
          <w:p>
            <w:pPr>
              <w:spacing w:after="40" w:before="40" w:line="240" w:lineRule="auto"/>
            </w:pPr>
            <w:r>
              <w:rPr>
                <w:sz w:val="19"/>
              </w:rPr>
            </w:r>
            <w:r>
              <w:rPr>
                <w:sz w:val="19"/>
              </w:rPr>
              <w:t>256 / 10 / 64</w:t>
            </w:r>
          </w:p>
        </w:tc>
      </w:tr>
      <w:tr>
        <w:tc>
          <w:tcPr>
            <w:tcW w:type="dxa" w:w="1728"/>
          </w:tcPr>
          <w:p>
            <w:pPr>
              <w:spacing w:after="40" w:before="40" w:line="240" w:lineRule="auto"/>
            </w:pPr>
            <w:r>
              <w:rPr>
                <w:sz w:val="19"/>
              </w:rPr>
            </w:r>
            <w:r>
              <w:rPr>
                <w:sz w:val="19"/>
              </w:rPr>
              <w:t>Reward</w:t>
            </w:r>
          </w:p>
        </w:tc>
        <w:tc>
          <w:tcPr>
            <w:tcW w:type="dxa" w:w="4752"/>
          </w:tcPr>
          <w:p>
            <w:pPr>
              <w:spacing w:after="40" w:before="40" w:line="240" w:lineRule="auto"/>
            </w:pPr>
            <w:r>
              <w:rPr>
                <w:sz w:val="19"/>
              </w:rPr>
            </w:r>
            <w:r>
              <w:rPr>
                <w:sz w:val="19"/>
              </w:rPr>
              <w:t>Risk-free rate</w:t>
            </w:r>
          </w:p>
        </w:tc>
        <w:tc>
          <w:tcPr>
            <w:tcW w:type="dxa" w:w="3600"/>
          </w:tcPr>
          <w:p>
            <w:pPr>
              <w:spacing w:after="40" w:before="40" w:line="240" w:lineRule="auto"/>
            </w:pPr>
            <w:r>
              <w:rPr>
                <w:sz w:val="19"/>
              </w:rPr>
            </w:r>
            <w:r>
              <w:rPr>
                <w:sz w:val="19"/>
              </w:rPr>
              <w:t>6% per annum</w:t>
            </w:r>
          </w:p>
        </w:tc>
      </w:tr>
      <w:tr>
        <w:tc>
          <w:tcPr>
            <w:tcW w:type="dxa" w:w="1728"/>
          </w:tcPr>
          <w:p>
            <w:pPr>
              <w:spacing w:after="40" w:before="40" w:line="240" w:lineRule="auto"/>
            </w:pPr>
            <w:r>
              <w:rPr>
                <w:sz w:val="19"/>
              </w:rPr>
            </w:r>
            <w:r>
              <w:rPr>
                <w:sz w:val="19"/>
              </w:rPr>
              <w:t>Reward</w:t>
            </w:r>
          </w:p>
        </w:tc>
        <w:tc>
          <w:tcPr>
            <w:tcW w:type="dxa" w:w="4752"/>
          </w:tcPr>
          <w:p>
            <w:pPr>
              <w:spacing w:after="40" w:before="40" w:line="240" w:lineRule="auto"/>
            </w:pPr>
            <w:r>
              <w:rPr>
                <w:sz w:val="19"/>
              </w:rPr>
            </w:r>
            <w:r>
              <w:rPr>
                <w:sz w:val="19"/>
              </w:rPr>
              <w:t>Rolling Sharpe window</w:t>
            </w:r>
          </w:p>
        </w:tc>
        <w:tc>
          <w:tcPr>
            <w:tcW w:type="dxa" w:w="3600"/>
          </w:tcPr>
          <w:p>
            <w:pPr>
              <w:spacing w:after="40" w:before="40" w:line="240" w:lineRule="auto"/>
            </w:pPr>
            <w:r>
              <w:rPr>
                <w:sz w:val="19"/>
              </w:rPr>
            </w:r>
            <w:r>
              <w:rPr>
                <w:sz w:val="19"/>
              </w:rPr>
              <w:t>20 days</w:t>
            </w:r>
          </w:p>
        </w:tc>
      </w:tr>
      <w:tr>
        <w:tc>
          <w:tcPr>
            <w:tcW w:type="dxa" w:w="1728"/>
          </w:tcPr>
          <w:p>
            <w:pPr>
              <w:spacing w:after="40" w:before="40" w:line="240" w:lineRule="auto"/>
            </w:pPr>
            <w:r>
              <w:rPr>
                <w:sz w:val="19"/>
              </w:rPr>
            </w:r>
            <w:r>
              <w:rPr>
                <w:sz w:val="19"/>
              </w:rPr>
              <w:t>Reward</w:t>
            </w:r>
          </w:p>
        </w:tc>
        <w:tc>
          <w:tcPr>
            <w:tcW w:type="dxa" w:w="4752"/>
          </w:tcPr>
          <w:p>
            <w:pPr>
              <w:spacing w:after="40" w:before="40" w:line="240" w:lineRule="auto"/>
            </w:pPr>
            <w:r>
              <w:rPr>
                <w:sz w:val="19"/>
              </w:rPr>
            </w:r>
            <w:r>
              <w:rPr>
                <w:sz w:val="19"/>
              </w:rPr>
              <w:t>EVaR confidence / weight</w:t>
            </w:r>
          </w:p>
        </w:tc>
        <w:tc>
          <w:tcPr>
            <w:tcW w:type="dxa" w:w="3600"/>
          </w:tcPr>
          <w:p>
            <w:pPr>
              <w:spacing w:after="40" w:before="40" w:line="240" w:lineRule="auto"/>
            </w:pPr>
            <w:r>
              <w:rPr>
                <w:sz w:val="19"/>
              </w:rPr>
            </w:r>
            <w:r>
              <w:rPr>
                <w:sz w:val="19"/>
              </w:rPr>
              <w:t>0.95 / 0.1</w:t>
            </w:r>
          </w:p>
        </w:tc>
      </w:tr>
      <w:tr>
        <w:tc>
          <w:tcPr>
            <w:tcW w:type="dxa" w:w="1728"/>
          </w:tcPr>
          <w:p>
            <w:pPr>
              <w:spacing w:after="40" w:before="40" w:line="240" w:lineRule="auto"/>
            </w:pPr>
            <w:r>
              <w:rPr>
                <w:sz w:val="19"/>
              </w:rPr>
            </w:r>
            <w:r>
              <w:rPr>
                <w:sz w:val="19"/>
              </w:rPr>
              <w:t>Reward</w:t>
            </w:r>
          </w:p>
        </w:tc>
        <w:tc>
          <w:tcPr>
            <w:tcW w:type="dxa" w:w="4752"/>
          </w:tcPr>
          <w:p>
            <w:pPr>
              <w:spacing w:after="40" w:before="40" w:line="240" w:lineRule="auto"/>
            </w:pPr>
            <w:r>
              <w:rPr>
                <w:sz w:val="19"/>
              </w:rPr>
            </w:r>
            <w:r>
              <w:rPr>
                <w:sz w:val="19"/>
              </w:rPr>
              <w:t>Turnover penalty</w:t>
            </w:r>
          </w:p>
        </w:tc>
        <w:tc>
          <w:tcPr>
            <w:tcW w:type="dxa" w:w="3600"/>
          </w:tcPr>
          <w:p>
            <w:pPr>
              <w:spacing w:after="40" w:before="40" w:line="240" w:lineRule="auto"/>
            </w:pPr>
            <w:r>
              <w:rPr>
                <w:sz w:val="19"/>
              </w:rPr>
            </w:r>
            <w:r>
              <w:rPr>
                <w:sz w:val="19"/>
              </w:rPr>
              <w:t>0.001 (quadratic)</w:t>
            </w:r>
          </w:p>
        </w:tc>
      </w:tr>
      <w:tr>
        <w:tc>
          <w:tcPr>
            <w:tcW w:type="dxa" w:w="1728"/>
          </w:tcPr>
          <w:p>
            <w:pPr>
              <w:spacing w:after="40" w:before="40" w:line="240" w:lineRule="auto"/>
            </w:pPr>
            <w:r>
              <w:rPr>
                <w:sz w:val="19"/>
              </w:rPr>
            </w:r>
            <w:r>
              <w:rPr>
                <w:sz w:val="19"/>
              </w:rPr>
              <w:t>Environment</w:t>
            </w:r>
          </w:p>
        </w:tc>
        <w:tc>
          <w:tcPr>
            <w:tcW w:type="dxa" w:w="4752"/>
          </w:tcPr>
          <w:p>
            <w:pPr>
              <w:spacing w:after="40" w:before="40" w:line="240" w:lineRule="auto"/>
            </w:pPr>
            <w:r>
              <w:rPr>
                <w:sz w:val="19"/>
              </w:rPr>
            </w:r>
            <w:r>
              <w:rPr>
                <w:sz w:val="19"/>
              </w:rPr>
              <w:t>Initial capital</w:t>
            </w:r>
          </w:p>
        </w:tc>
        <w:tc>
          <w:tcPr>
            <w:tcW w:type="dxa" w:w="3600"/>
          </w:tcPr>
          <w:p>
            <w:pPr>
              <w:spacing w:after="40" w:before="40" w:line="240" w:lineRule="auto"/>
            </w:pPr>
            <w:r>
              <w:rPr>
                <w:sz w:val="19"/>
              </w:rPr>
            </w:r>
            <w:r>
              <w:rPr>
                <w:sz w:val="19"/>
              </w:rPr>
              <w:t>LKR 1,000,000</w:t>
            </w:r>
          </w:p>
        </w:tc>
      </w:tr>
      <w:tr>
        <w:tc>
          <w:tcPr>
            <w:tcW w:type="dxa" w:w="1728"/>
          </w:tcPr>
          <w:p>
            <w:pPr>
              <w:spacing w:after="40" w:before="40" w:line="240" w:lineRule="auto"/>
            </w:pPr>
            <w:r>
              <w:rPr>
                <w:sz w:val="19"/>
              </w:rPr>
            </w:r>
            <w:r>
              <w:rPr>
                <w:sz w:val="19"/>
              </w:rPr>
              <w:t>Environment</w:t>
            </w:r>
          </w:p>
        </w:tc>
        <w:tc>
          <w:tcPr>
            <w:tcW w:type="dxa" w:w="4752"/>
          </w:tcPr>
          <w:p>
            <w:pPr>
              <w:spacing w:after="40" w:before="40" w:line="240" w:lineRule="auto"/>
            </w:pPr>
            <w:r>
              <w:rPr>
                <w:sz w:val="19"/>
              </w:rPr>
            </w:r>
            <w:r>
              <w:rPr>
                <w:sz w:val="19"/>
              </w:rPr>
              <w:t>Transaction cost</w:t>
            </w:r>
          </w:p>
        </w:tc>
        <w:tc>
          <w:tcPr>
            <w:tcW w:type="dxa" w:w="3600"/>
          </w:tcPr>
          <w:p>
            <w:pPr>
              <w:spacing w:after="40" w:before="40" w:line="240" w:lineRule="auto"/>
            </w:pPr>
            <w:r>
              <w:rPr>
                <w:sz w:val="19"/>
              </w:rPr>
            </w:r>
            <w:r>
              <w:rPr>
                <w:sz w:val="19"/>
              </w:rPr>
              <w:t>0.10% of turnover</w:t>
            </w:r>
          </w:p>
        </w:tc>
      </w:tr>
      <w:tr>
        <w:tc>
          <w:tcPr>
            <w:tcW w:type="dxa" w:w="1728"/>
          </w:tcPr>
          <w:p>
            <w:pPr>
              <w:spacing w:after="40" w:before="40" w:line="240" w:lineRule="auto"/>
            </w:pPr>
            <w:r>
              <w:rPr>
                <w:sz w:val="19"/>
              </w:rPr>
            </w:r>
            <w:r>
              <w:rPr>
                <w:sz w:val="19"/>
              </w:rPr>
              <w:t>Environment</w:t>
            </w:r>
          </w:p>
        </w:tc>
        <w:tc>
          <w:tcPr>
            <w:tcW w:type="dxa" w:w="4752"/>
          </w:tcPr>
          <w:p>
            <w:pPr>
              <w:spacing w:after="40" w:before="40" w:line="240" w:lineRule="auto"/>
            </w:pPr>
            <w:r>
              <w:rPr>
                <w:sz w:val="19"/>
              </w:rPr>
            </w:r>
            <w:r>
              <w:rPr>
                <w:sz w:val="19"/>
              </w:rPr>
              <w:t>Slippage</w:t>
            </w:r>
          </w:p>
        </w:tc>
        <w:tc>
          <w:tcPr>
            <w:tcW w:type="dxa" w:w="3600"/>
          </w:tcPr>
          <w:p>
            <w:pPr>
              <w:spacing w:after="40" w:before="40" w:line="240" w:lineRule="auto"/>
            </w:pPr>
            <w:r>
              <w:rPr>
                <w:sz w:val="19"/>
              </w:rPr>
            </w:r>
            <w:r>
              <w:rPr>
                <w:sz w:val="19"/>
              </w:rPr>
              <w:t>0.05% of turnover</w:t>
            </w:r>
          </w:p>
        </w:tc>
      </w:tr>
      <w:tr>
        <w:tc>
          <w:tcPr>
            <w:tcW w:type="dxa" w:w="1728"/>
          </w:tcPr>
          <w:p>
            <w:pPr>
              <w:spacing w:after="40" w:before="40" w:line="240" w:lineRule="auto"/>
            </w:pPr>
            <w:r>
              <w:rPr>
                <w:sz w:val="19"/>
              </w:rPr>
            </w:r>
            <w:r>
              <w:rPr>
                <w:sz w:val="19"/>
              </w:rPr>
              <w:t>Environment</w:t>
            </w:r>
          </w:p>
        </w:tc>
        <w:tc>
          <w:tcPr>
            <w:tcW w:type="dxa" w:w="4752"/>
          </w:tcPr>
          <w:p>
            <w:pPr>
              <w:spacing w:after="40" w:before="40" w:line="240" w:lineRule="auto"/>
            </w:pPr>
            <w:r>
              <w:rPr>
                <w:sz w:val="19"/>
              </w:rPr>
            </w:r>
            <w:r>
              <w:rPr>
                <w:sz w:val="19"/>
              </w:rPr>
              <w:t>Maximum single-asset weight</w:t>
            </w:r>
          </w:p>
        </w:tc>
        <w:tc>
          <w:tcPr>
            <w:tcW w:type="dxa" w:w="3600"/>
          </w:tcPr>
          <w:p>
            <w:pPr>
              <w:spacing w:after="40" w:before="40" w:line="240" w:lineRule="auto"/>
            </w:pPr>
            <w:r>
              <w:rPr>
                <w:sz w:val="19"/>
              </w:rPr>
            </w:r>
            <w:r>
              <w:rPr>
                <w:sz w:val="19"/>
              </w:rPr>
              <w:t>30%</w:t>
            </w:r>
          </w:p>
        </w:tc>
      </w:tr>
      <w:tr>
        <w:tc>
          <w:tcPr>
            <w:tcW w:type="dxa" w:w="1728"/>
          </w:tcPr>
          <w:p>
            <w:pPr>
              <w:spacing w:after="40" w:before="40" w:line="240" w:lineRule="auto"/>
            </w:pPr>
            <w:r>
              <w:rPr>
                <w:sz w:val="19"/>
              </w:rPr>
            </w:r>
            <w:r>
              <w:rPr>
                <w:sz w:val="19"/>
              </w:rPr>
              <w:t>Environment</w:t>
            </w:r>
          </w:p>
        </w:tc>
        <w:tc>
          <w:tcPr>
            <w:tcW w:type="dxa" w:w="4752"/>
          </w:tcPr>
          <w:p>
            <w:pPr>
              <w:spacing w:after="40" w:before="40" w:line="240" w:lineRule="auto"/>
            </w:pPr>
            <w:r>
              <w:rPr>
                <w:sz w:val="19"/>
              </w:rPr>
            </w:r>
            <w:r>
              <w:rPr>
                <w:sz w:val="19"/>
              </w:rPr>
              <w:t>Short selling</w:t>
            </w:r>
          </w:p>
        </w:tc>
        <w:tc>
          <w:tcPr>
            <w:tcW w:type="dxa" w:w="3600"/>
          </w:tcPr>
          <w:p>
            <w:pPr>
              <w:spacing w:after="40" w:before="40" w:line="240" w:lineRule="auto"/>
            </w:pPr>
            <w:r>
              <w:rPr>
                <w:sz w:val="19"/>
              </w:rPr>
            </w:r>
            <w:r>
              <w:rPr>
                <w:sz w:val="19"/>
              </w:rPr>
              <w:t>Disabled</w:t>
            </w:r>
          </w:p>
        </w:tc>
      </w:tr>
      <w:tr>
        <w:tc>
          <w:tcPr>
            <w:tcW w:type="dxa" w:w="1728"/>
          </w:tcPr>
          <w:p>
            <w:pPr>
              <w:spacing w:after="40" w:before="40" w:line="240" w:lineRule="auto"/>
            </w:pPr>
            <w:r>
              <w:rPr>
                <w:sz w:val="19"/>
              </w:rPr>
            </w:r>
            <w:r>
              <w:rPr>
                <w:sz w:val="19"/>
              </w:rPr>
              <w:t>Experiment</w:t>
            </w:r>
          </w:p>
        </w:tc>
        <w:tc>
          <w:tcPr>
            <w:tcW w:type="dxa" w:w="4752"/>
          </w:tcPr>
          <w:p>
            <w:pPr>
              <w:spacing w:after="40" w:before="40" w:line="240" w:lineRule="auto"/>
            </w:pPr>
            <w:r>
              <w:rPr>
                <w:sz w:val="19"/>
              </w:rPr>
            </w:r>
            <w:r>
              <w:rPr>
                <w:sz w:val="19"/>
              </w:rPr>
              <w:t>Random seed</w:t>
            </w:r>
          </w:p>
        </w:tc>
        <w:tc>
          <w:tcPr>
            <w:tcW w:type="dxa" w:w="3600"/>
          </w:tcPr>
          <w:p>
            <w:pPr>
              <w:spacing w:after="40" w:before="40" w:line="240" w:lineRule="auto"/>
            </w:pPr>
            <w:r>
              <w:rPr>
                <w:sz w:val="19"/>
              </w:rPr>
            </w:r>
            <w:r>
              <w:rPr>
                <w:sz w:val="19"/>
              </w:rPr>
              <w:t>42</w:t>
            </w:r>
          </w:p>
        </w:tc>
      </w:tr>
    </w:tbl>
    <w:p>
      <w:pPr>
        <w:spacing w:before="60" w:after="240" w:line="240" w:lineRule="auto"/>
        <w:jc w:val="center"/>
      </w:pPr>
      <w:r>
        <w:rPr>
          <w:i/>
          <w:sz w:val="20"/>
        </w:rPr>
        <w:t>Table 6.x.6 — Complete training configuration</w:t>
      </w:r>
    </w:p>
    <w:p>
      <w:pPr>
        <w:jc w:val="both"/>
      </w:pPr>
      <w:r>
        <w:t>Two configuration constraints are enforced by assertion in the implementation because violating either fails silently. The LSTM hidden dimension must be divisible by the number of attention heads, since multi-head attention partitions the representation across heads. The evaluation and checkpoint frequencies must be integer multiples of the rollout length, because the trainer tests the global step against them and the global step advances in rollout-length increments; a non-multiple means the condition never holds, evaluation never runs, no best checkpoint is written and early stopping never triggers.</w:t>
      </w:r>
    </w:p>
    <w:p>
      <w:pPr>
        <w:spacing w:before="120" w:after="200" w:line="276" w:lineRule="auto"/>
        <w:ind w:left="360"/>
      </w:pPr>
      <w:r>
        <w:rPr>
          <w:b/>
          <w:color w:val="B00000"/>
          <w:sz w:val="20"/>
        </w:rPr>
        <w:t xml:space="preserve">[ACTION REQUIRED] </w:t>
      </w:r>
      <w:r>
        <w:rPr>
          <w:color w:val="B00000"/>
          <w:sz w:val="20"/>
        </w:rPr>
        <w:t>Insert screenshots of the following, matching the template's figure convention: (a) the model construction cell showing the agent being instantiated with the parameter counts printed; (b) the training loop cell; (c) the TensorBoard curves for policy loss, value loss and mean reward. Caption them Figure 6.x.3 to 6.x.5.</w:t>
      </w:r>
    </w:p>
    <w:p>
      <w:r>
        <w:br w:type="page"/>
      </w:r>
    </w:p>
    <w:p>
      <w:pPr>
        <w:pStyle w:val="Heading1"/>
      </w:pPr>
      <w:r>
        <w:t>Chapter 7 — Evaluation</w:t>
      </w:r>
    </w:p>
    <w:p>
      <w:pPr>
        <w:pStyle w:val="Heading2"/>
      </w:pPr>
      <w:r>
        <w:t>7.x Regime-Aware Portfolio Optimization Module</w:t>
      </w:r>
    </w:p>
    <w:p>
      <w:pPr>
        <w:pStyle w:val="Heading3"/>
      </w:pPr>
      <w:r>
        <w:t>7.x.1 Evaluation Methodology</w:t>
      </w:r>
    </w:p>
    <w:p>
      <w:pPr>
        <w:jc w:val="both"/>
      </w:pPr>
      <w:r>
        <w:t>The trained policy is evaluated on the held-out test split, which covers 14 August 2025 to 31 December 2025 and yields 92 tradable steps. The policy is run deterministically, using the mean action rather than sampling, and every allocation is executed through the same market environment used during training, so that the position cap, the 0.10% transaction cost and the 0.05% slippage all apply. The reported metrics are total and annualised return, annualised volatility, the Sharpe ratio, maximum drawdown, cumulative transaction costs and the final portfolio value.</w:t>
      </w:r>
    </w:p>
    <w:p>
      <w:pPr>
        <w:jc w:val="both"/>
      </w:pPr>
      <w:r>
        <w:t>One definitional point must be stated, because it affects how the reported figures should be read. The performance summary computes the Sharpe ratio as the annualised return divided by the annualised volatility, without subtracting the risk-free rate. The reported values are therefore return-to-volatility ratios rather than textbook Sharpe ratios, and at a 6% risk-free rate the textbook values would be lower by approximately 0.3. Because every strategy in Table 7.x.1 is measured by the identical formula, the comparison between them is unaffected; only the absolute level is.</w:t>
      </w:r>
    </w:p>
    <w:p>
      <w:pPr>
        <w:jc w:val="both"/>
      </w:pPr>
      <w:r>
        <w:t>A model evaluated in isolation cannot be judged, so three baselines were computed over the identical test window, through the identical environment, and therefore bearing identical costs. The first is an equal-weight portfolio rebalanced daily, which is the standard naive benchmark and a demanding one; the second is an equal-weight buy-and-hold portfolio, which is allowed to drift with prices after the initial purchase; and the third is a set of single-counter positions, included to show the dispersion of outcomes available within the universe.</w:t>
      </w:r>
    </w:p>
    <w:p>
      <w:pPr>
        <w:pStyle w:val="Heading3"/>
      </w:pPr>
      <w:r>
        <w:t>7.x.2 Results</w:t>
      </w:r>
    </w:p>
    <w:tbl>
      <w:tblPr>
        <w:tblStyle w:val="TableGrid"/>
        <w:tblW w:type="auto" w:w="0"/>
        <w:jc w:val="center"/>
        <w:tblLook w:firstColumn="1" w:firstRow="1" w:lastColumn="0" w:lastRow="0" w:noHBand="0" w:noVBand="1" w:val="04A0"/>
      </w:tblPr>
      <w:tblGrid>
        <w:gridCol w:w="1143"/>
        <w:gridCol w:w="1143"/>
        <w:gridCol w:w="1143"/>
        <w:gridCol w:w="1143"/>
        <w:gridCol w:w="1143"/>
        <w:gridCol w:w="1143"/>
        <w:gridCol w:w="1143"/>
        <w:gridCol w:w="1143"/>
      </w:tblGrid>
      <w:tr>
        <w:tc>
          <w:tcPr>
            <w:tcW w:type="dxa" w:w="2376"/>
            <w:shd w:val="clear" w:color="auto" w:fill="D9D9D9"/>
          </w:tcPr>
          <w:p>
            <w:pPr>
              <w:spacing w:after="40" w:before="40" w:line="240" w:lineRule="auto"/>
              <w:jc w:val="center"/>
            </w:pPr>
            <w:r/>
            <w:r>
              <w:rPr>
                <w:b/>
                <w:sz w:val="16"/>
              </w:rPr>
              <w:t>Strategy</w:t>
            </w:r>
          </w:p>
        </w:tc>
        <w:tc>
          <w:tcPr>
            <w:tcW w:type="dxa" w:w="1008"/>
            <w:shd w:val="clear" w:color="auto" w:fill="D9D9D9"/>
          </w:tcPr>
          <w:p>
            <w:pPr>
              <w:spacing w:after="40" w:before="40" w:line="240" w:lineRule="auto"/>
              <w:jc w:val="center"/>
            </w:pPr>
            <w:r/>
            <w:r>
              <w:rPr>
                <w:b/>
                <w:sz w:val="16"/>
              </w:rPr>
              <w:t>Total return</w:t>
            </w:r>
          </w:p>
        </w:tc>
        <w:tc>
          <w:tcPr>
            <w:tcW w:type="dxa" w:w="1224"/>
            <w:shd w:val="clear" w:color="auto" w:fill="D9D9D9"/>
          </w:tcPr>
          <w:p>
            <w:pPr>
              <w:spacing w:after="40" w:before="40" w:line="240" w:lineRule="auto"/>
              <w:jc w:val="center"/>
            </w:pPr>
            <w:r/>
            <w:r>
              <w:rPr>
                <w:b/>
                <w:sz w:val="16"/>
              </w:rPr>
              <w:t>Annualised return</w:t>
            </w:r>
          </w:p>
        </w:tc>
        <w:tc>
          <w:tcPr>
            <w:tcW w:type="dxa" w:w="1296"/>
            <w:shd w:val="clear" w:color="auto" w:fill="D9D9D9"/>
          </w:tcPr>
          <w:p>
            <w:pPr>
              <w:spacing w:after="40" w:before="40" w:line="240" w:lineRule="auto"/>
              <w:jc w:val="center"/>
            </w:pPr>
            <w:r/>
            <w:r>
              <w:rPr>
                <w:b/>
                <w:sz w:val="16"/>
              </w:rPr>
              <w:t>Annualised volatility</w:t>
            </w:r>
          </w:p>
        </w:tc>
        <w:tc>
          <w:tcPr>
            <w:tcW w:type="dxa" w:w="1008"/>
            <w:shd w:val="clear" w:color="auto" w:fill="D9D9D9"/>
          </w:tcPr>
          <w:p>
            <w:pPr>
              <w:spacing w:after="40" w:before="40" w:line="240" w:lineRule="auto"/>
              <w:jc w:val="center"/>
            </w:pPr>
            <w:r/>
            <w:r>
              <w:rPr>
                <w:b/>
                <w:sz w:val="16"/>
              </w:rPr>
              <w:t>Sharpe ratio</w:t>
            </w:r>
          </w:p>
        </w:tc>
        <w:tc>
          <w:tcPr>
            <w:tcW w:type="dxa" w:w="1224"/>
            <w:shd w:val="clear" w:color="auto" w:fill="D9D9D9"/>
          </w:tcPr>
          <w:p>
            <w:pPr>
              <w:spacing w:after="40" w:before="40" w:line="240" w:lineRule="auto"/>
              <w:jc w:val="center"/>
            </w:pPr>
            <w:r/>
            <w:r>
              <w:rPr>
                <w:b/>
                <w:sz w:val="16"/>
              </w:rPr>
              <w:t>Maximum drawdown</w:t>
            </w:r>
          </w:p>
        </w:tc>
        <w:tc>
          <w:tcPr>
            <w:tcW w:type="dxa" w:w="936"/>
            <w:shd w:val="clear" w:color="auto" w:fill="D9D9D9"/>
          </w:tcPr>
          <w:p>
            <w:pPr>
              <w:spacing w:after="40" w:before="40" w:line="240" w:lineRule="auto"/>
              <w:jc w:val="center"/>
            </w:pPr>
            <w:r/>
            <w:r>
              <w:rPr>
                <w:b/>
                <w:sz w:val="16"/>
              </w:rPr>
              <w:t>Costs (LKR)</w:t>
            </w:r>
          </w:p>
        </w:tc>
        <w:tc>
          <w:tcPr>
            <w:tcW w:type="dxa" w:w="1152"/>
            <w:shd w:val="clear" w:color="auto" w:fill="D9D9D9"/>
          </w:tcPr>
          <w:p>
            <w:pPr>
              <w:spacing w:after="40" w:before="40" w:line="240" w:lineRule="auto"/>
              <w:jc w:val="center"/>
            </w:pPr>
            <w:r/>
            <w:r>
              <w:rPr>
                <w:b/>
                <w:sz w:val="16"/>
              </w:rPr>
              <w:t>Final value (LKR)</w:t>
            </w:r>
          </w:p>
        </w:tc>
      </w:tr>
      <w:tr>
        <w:tc>
          <w:tcPr>
            <w:tcW w:type="dxa" w:w="2376"/>
          </w:tcPr>
          <w:p>
            <w:pPr>
              <w:spacing w:after="40" w:before="40" w:line="240" w:lineRule="auto"/>
            </w:pPr>
            <w:r>
              <w:rPr>
                <w:sz w:val="16"/>
              </w:rPr>
            </w:r>
            <w:r>
              <w:rPr>
                <w:b/>
                <w:sz w:val="16"/>
              </w:rPr>
              <w:t>PPO agent (proposed)</w:t>
            </w:r>
          </w:p>
        </w:tc>
        <w:tc>
          <w:tcPr>
            <w:tcW w:type="dxa" w:w="1008"/>
          </w:tcPr>
          <w:p>
            <w:pPr>
              <w:spacing w:after="40" w:before="40" w:line="240" w:lineRule="auto"/>
            </w:pPr>
            <w:r>
              <w:rPr>
                <w:sz w:val="16"/>
              </w:rPr>
            </w:r>
            <w:r>
              <w:rPr>
                <w:sz w:val="16"/>
              </w:rPr>
              <w:t>13.93%</w:t>
            </w:r>
          </w:p>
        </w:tc>
        <w:tc>
          <w:tcPr>
            <w:tcW w:type="dxa" w:w="1224"/>
          </w:tcPr>
          <w:p>
            <w:pPr>
              <w:spacing w:after="40" w:before="40" w:line="240" w:lineRule="auto"/>
            </w:pPr>
            <w:r>
              <w:rPr>
                <w:sz w:val="16"/>
              </w:rPr>
            </w:r>
            <w:r>
              <w:rPr>
                <w:sz w:val="16"/>
              </w:rPr>
              <w:t>42.93%</w:t>
            </w:r>
          </w:p>
        </w:tc>
        <w:tc>
          <w:tcPr>
            <w:tcW w:type="dxa" w:w="1296"/>
          </w:tcPr>
          <w:p>
            <w:pPr>
              <w:spacing w:after="40" w:before="40" w:line="240" w:lineRule="auto"/>
            </w:pPr>
            <w:r>
              <w:rPr>
                <w:sz w:val="16"/>
              </w:rPr>
            </w:r>
            <w:r>
              <w:rPr>
                <w:sz w:val="16"/>
              </w:rPr>
              <w:t>20.42%</w:t>
            </w:r>
          </w:p>
        </w:tc>
        <w:tc>
          <w:tcPr>
            <w:tcW w:type="dxa" w:w="1008"/>
          </w:tcPr>
          <w:p>
            <w:pPr>
              <w:spacing w:after="40" w:before="40" w:line="240" w:lineRule="auto"/>
            </w:pPr>
            <w:r>
              <w:rPr>
                <w:sz w:val="16"/>
              </w:rPr>
            </w:r>
            <w:r>
              <w:rPr>
                <w:b/>
                <w:sz w:val="16"/>
              </w:rPr>
              <w:t>2.10</w:t>
            </w:r>
          </w:p>
        </w:tc>
        <w:tc>
          <w:tcPr>
            <w:tcW w:type="dxa" w:w="1224"/>
          </w:tcPr>
          <w:p>
            <w:pPr>
              <w:spacing w:after="40" w:before="40" w:line="240" w:lineRule="auto"/>
            </w:pPr>
            <w:r>
              <w:rPr>
                <w:sz w:val="16"/>
              </w:rPr>
            </w:r>
            <w:r>
              <w:rPr>
                <w:sz w:val="16"/>
              </w:rPr>
              <w:t>10.83%</w:t>
            </w:r>
          </w:p>
        </w:tc>
        <w:tc>
          <w:tcPr>
            <w:tcW w:type="dxa" w:w="936"/>
          </w:tcPr>
          <w:p>
            <w:pPr>
              <w:spacing w:after="40" w:before="40" w:line="240" w:lineRule="auto"/>
            </w:pPr>
            <w:r>
              <w:rPr>
                <w:sz w:val="16"/>
              </w:rPr>
            </w:r>
            <w:r>
              <w:rPr>
                <w:sz w:val="16"/>
              </w:rPr>
              <w:t>13,159</w:t>
            </w:r>
          </w:p>
        </w:tc>
        <w:tc>
          <w:tcPr>
            <w:tcW w:type="dxa" w:w="1152"/>
          </w:tcPr>
          <w:p>
            <w:pPr>
              <w:spacing w:after="40" w:before="40" w:line="240" w:lineRule="auto"/>
            </w:pPr>
            <w:r>
              <w:rPr>
                <w:sz w:val="16"/>
              </w:rPr>
            </w:r>
            <w:r>
              <w:rPr>
                <w:sz w:val="16"/>
              </w:rPr>
              <w:t>1,139,278</w:t>
            </w:r>
          </w:p>
        </w:tc>
      </w:tr>
      <w:tr>
        <w:tc>
          <w:tcPr>
            <w:tcW w:type="dxa" w:w="2376"/>
          </w:tcPr>
          <w:p>
            <w:pPr>
              <w:spacing w:after="40" w:before="40" w:line="240" w:lineRule="auto"/>
            </w:pPr>
            <w:r>
              <w:rPr>
                <w:sz w:val="16"/>
              </w:rPr>
            </w:r>
            <w:r>
              <w:rPr>
                <w:sz w:val="16"/>
              </w:rPr>
              <w:t>Equal-weight, daily rebalanced</w:t>
            </w:r>
          </w:p>
        </w:tc>
        <w:tc>
          <w:tcPr>
            <w:tcW w:type="dxa" w:w="1008"/>
          </w:tcPr>
          <w:p>
            <w:pPr>
              <w:spacing w:after="40" w:before="40" w:line="240" w:lineRule="auto"/>
            </w:pPr>
            <w:r>
              <w:rPr>
                <w:sz w:val="16"/>
              </w:rPr>
            </w:r>
            <w:r>
              <w:rPr>
                <w:sz w:val="16"/>
              </w:rPr>
              <w:t>14.75%</w:t>
            </w:r>
          </w:p>
        </w:tc>
        <w:tc>
          <w:tcPr>
            <w:tcW w:type="dxa" w:w="1224"/>
          </w:tcPr>
          <w:p>
            <w:pPr>
              <w:spacing w:after="40" w:before="40" w:line="240" w:lineRule="auto"/>
            </w:pPr>
            <w:r>
              <w:rPr>
                <w:sz w:val="16"/>
              </w:rPr>
            </w:r>
            <w:r>
              <w:rPr>
                <w:sz w:val="16"/>
              </w:rPr>
              <w:t>45.78%</w:t>
            </w:r>
          </w:p>
        </w:tc>
        <w:tc>
          <w:tcPr>
            <w:tcW w:type="dxa" w:w="1296"/>
          </w:tcPr>
          <w:p>
            <w:pPr>
              <w:spacing w:after="40" w:before="40" w:line="240" w:lineRule="auto"/>
            </w:pPr>
            <w:r>
              <w:rPr>
                <w:sz w:val="16"/>
              </w:rPr>
            </w:r>
            <w:r>
              <w:rPr>
                <w:sz w:val="16"/>
              </w:rPr>
              <w:t>20.40%</w:t>
            </w:r>
          </w:p>
        </w:tc>
        <w:tc>
          <w:tcPr>
            <w:tcW w:type="dxa" w:w="1008"/>
          </w:tcPr>
          <w:p>
            <w:pPr>
              <w:spacing w:after="40" w:before="40" w:line="240" w:lineRule="auto"/>
            </w:pPr>
            <w:r>
              <w:rPr>
                <w:sz w:val="16"/>
              </w:rPr>
            </w:r>
            <w:r>
              <w:rPr>
                <w:b/>
                <w:sz w:val="16"/>
              </w:rPr>
              <w:t>2.24</w:t>
            </w:r>
          </w:p>
        </w:tc>
        <w:tc>
          <w:tcPr>
            <w:tcW w:type="dxa" w:w="1224"/>
          </w:tcPr>
          <w:p>
            <w:pPr>
              <w:spacing w:after="40" w:before="40" w:line="240" w:lineRule="auto"/>
            </w:pPr>
            <w:r>
              <w:rPr>
                <w:sz w:val="16"/>
              </w:rPr>
            </w:r>
            <w:r>
              <w:rPr>
                <w:sz w:val="16"/>
              </w:rPr>
              <w:t>11.01%</w:t>
            </w:r>
          </w:p>
        </w:tc>
        <w:tc>
          <w:tcPr>
            <w:tcW w:type="dxa" w:w="936"/>
          </w:tcPr>
          <w:p>
            <w:pPr>
              <w:spacing w:after="40" w:before="40" w:line="240" w:lineRule="auto"/>
            </w:pPr>
            <w:r>
              <w:rPr>
                <w:sz w:val="16"/>
              </w:rPr>
            </w:r>
            <w:r>
              <w:rPr>
                <w:sz w:val="16"/>
              </w:rPr>
              <w:t>1,500</w:t>
            </w:r>
          </w:p>
        </w:tc>
        <w:tc>
          <w:tcPr>
            <w:tcW w:type="dxa" w:w="1152"/>
          </w:tcPr>
          <w:p>
            <w:pPr>
              <w:spacing w:after="40" w:before="40" w:line="240" w:lineRule="auto"/>
            </w:pPr>
            <w:r>
              <w:rPr>
                <w:sz w:val="16"/>
              </w:rPr>
            </w:r>
            <w:r>
              <w:rPr>
                <w:sz w:val="16"/>
              </w:rPr>
              <w:t>1,147,523</w:t>
            </w:r>
          </w:p>
        </w:tc>
      </w:tr>
      <w:tr>
        <w:tc>
          <w:tcPr>
            <w:tcW w:type="dxa" w:w="2376"/>
          </w:tcPr>
          <w:p>
            <w:pPr>
              <w:spacing w:after="40" w:before="40" w:line="240" w:lineRule="auto"/>
            </w:pPr>
            <w:r>
              <w:rPr>
                <w:sz w:val="16"/>
              </w:rPr>
            </w:r>
            <w:r>
              <w:rPr>
                <w:sz w:val="16"/>
              </w:rPr>
              <w:t>Equal-weight buy-and-hold</w:t>
            </w:r>
          </w:p>
        </w:tc>
        <w:tc>
          <w:tcPr>
            <w:tcW w:type="dxa" w:w="1008"/>
          </w:tcPr>
          <w:p>
            <w:pPr>
              <w:spacing w:after="40" w:before="40" w:line="240" w:lineRule="auto"/>
            </w:pPr>
            <w:r>
              <w:rPr>
                <w:sz w:val="16"/>
              </w:rPr>
            </w:r>
            <w:r>
              <w:rPr>
                <w:sz w:val="16"/>
              </w:rPr>
              <w:t>11.17%</w:t>
            </w:r>
          </w:p>
        </w:tc>
        <w:tc>
          <w:tcPr>
            <w:tcW w:type="dxa" w:w="1224"/>
          </w:tcPr>
          <w:p>
            <w:pPr>
              <w:spacing w:after="40" w:before="40" w:line="240" w:lineRule="auto"/>
            </w:pPr>
            <w:r>
              <w:rPr>
                <w:sz w:val="16"/>
              </w:rPr>
            </w:r>
            <w:r>
              <w:rPr>
                <w:sz w:val="16"/>
              </w:rPr>
              <w:t>33.64%</w:t>
            </w:r>
          </w:p>
        </w:tc>
        <w:tc>
          <w:tcPr>
            <w:tcW w:type="dxa" w:w="1296"/>
          </w:tcPr>
          <w:p>
            <w:pPr>
              <w:spacing w:after="40" w:before="40" w:line="240" w:lineRule="auto"/>
            </w:pPr>
            <w:r>
              <w:rPr>
                <w:sz w:val="16"/>
              </w:rPr>
            </w:r>
            <w:r>
              <w:rPr>
                <w:sz w:val="16"/>
              </w:rPr>
              <w:t>21.27%</w:t>
            </w:r>
          </w:p>
        </w:tc>
        <w:tc>
          <w:tcPr>
            <w:tcW w:type="dxa" w:w="1008"/>
          </w:tcPr>
          <w:p>
            <w:pPr>
              <w:spacing w:after="40" w:before="40" w:line="240" w:lineRule="auto"/>
            </w:pPr>
            <w:r>
              <w:rPr>
                <w:sz w:val="16"/>
              </w:rPr>
            </w:r>
            <w:r>
              <w:rPr>
                <w:sz w:val="16"/>
              </w:rPr>
              <w:t>1.58</w:t>
            </w:r>
          </w:p>
        </w:tc>
        <w:tc>
          <w:tcPr>
            <w:tcW w:type="dxa" w:w="1224"/>
          </w:tcPr>
          <w:p>
            <w:pPr>
              <w:spacing w:after="40" w:before="40" w:line="240" w:lineRule="auto"/>
            </w:pPr>
            <w:r>
              <w:rPr>
                <w:sz w:val="16"/>
              </w:rPr>
            </w:r>
            <w:r>
              <w:rPr>
                <w:sz w:val="16"/>
              </w:rPr>
              <w:t>12.39%</w:t>
            </w:r>
          </w:p>
        </w:tc>
        <w:tc>
          <w:tcPr>
            <w:tcW w:type="dxa" w:w="936"/>
          </w:tcPr>
          <w:p>
            <w:pPr>
              <w:spacing w:after="40" w:before="40" w:line="240" w:lineRule="auto"/>
            </w:pPr>
            <w:r>
              <w:rPr>
                <w:sz w:val="16"/>
              </w:rPr>
            </w:r>
            <w:r>
              <w:rPr>
                <w:sz w:val="16"/>
              </w:rPr>
              <w:t>3,579</w:t>
            </w:r>
          </w:p>
        </w:tc>
        <w:tc>
          <w:tcPr>
            <w:tcW w:type="dxa" w:w="1152"/>
          </w:tcPr>
          <w:p>
            <w:pPr>
              <w:spacing w:after="40" w:before="40" w:line="240" w:lineRule="auto"/>
            </w:pPr>
            <w:r>
              <w:rPr>
                <w:sz w:val="16"/>
              </w:rPr>
            </w:r>
            <w:r>
              <w:rPr>
                <w:sz w:val="16"/>
              </w:rPr>
              <w:t>1,111,667</w:t>
            </w:r>
          </w:p>
        </w:tc>
      </w:tr>
      <w:tr>
        <w:tc>
          <w:tcPr>
            <w:tcW w:type="dxa" w:w="2376"/>
          </w:tcPr>
          <w:p>
            <w:pPr>
              <w:spacing w:after="40" w:before="40" w:line="240" w:lineRule="auto"/>
            </w:pPr>
            <w:r>
              <w:rPr>
                <w:sz w:val="16"/>
              </w:rPr>
            </w:r>
            <w:r>
              <w:rPr>
                <w:sz w:val="16"/>
              </w:rPr>
              <w:t>Single counter — COMB</w:t>
            </w:r>
          </w:p>
        </w:tc>
        <w:tc>
          <w:tcPr>
            <w:tcW w:type="dxa" w:w="1008"/>
          </w:tcPr>
          <w:p>
            <w:pPr>
              <w:spacing w:after="40" w:before="40" w:line="240" w:lineRule="auto"/>
            </w:pPr>
            <w:r>
              <w:rPr>
                <w:sz w:val="16"/>
              </w:rPr>
            </w:r>
            <w:r>
              <w:rPr>
                <w:sz w:val="16"/>
              </w:rPr>
              <w:t>27.18%</w:t>
            </w:r>
          </w:p>
        </w:tc>
        <w:tc>
          <w:tcPr>
            <w:tcW w:type="dxa" w:w="1224"/>
          </w:tcPr>
          <w:p>
            <w:pPr>
              <w:spacing w:after="40" w:before="40" w:line="240" w:lineRule="auto"/>
            </w:pPr>
            <w:r>
              <w:rPr>
                <w:sz w:val="16"/>
              </w:rPr>
            </w:r>
            <w:r>
              <w:rPr>
                <w:sz w:val="16"/>
              </w:rPr>
              <w:t>93.21%</w:t>
            </w:r>
          </w:p>
        </w:tc>
        <w:tc>
          <w:tcPr>
            <w:tcW w:type="dxa" w:w="1296"/>
          </w:tcPr>
          <w:p>
            <w:pPr>
              <w:spacing w:after="40" w:before="40" w:line="240" w:lineRule="auto"/>
            </w:pPr>
            <w:r>
              <w:rPr>
                <w:sz w:val="16"/>
              </w:rPr>
            </w:r>
            <w:r>
              <w:rPr>
                <w:sz w:val="16"/>
              </w:rPr>
              <w:t>26.66%</w:t>
            </w:r>
          </w:p>
        </w:tc>
        <w:tc>
          <w:tcPr>
            <w:tcW w:type="dxa" w:w="1008"/>
          </w:tcPr>
          <w:p>
            <w:pPr>
              <w:spacing w:after="40" w:before="40" w:line="240" w:lineRule="auto"/>
            </w:pPr>
            <w:r>
              <w:rPr>
                <w:sz w:val="16"/>
              </w:rPr>
            </w:r>
            <w:r>
              <w:rPr>
                <w:sz w:val="16"/>
              </w:rPr>
              <w:t>3.50</w:t>
            </w:r>
          </w:p>
        </w:tc>
        <w:tc>
          <w:tcPr>
            <w:tcW w:type="dxa" w:w="1224"/>
          </w:tcPr>
          <w:p>
            <w:pPr>
              <w:spacing w:after="40" w:before="40" w:line="240" w:lineRule="auto"/>
            </w:pPr>
            <w:r>
              <w:rPr>
                <w:sz w:val="16"/>
              </w:rPr>
            </w:r>
            <w:r>
              <w:rPr>
                <w:sz w:val="16"/>
              </w:rPr>
              <w:t>11.43%</w:t>
            </w:r>
          </w:p>
        </w:tc>
        <w:tc>
          <w:tcPr>
            <w:tcW w:type="dxa" w:w="936"/>
          </w:tcPr>
          <w:p>
            <w:pPr>
              <w:spacing w:after="40" w:before="40" w:line="240" w:lineRule="auto"/>
            </w:pPr>
            <w:r>
              <w:rPr>
                <w:sz w:val="16"/>
              </w:rPr>
            </w:r>
            <w:r>
              <w:rPr>
                <w:sz w:val="16"/>
              </w:rPr>
              <w:t>1,500</w:t>
            </w:r>
          </w:p>
        </w:tc>
        <w:tc>
          <w:tcPr>
            <w:tcW w:type="dxa" w:w="1152"/>
          </w:tcPr>
          <w:p>
            <w:pPr>
              <w:spacing w:after="40" w:before="40" w:line="240" w:lineRule="auto"/>
            </w:pPr>
            <w:r>
              <w:rPr>
                <w:sz w:val="16"/>
              </w:rPr>
            </w:r>
            <w:r>
              <w:rPr>
                <w:sz w:val="16"/>
              </w:rPr>
              <w:t>1,271,807</w:t>
            </w:r>
          </w:p>
        </w:tc>
      </w:tr>
      <w:tr>
        <w:tc>
          <w:tcPr>
            <w:tcW w:type="dxa" w:w="2376"/>
          </w:tcPr>
          <w:p>
            <w:pPr>
              <w:spacing w:after="40" w:before="40" w:line="240" w:lineRule="auto"/>
            </w:pPr>
            <w:r>
              <w:rPr>
                <w:sz w:val="16"/>
              </w:rPr>
            </w:r>
            <w:r>
              <w:rPr>
                <w:sz w:val="16"/>
              </w:rPr>
              <w:t>Single counter — HNB</w:t>
            </w:r>
          </w:p>
        </w:tc>
        <w:tc>
          <w:tcPr>
            <w:tcW w:type="dxa" w:w="1008"/>
          </w:tcPr>
          <w:p>
            <w:pPr>
              <w:spacing w:after="40" w:before="40" w:line="240" w:lineRule="auto"/>
            </w:pPr>
            <w:r>
              <w:rPr>
                <w:sz w:val="16"/>
              </w:rPr>
            </w:r>
            <w:r>
              <w:rPr>
                <w:sz w:val="16"/>
              </w:rPr>
              <w:t>6.26%</w:t>
            </w:r>
          </w:p>
        </w:tc>
        <w:tc>
          <w:tcPr>
            <w:tcW w:type="dxa" w:w="1224"/>
          </w:tcPr>
          <w:p>
            <w:pPr>
              <w:spacing w:after="40" w:before="40" w:line="240" w:lineRule="auto"/>
            </w:pPr>
            <w:r>
              <w:rPr>
                <w:sz w:val="16"/>
              </w:rPr>
            </w:r>
            <w:r>
              <w:rPr>
                <w:sz w:val="16"/>
              </w:rPr>
              <w:t>18.09%</w:t>
            </w:r>
          </w:p>
        </w:tc>
        <w:tc>
          <w:tcPr>
            <w:tcW w:type="dxa" w:w="1296"/>
          </w:tcPr>
          <w:p>
            <w:pPr>
              <w:spacing w:after="40" w:before="40" w:line="240" w:lineRule="auto"/>
            </w:pPr>
            <w:r>
              <w:rPr>
                <w:sz w:val="16"/>
              </w:rPr>
            </w:r>
            <w:r>
              <w:rPr>
                <w:sz w:val="16"/>
              </w:rPr>
              <w:t>15.99%</w:t>
            </w:r>
          </w:p>
        </w:tc>
        <w:tc>
          <w:tcPr>
            <w:tcW w:type="dxa" w:w="1008"/>
          </w:tcPr>
          <w:p>
            <w:pPr>
              <w:spacing w:after="40" w:before="40" w:line="240" w:lineRule="auto"/>
            </w:pPr>
            <w:r>
              <w:rPr>
                <w:sz w:val="16"/>
              </w:rPr>
            </w:r>
            <w:r>
              <w:rPr>
                <w:sz w:val="16"/>
              </w:rPr>
              <w:t>1.13</w:t>
            </w:r>
          </w:p>
        </w:tc>
        <w:tc>
          <w:tcPr>
            <w:tcW w:type="dxa" w:w="1224"/>
          </w:tcPr>
          <w:p>
            <w:pPr>
              <w:spacing w:after="40" w:before="40" w:line="240" w:lineRule="auto"/>
            </w:pPr>
            <w:r>
              <w:rPr>
                <w:sz w:val="16"/>
              </w:rPr>
            </w:r>
            <w:r>
              <w:rPr>
                <w:sz w:val="16"/>
              </w:rPr>
              <w:t>9.34%</w:t>
            </w:r>
          </w:p>
        </w:tc>
        <w:tc>
          <w:tcPr>
            <w:tcW w:type="dxa" w:w="936"/>
          </w:tcPr>
          <w:p>
            <w:pPr>
              <w:spacing w:after="40" w:before="40" w:line="240" w:lineRule="auto"/>
            </w:pPr>
            <w:r>
              <w:rPr>
                <w:sz w:val="16"/>
              </w:rPr>
            </w:r>
            <w:r>
              <w:rPr>
                <w:sz w:val="16"/>
              </w:rPr>
              <w:t>1,500</w:t>
            </w:r>
          </w:p>
        </w:tc>
        <w:tc>
          <w:tcPr>
            <w:tcW w:type="dxa" w:w="1152"/>
          </w:tcPr>
          <w:p>
            <w:pPr>
              <w:spacing w:after="40" w:before="40" w:line="240" w:lineRule="auto"/>
            </w:pPr>
            <w:r>
              <w:rPr>
                <w:sz w:val="16"/>
              </w:rPr>
            </w:r>
            <w:r>
              <w:rPr>
                <w:sz w:val="16"/>
              </w:rPr>
              <w:t>1,062,593</w:t>
            </w:r>
          </w:p>
        </w:tc>
      </w:tr>
      <w:tr>
        <w:tc>
          <w:tcPr>
            <w:tcW w:type="dxa" w:w="2376"/>
          </w:tcPr>
          <w:p>
            <w:pPr>
              <w:spacing w:after="40" w:before="40" w:line="240" w:lineRule="auto"/>
            </w:pPr>
            <w:r>
              <w:rPr>
                <w:sz w:val="16"/>
              </w:rPr>
            </w:r>
            <w:r>
              <w:rPr>
                <w:sz w:val="16"/>
              </w:rPr>
              <w:t>Single counter — SAMP</w:t>
            </w:r>
          </w:p>
        </w:tc>
        <w:tc>
          <w:tcPr>
            <w:tcW w:type="dxa" w:w="1008"/>
          </w:tcPr>
          <w:p>
            <w:pPr>
              <w:spacing w:after="40" w:before="40" w:line="240" w:lineRule="auto"/>
            </w:pPr>
            <w:r>
              <w:rPr>
                <w:sz w:val="16"/>
              </w:rPr>
            </w:r>
            <w:r>
              <w:rPr>
                <w:sz w:val="16"/>
              </w:rPr>
              <w:t>3.23%</w:t>
            </w:r>
          </w:p>
        </w:tc>
        <w:tc>
          <w:tcPr>
            <w:tcW w:type="dxa" w:w="1224"/>
          </w:tcPr>
          <w:p>
            <w:pPr>
              <w:spacing w:after="40" w:before="40" w:line="240" w:lineRule="auto"/>
            </w:pPr>
            <w:r>
              <w:rPr>
                <w:sz w:val="16"/>
              </w:rPr>
            </w:r>
            <w:r>
              <w:rPr>
                <w:sz w:val="16"/>
              </w:rPr>
              <w:t>9.11%</w:t>
            </w:r>
          </w:p>
        </w:tc>
        <w:tc>
          <w:tcPr>
            <w:tcW w:type="dxa" w:w="1296"/>
          </w:tcPr>
          <w:p>
            <w:pPr>
              <w:spacing w:after="40" w:before="40" w:line="240" w:lineRule="auto"/>
            </w:pPr>
            <w:r>
              <w:rPr>
                <w:sz w:val="16"/>
              </w:rPr>
            </w:r>
            <w:r>
              <w:rPr>
                <w:sz w:val="16"/>
              </w:rPr>
              <w:t>18.24%</w:t>
            </w:r>
          </w:p>
        </w:tc>
        <w:tc>
          <w:tcPr>
            <w:tcW w:type="dxa" w:w="1008"/>
          </w:tcPr>
          <w:p>
            <w:pPr>
              <w:spacing w:after="40" w:before="40" w:line="240" w:lineRule="auto"/>
            </w:pPr>
            <w:r>
              <w:rPr>
                <w:sz w:val="16"/>
              </w:rPr>
            </w:r>
            <w:r>
              <w:rPr>
                <w:sz w:val="16"/>
              </w:rPr>
              <w:t>0.50</w:t>
            </w:r>
          </w:p>
        </w:tc>
        <w:tc>
          <w:tcPr>
            <w:tcW w:type="dxa" w:w="1224"/>
          </w:tcPr>
          <w:p>
            <w:pPr>
              <w:spacing w:after="40" w:before="40" w:line="240" w:lineRule="auto"/>
            </w:pPr>
            <w:r>
              <w:rPr>
                <w:sz w:val="16"/>
              </w:rPr>
            </w:r>
            <w:r>
              <w:rPr>
                <w:sz w:val="16"/>
              </w:rPr>
              <w:t>11.88%</w:t>
            </w:r>
          </w:p>
        </w:tc>
        <w:tc>
          <w:tcPr>
            <w:tcW w:type="dxa" w:w="936"/>
          </w:tcPr>
          <w:p>
            <w:pPr>
              <w:spacing w:after="40" w:before="40" w:line="240" w:lineRule="auto"/>
            </w:pPr>
            <w:r>
              <w:rPr>
                <w:sz w:val="16"/>
              </w:rPr>
            </w:r>
            <w:r>
              <w:rPr>
                <w:sz w:val="16"/>
              </w:rPr>
              <w:t>1,500</w:t>
            </w:r>
          </w:p>
        </w:tc>
        <w:tc>
          <w:tcPr>
            <w:tcW w:type="dxa" w:w="1152"/>
          </w:tcPr>
          <w:p>
            <w:pPr>
              <w:spacing w:after="40" w:before="40" w:line="240" w:lineRule="auto"/>
            </w:pPr>
            <w:r>
              <w:rPr>
                <w:sz w:val="16"/>
              </w:rPr>
            </w:r>
            <w:r>
              <w:rPr>
                <w:sz w:val="16"/>
              </w:rPr>
              <w:t>1,032,342</w:t>
            </w:r>
          </w:p>
        </w:tc>
      </w:tr>
    </w:tbl>
    <w:p>
      <w:pPr>
        <w:spacing w:before="60" w:after="240" w:line="240" w:lineRule="auto"/>
        <w:jc w:val="center"/>
      </w:pPr>
      <w:r>
        <w:rPr>
          <w:i/>
          <w:sz w:val="20"/>
        </w:rPr>
        <w:t>Table 7.x.1 — Test-period performance of the proposed agent against baselines (92 trading days, identical costs and slippage throughout)</w:t>
      </w:r>
    </w:p>
    <w:p>
      <w:pPr>
        <w:jc w:val="both"/>
      </w:pPr>
      <w:r>
        <w:t>The agent produced a total return of 13.93% over the test period with an annualised volatility of 20.42% and a maximum drawdown of 10.83%, giving a Sharpe ratio of 2.10. In absolute terms this is a strong result: the policy is profitable, its drawdown is contained, and it exceeds the equal-weight buy-and-hold benchmark on return, volatility, Sharpe ratio and drawdown alike.</w:t>
      </w:r>
    </w:p>
    <w:p>
      <w:pPr>
        <w:pStyle w:val="Heading3"/>
      </w:pPr>
      <w:r>
        <w:t>7.x.3 The Agent Does Not Outperform Daily Equal Weighting</w:t>
      </w:r>
    </w:p>
    <w:p>
      <w:pPr>
        <w:jc w:val="both"/>
      </w:pPr>
      <w:r>
        <w:t xml:space="preserve">The comparison that matters, however, is against the daily-rebalanced equal-weight portfolio, and on this test window </w:t>
      </w:r>
      <w:r>
        <w:rPr>
          <w:b/>
        </w:rPr>
        <w:t>the agent does not outperform it</w:t>
      </w:r>
      <w:r>
        <w:t>. Equal weighting achieved a Sharpe ratio of 2.24 against the agent's 2.10, and a final portfolio value of LKR 1,147,523 against the agent's LKR 1,139,278 — a shortfall of LKR 8,246, or 0.82 percentage points of total return. This result is reported directly because it is the honest finding, and because diagnosing it is more informative than the headline Sharpe ratio would have been.</w:t>
      </w:r>
    </w:p>
    <w:p>
      <w:pPr>
        <w:jc w:val="both"/>
      </w:pPr>
      <w:r>
        <w:t>Two measurements identify the cause. First, the allocations the agent produces are close to uniform. Across the test period it held every one of the ten counters at a weight above one per cent on every single day, and its average largest position was 14.1%, against the 10.0% that exact equal weighting would imply and the 30% cap the environment permits. The policy is therefore expressing only mild conviction and has converged to something close to the equal-weight portfolio rather than to a distinctive allocation.</w:t>
      </w:r>
    </w:p>
    <w:p>
      <w:pPr>
        <w:jc w:val="both"/>
      </w:pPr>
      <w:r>
        <w:t>Second, it pays substantially more to hold that near-uniform portfolio. Average daily turnover was 7.69%, and cumulative transaction costs reached LKR 13,159 against LKR 1,500 for equal weighting — a cost difference of LKR 11,659, equal to approximately 1.17 percentage points of the initial capital. Since the realised shortfall is only 0.82 percentage points, the agent's gross selection is in fact adding roughly 0.34 percentage points over equal weighting before costs, and then losing appreciably more than that to trading friction. The security selection is marginally informative; the trading intensity required to express it is not economic.</w:t>
      </w:r>
    </w:p>
    <w:tbl>
      <w:tblPr>
        <w:tblStyle w:val="TableGrid"/>
        <w:tblW w:type="auto" w:w="0"/>
        <w:jc w:val="center"/>
        <w:tblLook w:firstColumn="1" w:firstRow="1" w:lastColumn="0" w:lastRow="0" w:noHBand="0" w:noVBand="1" w:val="04A0"/>
      </w:tblPr>
      <w:tblGrid>
        <w:gridCol w:w="2286"/>
        <w:gridCol w:w="2286"/>
        <w:gridCol w:w="2286"/>
        <w:gridCol w:w="2286"/>
      </w:tblGrid>
      <w:tr>
        <w:tc>
          <w:tcPr>
            <w:tcW w:type="dxa" w:w="2520"/>
            <w:shd w:val="clear" w:color="auto" w:fill="D9D9D9"/>
          </w:tcPr>
          <w:p>
            <w:pPr>
              <w:spacing w:after="40" w:before="40" w:line="240" w:lineRule="auto"/>
              <w:jc w:val="center"/>
            </w:pPr>
            <w:r/>
            <w:r>
              <w:rPr>
                <w:b/>
                <w:sz w:val="18"/>
              </w:rPr>
              <w:t>Diagnostic</w:t>
            </w:r>
          </w:p>
        </w:tc>
        <w:tc>
          <w:tcPr>
            <w:tcW w:type="dxa" w:w="1512"/>
            <w:shd w:val="clear" w:color="auto" w:fill="D9D9D9"/>
          </w:tcPr>
          <w:p>
            <w:pPr>
              <w:spacing w:after="40" w:before="40" w:line="240" w:lineRule="auto"/>
              <w:jc w:val="center"/>
            </w:pPr>
            <w:r/>
            <w:r>
              <w:rPr>
                <w:b/>
                <w:sz w:val="18"/>
              </w:rPr>
              <w:t>PPO agent</w:t>
            </w:r>
          </w:p>
        </w:tc>
        <w:tc>
          <w:tcPr>
            <w:tcW w:type="dxa" w:w="1944"/>
            <w:shd w:val="clear" w:color="auto" w:fill="D9D9D9"/>
          </w:tcPr>
          <w:p>
            <w:pPr>
              <w:spacing w:after="40" w:before="40" w:line="240" w:lineRule="auto"/>
              <w:jc w:val="center"/>
            </w:pPr>
            <w:r/>
            <w:r>
              <w:rPr>
                <w:b/>
                <w:sz w:val="18"/>
              </w:rPr>
              <w:t>Equal weight (daily)</w:t>
            </w:r>
          </w:p>
        </w:tc>
        <w:tc>
          <w:tcPr>
            <w:tcW w:type="dxa" w:w="4104"/>
            <w:shd w:val="clear" w:color="auto" w:fill="D9D9D9"/>
          </w:tcPr>
          <w:p>
            <w:pPr>
              <w:spacing w:after="40" w:before="40" w:line="240" w:lineRule="auto"/>
              <w:jc w:val="center"/>
            </w:pPr>
            <w:r/>
            <w:r>
              <w:rPr>
                <w:b/>
                <w:sz w:val="18"/>
              </w:rPr>
              <w:t>Interpretation</w:t>
            </w:r>
          </w:p>
        </w:tc>
      </w:tr>
      <w:tr>
        <w:tc>
          <w:tcPr>
            <w:tcW w:type="dxa" w:w="2520"/>
          </w:tcPr>
          <w:p>
            <w:pPr>
              <w:spacing w:after="40" w:before="40" w:line="240" w:lineRule="auto"/>
            </w:pPr>
            <w:r>
              <w:rPr>
                <w:sz w:val="18"/>
              </w:rPr>
            </w:r>
            <w:r>
              <w:rPr>
                <w:sz w:val="18"/>
              </w:rPr>
              <w:t>Average largest position</w:t>
            </w:r>
          </w:p>
        </w:tc>
        <w:tc>
          <w:tcPr>
            <w:tcW w:type="dxa" w:w="1512"/>
          </w:tcPr>
          <w:p>
            <w:pPr>
              <w:spacing w:after="40" w:before="40" w:line="240" w:lineRule="auto"/>
            </w:pPr>
            <w:r>
              <w:rPr>
                <w:sz w:val="18"/>
              </w:rPr>
            </w:r>
            <w:r>
              <w:rPr>
                <w:sz w:val="18"/>
              </w:rPr>
              <w:t>14.1%</w:t>
            </w:r>
          </w:p>
        </w:tc>
        <w:tc>
          <w:tcPr>
            <w:tcW w:type="dxa" w:w="1944"/>
          </w:tcPr>
          <w:p>
            <w:pPr>
              <w:spacing w:after="40" w:before="40" w:line="240" w:lineRule="auto"/>
            </w:pPr>
            <w:r>
              <w:rPr>
                <w:sz w:val="18"/>
              </w:rPr>
            </w:r>
            <w:r>
              <w:rPr>
                <w:sz w:val="18"/>
              </w:rPr>
              <w:t>10.0%</w:t>
            </w:r>
          </w:p>
        </w:tc>
        <w:tc>
          <w:tcPr>
            <w:tcW w:type="dxa" w:w="4104"/>
          </w:tcPr>
          <w:p>
            <w:pPr>
              <w:spacing w:after="40" w:before="40" w:line="240" w:lineRule="auto"/>
            </w:pPr>
            <w:r>
              <w:rPr>
                <w:sz w:val="18"/>
              </w:rPr>
            </w:r>
            <w:r>
              <w:rPr>
                <w:sz w:val="18"/>
              </w:rPr>
              <w:t>Allocations are close to uniform; the 30% cap never binds</w:t>
            </w:r>
          </w:p>
        </w:tc>
      </w:tr>
      <w:tr>
        <w:tc>
          <w:tcPr>
            <w:tcW w:type="dxa" w:w="2520"/>
          </w:tcPr>
          <w:p>
            <w:pPr>
              <w:spacing w:after="40" w:before="40" w:line="240" w:lineRule="auto"/>
            </w:pPr>
            <w:r>
              <w:rPr>
                <w:sz w:val="18"/>
              </w:rPr>
            </w:r>
            <w:r>
              <w:rPr>
                <w:sz w:val="18"/>
              </w:rPr>
              <w:t>Counters held above 1%, daily</w:t>
            </w:r>
          </w:p>
        </w:tc>
        <w:tc>
          <w:tcPr>
            <w:tcW w:type="dxa" w:w="1512"/>
          </w:tcPr>
          <w:p>
            <w:pPr>
              <w:spacing w:after="40" w:before="40" w:line="240" w:lineRule="auto"/>
            </w:pPr>
            <w:r>
              <w:rPr>
                <w:sz w:val="18"/>
              </w:rPr>
            </w:r>
            <w:r>
              <w:rPr>
                <w:sz w:val="18"/>
              </w:rPr>
              <w:t>10 of 10</w:t>
            </w:r>
          </w:p>
        </w:tc>
        <w:tc>
          <w:tcPr>
            <w:tcW w:type="dxa" w:w="1944"/>
          </w:tcPr>
          <w:p>
            <w:pPr>
              <w:spacing w:after="40" w:before="40" w:line="240" w:lineRule="auto"/>
            </w:pPr>
            <w:r>
              <w:rPr>
                <w:sz w:val="18"/>
              </w:rPr>
            </w:r>
            <w:r>
              <w:rPr>
                <w:sz w:val="18"/>
              </w:rPr>
              <w:t>10 of 10</w:t>
            </w:r>
          </w:p>
        </w:tc>
        <w:tc>
          <w:tcPr>
            <w:tcW w:type="dxa" w:w="4104"/>
          </w:tcPr>
          <w:p>
            <w:pPr>
              <w:spacing w:after="40" w:before="40" w:line="240" w:lineRule="auto"/>
            </w:pPr>
            <w:r>
              <w:rPr>
                <w:sz w:val="18"/>
              </w:rPr>
            </w:r>
            <w:r>
              <w:rPr>
                <w:sz w:val="18"/>
              </w:rPr>
              <w:t>The policy diversifies fully rather than selecting</w:t>
            </w:r>
          </w:p>
        </w:tc>
      </w:tr>
      <w:tr>
        <w:tc>
          <w:tcPr>
            <w:tcW w:type="dxa" w:w="2520"/>
          </w:tcPr>
          <w:p>
            <w:pPr>
              <w:spacing w:after="40" w:before="40" w:line="240" w:lineRule="auto"/>
            </w:pPr>
            <w:r>
              <w:rPr>
                <w:sz w:val="18"/>
              </w:rPr>
            </w:r>
            <w:r>
              <w:rPr>
                <w:sz w:val="18"/>
              </w:rPr>
              <w:t>Average daily turnover</w:t>
            </w:r>
          </w:p>
        </w:tc>
        <w:tc>
          <w:tcPr>
            <w:tcW w:type="dxa" w:w="1512"/>
          </w:tcPr>
          <w:p>
            <w:pPr>
              <w:spacing w:after="40" w:before="40" w:line="240" w:lineRule="auto"/>
            </w:pPr>
            <w:r>
              <w:rPr>
                <w:sz w:val="18"/>
              </w:rPr>
            </w:r>
            <w:r>
              <w:rPr>
                <w:sz w:val="18"/>
              </w:rPr>
              <w:t>7.69%</w:t>
            </w:r>
          </w:p>
        </w:tc>
        <w:tc>
          <w:tcPr>
            <w:tcW w:type="dxa" w:w="1944"/>
          </w:tcPr>
          <w:p>
            <w:pPr>
              <w:spacing w:after="40" w:before="40" w:line="240" w:lineRule="auto"/>
            </w:pPr>
            <w:r>
              <w:rPr>
                <w:sz w:val="18"/>
              </w:rPr>
            </w:r>
            <w:r>
              <w:rPr>
                <w:sz w:val="18"/>
              </w:rPr>
              <w:t>~0% after entry</w:t>
            </w:r>
          </w:p>
        </w:tc>
        <w:tc>
          <w:tcPr>
            <w:tcW w:type="dxa" w:w="4104"/>
          </w:tcPr>
          <w:p>
            <w:pPr>
              <w:spacing w:after="40" w:before="40" w:line="240" w:lineRule="auto"/>
            </w:pPr>
            <w:r>
              <w:rPr>
                <w:sz w:val="18"/>
              </w:rPr>
            </w:r>
            <w:r>
              <w:rPr>
                <w:sz w:val="18"/>
              </w:rPr>
              <w:t>The agent reallocates continuously</w:t>
            </w:r>
          </w:p>
        </w:tc>
      </w:tr>
      <w:tr>
        <w:tc>
          <w:tcPr>
            <w:tcW w:type="dxa" w:w="2520"/>
          </w:tcPr>
          <w:p>
            <w:pPr>
              <w:spacing w:after="40" w:before="40" w:line="240" w:lineRule="auto"/>
            </w:pPr>
            <w:r>
              <w:rPr>
                <w:sz w:val="18"/>
              </w:rPr>
            </w:r>
            <w:r>
              <w:rPr>
                <w:sz w:val="18"/>
              </w:rPr>
              <w:t>Cumulative costs</w:t>
            </w:r>
          </w:p>
        </w:tc>
        <w:tc>
          <w:tcPr>
            <w:tcW w:type="dxa" w:w="1512"/>
          </w:tcPr>
          <w:p>
            <w:pPr>
              <w:spacing w:after="40" w:before="40" w:line="240" w:lineRule="auto"/>
            </w:pPr>
            <w:r>
              <w:rPr>
                <w:sz w:val="18"/>
              </w:rPr>
            </w:r>
            <w:r>
              <w:rPr>
                <w:sz w:val="18"/>
              </w:rPr>
              <w:t>LKR 13,159</w:t>
            </w:r>
          </w:p>
        </w:tc>
        <w:tc>
          <w:tcPr>
            <w:tcW w:type="dxa" w:w="1944"/>
          </w:tcPr>
          <w:p>
            <w:pPr>
              <w:spacing w:after="40" w:before="40" w:line="240" w:lineRule="auto"/>
            </w:pPr>
            <w:r>
              <w:rPr>
                <w:sz w:val="18"/>
              </w:rPr>
            </w:r>
            <w:r>
              <w:rPr>
                <w:sz w:val="18"/>
              </w:rPr>
              <w:t>LKR 1,500</w:t>
            </w:r>
          </w:p>
        </w:tc>
        <w:tc>
          <w:tcPr>
            <w:tcW w:type="dxa" w:w="4104"/>
          </w:tcPr>
          <w:p>
            <w:pPr>
              <w:spacing w:after="40" w:before="40" w:line="240" w:lineRule="auto"/>
            </w:pPr>
            <w:r>
              <w:rPr>
                <w:sz w:val="18"/>
              </w:rPr>
            </w:r>
            <w:r>
              <w:rPr>
                <w:sz w:val="18"/>
              </w:rPr>
              <w:t>An 8.8-fold cost penalty for a near-identical portfolio</w:t>
            </w:r>
          </w:p>
        </w:tc>
      </w:tr>
      <w:tr>
        <w:tc>
          <w:tcPr>
            <w:tcW w:type="dxa" w:w="2520"/>
          </w:tcPr>
          <w:p>
            <w:pPr>
              <w:spacing w:after="40" w:before="40" w:line="240" w:lineRule="auto"/>
            </w:pPr>
            <w:r>
              <w:rPr>
                <w:sz w:val="18"/>
              </w:rPr>
            </w:r>
            <w:r>
              <w:rPr>
                <w:sz w:val="18"/>
              </w:rPr>
              <w:t>Implied gross out-performance</w:t>
            </w:r>
          </w:p>
        </w:tc>
        <w:tc>
          <w:tcPr>
            <w:tcW w:type="dxa" w:w="1512"/>
          </w:tcPr>
          <w:p>
            <w:pPr>
              <w:spacing w:after="40" w:before="40" w:line="240" w:lineRule="auto"/>
            </w:pPr>
            <w:r>
              <w:rPr>
                <w:sz w:val="18"/>
              </w:rPr>
            </w:r>
            <w:r>
              <w:rPr>
                <w:sz w:val="18"/>
              </w:rPr>
              <w:t>≈ +0.34 pp</w:t>
            </w:r>
          </w:p>
        </w:tc>
        <w:tc>
          <w:tcPr>
            <w:tcW w:type="dxa" w:w="1944"/>
          </w:tcPr>
          <w:p>
            <w:pPr>
              <w:spacing w:after="40" w:before="40" w:line="240" w:lineRule="auto"/>
            </w:pPr>
            <w:r>
              <w:rPr>
                <w:sz w:val="18"/>
              </w:rPr>
            </w:r>
            <w:r>
              <w:rPr>
                <w:sz w:val="18"/>
              </w:rPr>
              <w:t>—</w:t>
            </w:r>
          </w:p>
        </w:tc>
        <w:tc>
          <w:tcPr>
            <w:tcW w:type="dxa" w:w="4104"/>
          </w:tcPr>
          <w:p>
            <w:pPr>
              <w:spacing w:after="40" w:before="40" w:line="240" w:lineRule="auto"/>
            </w:pPr>
            <w:r>
              <w:rPr>
                <w:sz w:val="18"/>
              </w:rPr>
            </w:r>
            <w:r>
              <w:rPr>
                <w:sz w:val="18"/>
              </w:rPr>
              <w:t>Selection adds value before costs, then loses more than it adds</w:t>
            </w:r>
          </w:p>
        </w:tc>
      </w:tr>
    </w:tbl>
    <w:p>
      <w:pPr>
        <w:spacing w:before="60" w:after="240" w:line="240" w:lineRule="auto"/>
        <w:jc w:val="center"/>
      </w:pPr>
      <w:r>
        <w:rPr>
          <w:i/>
          <w:sz w:val="20"/>
        </w:rPr>
        <w:t>Table 7.x.2 — Diagnostic comparison of the agent against daily equal weighting</w:t>
      </w:r>
    </w:p>
    <w:p>
      <w:pPr>
        <w:jc w:val="both"/>
      </w:pPr>
      <w:r>
        <w:t>This diagnosis points directly at the reward formulation rather than at the architecture. The reward assigns the current value of a twenty-day rolling Sharpe ratio at every step. Because consecutive windows overlap in nineteen of twenty days, a single favourable stretch is rewarded roughly twenty times, and the discounted return therefore aggregates a highly autocorrelated quantity. The turnover penalty that is meant to offset this is small relative to a reward of that magnitude, so the policy is not sufficiently discouraged from reallocating. The remedies are specific and are set out in §8.x.</w:t>
      </w:r>
    </w:p>
    <w:p>
      <w:pPr>
        <w:spacing w:before="120" w:after="200" w:line="276" w:lineRule="auto"/>
        <w:ind w:left="360"/>
      </w:pPr>
      <w:r>
        <w:rPr>
          <w:b/>
          <w:color w:val="B00000"/>
          <w:sz w:val="20"/>
        </w:rPr>
        <w:t xml:space="preserve">[ACTION REQUIRED] </w:t>
      </w:r>
      <w:r>
        <w:rPr>
          <w:color w:val="B00000"/>
          <w:sz w:val="20"/>
        </w:rPr>
        <w:t>Insert here: (a) the equity curve of the agent plotted against the equal-weight baseline over the test period; (b) a stacked area chart of the portfolio weights over time; (c) the regime probability trajectory over the test period. All three are produced by the evaluation cells of the notebook. These figures make the near-uniform allocation and the high turnover visible at a glance and will strengthen this section considerably.</w:t>
      </w:r>
    </w:p>
    <w:p>
      <w:pPr>
        <w:pStyle w:val="Heading3"/>
      </w:pPr>
      <w:r>
        <w:t>7.x.4 Interpretability Outputs</w:t>
      </w:r>
    </w:p>
    <w:p>
      <w:pPr>
        <w:jc w:val="both"/>
      </w:pPr>
      <w:r>
        <w:t>Beyond the performance metrics, the architecture exposes three diagnostic outputs that a conventional black-box allocator does not. The Variable Selection Network reports which of the fifteen indicators drove each decision, allowing the allocation to be attributed to specific market properties. The temporal attention matrix shows which days within the look-back window the decision rested on. The graph attention coefficients express a learned, time-varying relationship structure over the ten counters. The entropy of the regime distribution is logged throughout training and is the natural diagnostic for whether the encoder is genuinely separating market states or has collapsed to a constant distribution.</w:t>
      </w:r>
    </w:p>
    <w:p>
      <w:pPr>
        <w:spacing w:before="120" w:after="200" w:line="276" w:lineRule="auto"/>
        <w:ind w:left="360"/>
      </w:pPr>
      <w:r>
        <w:rPr>
          <w:b/>
          <w:color w:val="B00000"/>
          <w:sz w:val="20"/>
        </w:rPr>
        <w:t xml:space="preserve">[ACTION REQUIRED] </w:t>
      </w:r>
      <w:r>
        <w:rPr>
          <w:color w:val="B00000"/>
          <w:sz w:val="20"/>
        </w:rPr>
        <w:t>Insert the feature-importance bar chart, the temporal attention heat map and the regime-probability trajectory here as Figures 7.x.4 to 7.x.6. Discuss whether the features the model attends to change between the calm and volatile portions of the test window — if they do, that is direct evidence that the regime encoder is doing what it was designed to do, and it is the single most valuable piece of evidence you can present for the joint-optimization claim.</w:t>
      </w:r>
    </w:p>
    <w:p>
      <w:pPr>
        <w:pStyle w:val="Heading3"/>
      </w:pPr>
      <w:r>
        <w:t>7.x.5 Threats to Validity</w:t>
      </w:r>
    </w:p>
    <w:p>
      <w:pPr>
        <w:jc w:val="both"/>
      </w:pPr>
      <w:r>
        <w:t>Four limitations bound the strength of the conclusions that can be drawn from these results and are stated explicitly.</w:t>
      </w:r>
    </w:p>
    <w:p>
      <w:pPr>
        <w:pStyle w:val="ListBullet"/>
        <w:spacing w:after="60" w:line="312" w:lineRule="auto"/>
        <w:ind w:left="504"/>
      </w:pPr>
      <w:r>
        <w:rPr>
          <w:b/>
        </w:rPr>
        <w:t>Test period length.</w:t>
      </w:r>
      <w:r>
        <w:t xml:space="preserve"> The test split contains 92 trading days. Annualising a 92-day return magnifies both the return and any component of it that is due to chance, so the annualised figures in Table 7.x.1 should be read as a scaling convention rather than as a forecast.</w:t>
      </w:r>
    </w:p>
    <w:p>
      <w:pPr>
        <w:pStyle w:val="ListBullet"/>
        <w:spacing w:after="60" w:line="312" w:lineRule="auto"/>
        <w:ind w:left="504"/>
      </w:pPr>
      <w:r>
        <w:rPr>
          <w:b/>
        </w:rPr>
        <w:t>Single seed.</w:t>
      </w:r>
      <w:r>
        <w:t xml:space="preserve"> All reported figures come from one random seed. Reinforcement learning results are known to vary substantially across seeds, and a single run cannot distinguish a property of the method from a property of the initialisation.</w:t>
      </w:r>
    </w:p>
    <w:p>
      <w:pPr>
        <w:pStyle w:val="ListBullet"/>
        <w:spacing w:after="60" w:line="312" w:lineRule="auto"/>
        <w:ind w:left="504"/>
      </w:pPr>
      <w:r>
        <w:rPr>
          <w:b/>
        </w:rPr>
        <w:t>Overlapping observations.</w:t>
      </w:r>
      <w:r>
        <w:t xml:space="preserve"> Consecutive training windows share twenty-nine of their thirty days, so 542 training windows carry considerably less independent information than that count suggests. This is intrinsic to sliding-window formulations and is acknowledged rather than corrected.</w:t>
      </w:r>
    </w:p>
    <w:p>
      <w:pPr>
        <w:pStyle w:val="ListBullet"/>
        <w:spacing w:after="60" w:line="312" w:lineRule="auto"/>
        <w:ind w:left="504"/>
      </w:pPr>
      <w:r>
        <w:rPr>
          <w:b/>
        </w:rPr>
        <w:t>Universe size and sector concentration.</w:t>
      </w:r>
      <w:r>
        <w:t xml:space="preserve"> The universe comprises ten counters from a single sector, which limits the diversification available and means the results may not transfer to a broader cross-section.</w:t>
      </w:r>
    </w:p>
    <w:p>
      <w:r>
        <w:br w:type="page"/>
      </w:r>
    </w:p>
    <w:p>
      <w:pPr>
        <w:pStyle w:val="Heading1"/>
      </w:pPr>
      <w:r>
        <w:t>Chapter 8 — Conclusion and Further Works</w:t>
      </w:r>
    </w:p>
    <w:p>
      <w:pPr>
        <w:pStyle w:val="Heading2"/>
      </w:pPr>
      <w:r>
        <w:t>8.x Regime-Aware Portfolio Optimization Module</w:t>
      </w:r>
    </w:p>
    <w:p>
      <w:pPr>
        <w:jc w:val="both"/>
      </w:pPr>
      <w:r>
        <w:t>This module designed, implemented and evaluated a jointly optimized, end-to-end deep reinforcement learning architecture for portfolio allocation on the Colombo Stock Exchange. The system combines a Variable Selection Network, a stacked LSTM, a temporal multi-head attention block and a graph attention network into a differentiable regime encoder, and trains that encoder together with an actor and a critic under a single Proximal Policy Optimization objective. The distinguishing property of the design is that no term in the loss defines what a regime is: the encoder discovers whatever partition of market conditions improves the risk-adjusted, cost-aware performance of the portfolio, which is precisely what the conventional two-stage arrangement cannot do.</w:t>
      </w:r>
    </w:p>
    <w:p>
      <w:pPr>
        <w:jc w:val="both"/>
      </w:pPr>
      <w:r>
        <w:t>The implementation is complete and the full pipeline runs end to end, from raw exchange exports through to an executed, cost-charged allocation. On the held-out test period the learned policy returned 13.93% over 92 trading days with a maximum drawdown of 10.83% and a Sharpe ratio of 2.10, exceeding an equal-weight buy-and-hold benchmark on return, volatility, Sharpe ratio and drawdown alike.</w:t>
      </w:r>
    </w:p>
    <w:p>
      <w:pPr>
        <w:jc w:val="both"/>
      </w:pPr>
      <w:r>
        <w:t>The policy did not, however, outperform a daily-rebalanced equal-weight portfolio, which achieved a Sharpe ratio of 2.24 over the same window. The analysis in §7.x.3 traced this to a specific and addressable cause rather than to a failure of the architecture: the learned allocations are close to uniform, and the policy pays roughly nine times the transaction costs of equal weighting to maintain a portfolio that is not materially different from it. Measured before that cost difference, the agent's security selection adds a small positive margin. The problem is therefore one of reward design and trading intensity, and it is the natural focus of the work that follows.</w:t>
      </w:r>
    </w:p>
    <w:p>
      <w:pPr>
        <w:pStyle w:val="Heading3"/>
      </w:pPr>
      <w:r>
        <w:t>8.x.1 Further Work</w:t>
      </w:r>
    </w:p>
    <w:p>
      <w:pPr>
        <w:jc w:val="both"/>
      </w:pPr>
      <w:r>
        <w:rPr>
          <w:b/>
        </w:rPr>
        <w:t>Reward reformulation.</w:t>
      </w:r>
      <w:r>
        <w:t xml:space="preserve"> The most direct improvement is to replace the rolling Sharpe level with a differential Sharpe ratio in the sense of Moody and Saffell [M4], so that each step is rewarded for its marginal contribution to risk-adjusted performance rather than for the level of a heavily overlapping statistic. Increasing the quadratic turnover penalty, and calibrating it against the measured 7.69% daily turnover, is a complementary and simpler change. Both directly target the mechanism identified in §7.x.3.</w:t>
      </w:r>
    </w:p>
    <w:p>
      <w:pPr>
        <w:jc w:val="both"/>
      </w:pPr>
      <w:r>
        <w:rPr>
          <w:b/>
        </w:rPr>
        <w:t>Correcting the adjacency construction.</w:t>
      </w:r>
      <w:r>
        <w:t xml:space="preserve"> The learnable adjacency parameter described in §5.x.5 does not currently receive gradient, because the sigmoid it passes through is strictly positive and the subsequent threshold is therefore always satisfied and is non-differentiable. Using the sigmoid values directly as soft edge weights, or supplying a correlation-derived adjacency, would allow the graph structure itself to be learned or informed rather than being fully connected by construction.</w:t>
      </w:r>
    </w:p>
    <w:p>
      <w:pPr>
        <w:jc w:val="both"/>
      </w:pPr>
      <w:r>
        <w:rPr>
          <w:b/>
        </w:rPr>
        <w:t>Statistical rigour.</w:t>
      </w:r>
      <w:r>
        <w:t xml:space="preserve"> All reported results derive from a single seed and a single contiguous test period. Repeating the experiment across five to ten seeds and reporting means with standard deviations, and adopting a walk-forward evaluation scheme in which the model is repeatedly retrained and tested on successive periods, would establish whether the observed behaviour is a property of the method.</w:t>
      </w:r>
    </w:p>
    <w:p>
      <w:pPr>
        <w:jc w:val="both"/>
      </w:pPr>
      <w:r>
        <w:rPr>
          <w:b/>
        </w:rPr>
        <w:t>Ablation study.</w:t>
      </w:r>
      <w:r>
        <w:t xml:space="preserve"> The architecture has four substantial components and their individual contributions have not been isolated. Removing the Variable Selection Network, the temporal attention block and the graph attention block in turn, and comparing against the full model, would establish which components earn their parameters. This is straightforward to execute with the configuration panel already present in the notebook and would materially strengthen the contribution.</w:t>
      </w:r>
    </w:p>
    <w:p>
      <w:pPr>
        <w:jc w:val="both"/>
      </w:pPr>
      <w:r>
        <w:rPr>
          <w:b/>
        </w:rPr>
        <w:t>Re-enabling the macroeconomic graph.</w:t>
      </w:r>
      <w:r>
        <w:t xml:space="preserve"> The graph component was designed to accept macroeconomic variables as additional nodes, and this capability is implemented but disabled. Introducing interest rates, inflation and the exchange rate as graph nodes would allow the encoder to condition regimes on macroeconomic conditions directly, which is particularly relevant for the Sri Lankan market over the period studied.</w:t>
      </w:r>
    </w:p>
    <w:p>
      <w:pPr>
        <w:jc w:val="both"/>
      </w:pPr>
      <w:r>
        <w:rPr>
          <w:b/>
        </w:rPr>
        <w:t>Universe expansion.</w:t>
      </w:r>
      <w:r>
        <w:t xml:space="preserve"> Extending the study beyond a single sector would test whether the learned allocation rule generalises, and would give the graph component a richer cross-sectional structure to exploit than ten counters from one industry can provide.</w:t>
      </w:r>
    </w:p>
    <w:p>
      <w:r>
        <w:br w:type="page"/>
      </w:r>
    </w:p>
    <w:p>
      <w:pPr>
        <w:pStyle w:val="Heading1"/>
      </w:pPr>
      <w:r>
        <w:t>Chapter 9 — References</w:t>
      </w:r>
    </w:p>
    <w:p>
      <w:pPr>
        <w:jc w:val="both"/>
      </w:pPr>
      <w:r>
        <w:t>References cited by this module. Renumber them into the group's combined reference list and convert to your faculty's required citation style before submission.</w:t>
      </w:r>
    </w:p>
    <w:p>
      <w:pPr>
        <w:spacing w:after="120" w:line="276" w:lineRule="auto"/>
        <w:ind w:left="720" w:hanging="720"/>
        <w:jc w:val="both"/>
      </w:pPr>
      <w:r>
        <w:rPr>
          <w:sz w:val="21"/>
        </w:rPr>
        <w:t>[M1]  H. Markowitz, “Portfolio Selection,” The Journal of Finance, vol. 7, no. 1, pp. 77–91, 1952.</w:t>
      </w:r>
    </w:p>
    <w:p>
      <w:pPr>
        <w:spacing w:after="120" w:line="276" w:lineRule="auto"/>
        <w:ind w:left="720" w:hanging="720"/>
        <w:jc w:val="both"/>
      </w:pPr>
      <w:r>
        <w:rPr>
          <w:sz w:val="21"/>
        </w:rPr>
        <w:t>[M2]  J. D. Hamilton, “A New Approach to the Economic Analysis of Nonstationary Time Series and the Business Cycle,” Econometrica, vol. 57, no. 2, pp. 357–384, 1989.</w:t>
      </w:r>
    </w:p>
    <w:p>
      <w:pPr>
        <w:spacing w:after="120" w:line="276" w:lineRule="auto"/>
        <w:ind w:left="720" w:hanging="720"/>
        <w:jc w:val="both"/>
      </w:pPr>
      <w:r>
        <w:rPr>
          <w:sz w:val="21"/>
        </w:rPr>
        <w:t>[M3]  A. Ang and G. Bekaert, “International Asset Allocation With Regime Shifts,” The Review of Financial Studies, vol. 15, no. 4, pp. 1137–1187, 2002.</w:t>
      </w:r>
    </w:p>
    <w:p>
      <w:pPr>
        <w:spacing w:after="120" w:line="276" w:lineRule="auto"/>
        <w:ind w:left="720" w:hanging="720"/>
        <w:jc w:val="both"/>
      </w:pPr>
      <w:r>
        <w:rPr>
          <w:sz w:val="21"/>
        </w:rPr>
        <w:t>[M4]  J. Moody and M. Saffell, “Learning to Trade via Direct Reinforcement,” IEEE Transactions on Neural Networks, vol. 12, no. 4, pp. 875–889, 2001.</w:t>
      </w:r>
    </w:p>
    <w:p>
      <w:pPr>
        <w:spacing w:after="120" w:line="276" w:lineRule="auto"/>
        <w:ind w:left="720" w:hanging="720"/>
        <w:jc w:val="both"/>
      </w:pPr>
      <w:r>
        <w:rPr>
          <w:sz w:val="21"/>
        </w:rPr>
        <w:t>[M5]  Y. Deng, F. Bao, Y. Kong, Z. Ren and Q. Dai, “Deep Direct Reinforcement Learning for Financial Signal Representation and Trading,” IEEE Transactions on Neural Networks and Learning Systems, vol. 28, no. 3, pp. 653–664, 2017.</w:t>
      </w:r>
    </w:p>
    <w:p>
      <w:pPr>
        <w:spacing w:after="120" w:line="276" w:lineRule="auto"/>
        <w:ind w:left="720" w:hanging="720"/>
        <w:jc w:val="both"/>
      </w:pPr>
      <w:r>
        <w:rPr>
          <w:sz w:val="21"/>
        </w:rPr>
        <w:t>[M6]  Z. Jiang, D. Xu and J. Liang, “A Deep Reinforcement Learning Framework for the Financial Portfolio Management Problem,” arXiv:1706.10059, 2017.</w:t>
      </w:r>
    </w:p>
    <w:p>
      <w:pPr>
        <w:spacing w:after="120" w:line="276" w:lineRule="auto"/>
        <w:ind w:left="720" w:hanging="720"/>
        <w:jc w:val="both"/>
      </w:pPr>
      <w:r>
        <w:rPr>
          <w:sz w:val="21"/>
        </w:rPr>
        <w:t>[M7]  J. Schulman, F. Wolski, P. Dhariwal, A. Radford and O. Klimov, “Proximal Policy Optimization Algorithms,” arXiv:1707.06347, 2017.</w:t>
      </w:r>
    </w:p>
    <w:p>
      <w:pPr>
        <w:spacing w:after="120" w:line="276" w:lineRule="auto"/>
        <w:ind w:left="720" w:hanging="720"/>
        <w:jc w:val="both"/>
      </w:pPr>
      <w:r>
        <w:rPr>
          <w:sz w:val="21"/>
        </w:rPr>
        <w:t>[M8]  J. Schulman, P. Moritz, S. Levine, M. Jordan and P. Abbeel, “High-Dimensional Continuous Control Using Generalized Advantage Estimation,” in International Conference on Learning Representations (ICLR), 2016.</w:t>
      </w:r>
    </w:p>
    <w:p>
      <w:pPr>
        <w:spacing w:after="120" w:line="276" w:lineRule="auto"/>
        <w:ind w:left="720" w:hanging="720"/>
        <w:jc w:val="both"/>
      </w:pPr>
      <w:r>
        <w:rPr>
          <w:sz w:val="21"/>
        </w:rPr>
        <w:t>[M9]  S. Hochreiter and J. Schmidhuber, “Long Short-Term Memory,” Neural Computation, vol. 9, no. 8, pp. 1735–1780, 1997.</w:t>
      </w:r>
    </w:p>
    <w:p>
      <w:pPr>
        <w:spacing w:after="120" w:line="276" w:lineRule="auto"/>
        <w:ind w:left="720" w:hanging="720"/>
        <w:jc w:val="both"/>
      </w:pPr>
      <w:r>
        <w:rPr>
          <w:sz w:val="21"/>
        </w:rPr>
        <w:t>[M10]  R. Jozefowicz, W. Zaremba and I. Sutskever, “An Empirical Exploration of Recurrent Network Architectures,” in International Conference on Machine Learning (ICML), 2015.</w:t>
      </w:r>
    </w:p>
    <w:p>
      <w:pPr>
        <w:spacing w:after="120" w:line="276" w:lineRule="auto"/>
        <w:ind w:left="720" w:hanging="720"/>
        <w:jc w:val="both"/>
      </w:pPr>
      <w:r>
        <w:rPr>
          <w:sz w:val="21"/>
        </w:rPr>
        <w:t>[M11]  B. Lim, S. Ö. Arık, N. Loeff and T. Pfister, “Temporal Fusion Transformers for Interpretable Multi-horizon Time Series Forecasting,” International Journal of Forecasting, vol. 37, no. 4, pp. 1748–1764, 2021.</w:t>
      </w:r>
    </w:p>
    <w:p>
      <w:pPr>
        <w:spacing w:after="120" w:line="276" w:lineRule="auto"/>
        <w:ind w:left="720" w:hanging="720"/>
        <w:jc w:val="both"/>
      </w:pPr>
      <w:r>
        <w:rPr>
          <w:sz w:val="21"/>
        </w:rPr>
        <w:t>[M12]  A. Vaswani, N. Shazeer, N. Parmar, J. Uszkoreit, L. Jones, A. N. Gomez, Ł. Kaiser and I. Polosukhin, “Attention Is All You Need,” in Advances in Neural Information Processing Systems (NeurIPS), 2017.</w:t>
      </w:r>
    </w:p>
    <w:p>
      <w:pPr>
        <w:spacing w:after="120" w:line="276" w:lineRule="auto"/>
        <w:ind w:left="720" w:hanging="720"/>
        <w:jc w:val="both"/>
      </w:pPr>
      <w:r>
        <w:rPr>
          <w:sz w:val="21"/>
        </w:rPr>
        <w:t>[M13]  P. Veličković, G. Cucurull, A. Casanova, A. Romero, P. Liò and Y. Bengio, “Graph Attention Networks,” in International Conference on Learning Representations (ICLR), 2018.</w:t>
      </w:r>
    </w:p>
    <w:p>
      <w:pPr>
        <w:spacing w:after="120" w:line="276" w:lineRule="auto"/>
        <w:ind w:left="720" w:hanging="720"/>
        <w:jc w:val="both"/>
      </w:pPr>
      <w:r>
        <w:rPr>
          <w:sz w:val="21"/>
        </w:rPr>
        <w:t>[M14]  P. Artzner, F. Delbaen, J.-M. Eber and D. Heath, “Coherent Measures of Risk,” Mathematical Finance, vol. 9, no. 3, pp. 203–228, 1999.</w:t>
      </w:r>
    </w:p>
    <w:p>
      <w:pPr>
        <w:spacing w:after="120" w:line="276" w:lineRule="auto"/>
        <w:ind w:left="720" w:hanging="720"/>
        <w:jc w:val="both"/>
      </w:pPr>
      <w:r>
        <w:rPr>
          <w:sz w:val="21"/>
        </w:rPr>
        <w:t>[M15]  A. Ahmadi-Javid, “Entropic Value-at-Risk: A New Coherent Risk Measure,” Journal of Optimization Theory and Applications, vol. 155, no. 3, pp. 1105–1123, 2012.</w:t>
      </w:r>
    </w:p>
    <w:p>
      <w:pPr>
        <w:spacing w:after="120" w:line="276" w:lineRule="auto"/>
        <w:ind w:left="720" w:hanging="720"/>
        <w:jc w:val="both"/>
      </w:pPr>
      <w:r>
        <w:rPr>
          <w:sz w:val="21"/>
        </w:rPr>
        <w:t>[M16]  I. Loshchilov and F. Hutter, “Decoupled Weight Decay Regularization,” in International Conference on Learning Representations (ICLR), 2019.</w:t>
      </w:r>
    </w:p>
    <w:p>
      <w:pPr>
        <w:spacing w:after="120" w:line="276" w:lineRule="auto"/>
        <w:ind w:left="720" w:hanging="720"/>
        <w:jc w:val="both"/>
      </w:pPr>
      <w:r>
        <w:rPr>
          <w:sz w:val="21"/>
        </w:rPr>
        <w:t>[M17]  Z. Zhang, S. Zohren and S. Roberts, “Deep Learning for Portfolio Optimization,” The Journal of Financial Data Science, vol. 2, no. 4, pp. 8–20, 2020.</w:t>
      </w:r>
    </w:p>
    <w:p>
      <w:pPr>
        <w:spacing w:before="120" w:after="200" w:line="276" w:lineRule="auto"/>
        <w:ind w:left="360"/>
      </w:pPr>
      <w:r>
        <w:rPr>
          <w:b/>
          <w:color w:val="B00000"/>
          <w:sz w:val="20"/>
        </w:rPr>
        <w:t xml:space="preserve">[ACTION REQUIRED] </w:t>
      </w:r>
      <w:r>
        <w:rPr>
          <w:color w:val="B00000"/>
          <w:sz w:val="20"/>
        </w:rPr>
        <w:t>Two citation actions. First, the volatility-targeting formulation referenced in the source code as “DeePM Eq. 11” is not in the list above because the exact reference could not be verified from the repository — locate the paper you took it from and add it, or remove the reference from §5.x.9 if the facility stays disabled. Second, replace the [M1]–[M17] markers with your group's combined numbering, and confirm the citation style matches your faculty's requirement.</w:t>
      </w:r>
    </w:p>
    <w:p>
      <w:r>
        <w:br w:type="page"/>
      </w:r>
    </w:p>
    <w:p>
      <w:pPr>
        <w:pStyle w:val="Heading1"/>
      </w:pPr>
      <w:r>
        <w:t>Appendix — Individual Contribution to the Project</w:t>
      </w:r>
    </w:p>
    <w:p>
      <w:r>
        <w:rPr>
          <w:b/>
        </w:rPr>
        <w:t>Name of Student: ______________________________</w:t>
      </w:r>
    </w:p>
    <w:p>
      <w:r>
        <w:rPr>
          <w:b/>
        </w:rPr>
        <w:t>Index Number: ______________________________</w:t>
      </w:r>
    </w:p>
    <w:p/>
    <w:p>
      <w:pPr>
        <w:jc w:val="both"/>
      </w:pPr>
      <w:r>
        <w:t>My individual contribution to this group research project was the design, implementation and evaluation of the regime-aware portfolio optimization module, which applies deep reinforcement learning to capital allocation on the Colombo Stock Exchange.</w:t>
      </w:r>
    </w:p>
    <w:p>
      <w:pPr>
        <w:jc w:val="both"/>
      </w:pPr>
      <w:r>
        <w:t>I began by reviewing the literature on regime-switching portfolio models and on reinforcement learning for portfolio management, and identified that the two are conventionally combined in sequence: regimes are estimated by a model optimized for statistical fit and the allocation policy is then conditioned on the resulting labels, so that the regime representation is never shaped by the allocation objective. This observation defined the direction of my module.</w:t>
      </w:r>
    </w:p>
    <w:p>
      <w:pPr>
        <w:jc w:val="both"/>
      </w:pPr>
      <w:r>
        <w:t>I built the complete data pipeline, which parses the yearly Colombo Stock Exchange sector exports with dynamic header detection, harmonises columns across years, pivots the records into date-by-company price and volume matrices, and engineers fifteen stationary features per counter covering returns, realised volatility, momentum, relative strength, the MACD family, Bollinger %B and relative volume. I implemented the chronological splitting and the train-only normalisation that together prevent look-ahead leakage, and the sliding-window construction that produces the model's observations.</w:t>
      </w:r>
    </w:p>
    <w:p>
      <w:pPr>
        <w:jc w:val="both"/>
      </w:pPr>
      <w:r>
        <w:t>I then designed and implemented the differentiable regime encoder, writing the Variable Selection Network with its gated residual blocks, the stacked LSTM with orthogonal recurrent initialisation and unit forget-gate bias, the temporal multi-head attention block with sinusoidal positional encoding, and the graph attention network with the projected residual connections that prevent oversmoothing. I implemented the per-asset actor and the critic, the market environment with its position limits, transaction costs and slippage, the risk-adjusted reward module combining a rolling Sharpe ratio with an entropic value-at-risk penalty and a turnover penalty, Generalized Advantage Estimation, and the Proximal Policy Optimization training loop that updates all components jointly.</w:t>
      </w:r>
    </w:p>
    <w:p>
      <w:pPr>
        <w:jc w:val="both"/>
      </w:pPr>
      <w:r>
        <w:t>Several problems surfaced during development that required diagnosis rather than implementation. I found that a two-layer LSTM at default initialisation attenuated the signal so severely that the policy emitted an identical allocation every day, and resolved it with output layer normalisation and a corrected recurrent initialisation. I found that stacked graph attention collapsed distinct assets to numerically identical embeddings within two layers, and resolved it with projected residual connections. I found that the annualised reward scale produced a critic gradient large enough to monopolise the shared gradient-norm clip and starve the actor, and resolved it with a running discounted-return normaliser.</w:t>
      </w:r>
    </w:p>
    <w:p>
      <w:pPr>
        <w:jc w:val="both"/>
      </w:pPr>
      <w:r>
        <w:t>For evaluation I computed equal-weight and buy-and-hold baselines through the same market environment, so that the comparison carried identical costs. The trained policy achieved a Sharpe ratio of 2.10 on the held-out test period but did not exceed the 2.24 achieved by daily equal weighting. Rather than presenting only the favourable comparison, I measured the allocation behaviour directly and established that the policy converges to a near-uniform portfolio while paying roughly nine times the transaction costs of equal weighting to maintain it, and that its selection is marginally profitable before that cost difference. This diagnosis identifies reward design rather than architecture as the limiting factor and defines the immediate further work.</w:t>
      </w:r>
    </w:p>
    <w:p>
      <w:pPr>
        <w:jc w:val="both"/>
      </w:pPr>
      <w:r>
        <w:t>Through this project I developed a substantially deeper understanding of reinforcement learning, particularly of why the details of policy-gradient implementations matter: that the log-probability must be evaluated on the pre-squash action for the importance ratio to be meaningful, and that hidden state carried across rollout steps invalidates that ratio at update time. I gained practical experience with attention and graph neural architectures, and with the failure modes that appear when they are stacked. Most importantly, I learned to evaluate a model against a serious baseline rather than in isolation, and that a negative result which is correctly diagnosed is a more useful contribution than a favourable number that has not been interrogated.</w:t>
      </w:r>
    </w:p>
    <w:sectPr w:rsidR="00FC693F" w:rsidRPr="0006063C" w:rsidSect="00034616">
      <w:pgSz w:w="12240" w:h="15840"/>
      <w:pgMar w:top="1440" w:right="1296"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88"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