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101C4F"/>
          <w:sz w:val="48"/>
        </w:rPr>
        <w:t>CIBOP — Derivatives: Forward &amp; Futures</w:t>
      </w:r>
    </w:p>
    <w:p>
      <w:pPr>
        <w:jc w:val="center"/>
      </w:pPr>
      <w:r>
        <w:rPr>
          <w:b w:val="0"/>
          <w:i w:val="0"/>
          <w:color w:val="007A87"/>
          <w:sz w:val="28"/>
        </w:rPr>
        <w:t>Assessment Bank  |  UORs D6.1 – D6.10</w:t>
      </w:r>
    </w:p>
    <w:p/>
    <w:p>
      <w:pPr>
        <w:jc w:val="left"/>
      </w:pPr>
      <w:r>
        <w:rPr>
          <w:b/>
          <w:i w:val="0"/>
          <w:color w:val="101C4F"/>
          <w:sz w:val="28"/>
        </w:rPr>
        <w:t>UOR: D6.1  |  What is a Derivative?</w:t>
      </w:r>
    </w:p>
    <w:p/>
    <w:p>
      <w:r>
        <w:rPr>
          <w:b w:val="0"/>
          <w:i/>
          <w:color w:val="007A87"/>
          <w:sz w:val="20"/>
        </w:rPr>
        <w:t xml:space="preserve">  Video 1 of 3  |  EAR: Explain</w:t>
      </w:r>
    </w:p>
    <w:p>
      <w:r>
        <w:rPr>
          <w:b/>
          <w:i w:val="0"/>
          <w:color w:val="F0A800"/>
          <w:sz w:val="22"/>
        </w:rPr>
        <w:t>Q1.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Which statement BEST defines a derivative instrument?</w:t>
            </w:r>
          </w:p>
        </w:tc>
      </w:tr>
      <w:tr>
        <w:tc>
          <w:tcPr>
            <w:tcW w:type="dxa" w:w="9972"/>
            <w:shd w:val="clear" w:color="auto" w:fill="FFFFFF"/>
          </w:tcPr>
          <w:p>
            <w:r>
              <w:rPr>
                <w:b w:val="0"/>
                <w:i w:val="0"/>
                <w:color w:val="404040"/>
                <w:sz w:val="22"/>
              </w:rPr>
              <w:t>A. A financial instrument that pays a fixed interest rate on face value</w:t>
            </w:r>
          </w:p>
        </w:tc>
      </w:tr>
      <w:tr>
        <w:tc>
          <w:tcPr>
            <w:tcW w:type="dxa" w:w="9972"/>
            <w:shd w:val="clear" w:color="auto" w:fill="E8F5E9"/>
          </w:tcPr>
          <w:p>
            <w:r>
              <w:rPr>
                <w:b/>
                <w:i w:val="0"/>
                <w:color w:val="1B5E20"/>
                <w:sz w:val="22"/>
              </w:rPr>
              <w:t>B. A contract whose value is derived from the price of an underlying asset</w:t>
            </w:r>
          </w:p>
        </w:tc>
      </w:tr>
      <w:tr>
        <w:tc>
          <w:tcPr>
            <w:tcW w:type="dxa" w:w="9972"/>
            <w:shd w:val="clear" w:color="auto" w:fill="FFFFFF"/>
          </w:tcPr>
          <w:p>
            <w:r>
              <w:rPr>
                <w:b w:val="0"/>
                <w:i w:val="0"/>
                <w:color w:val="404040"/>
                <w:sz w:val="22"/>
              </w:rPr>
              <w:t>C. A share of ownership in a company traded on a stock exchange</w:t>
            </w:r>
          </w:p>
        </w:tc>
      </w:tr>
      <w:tr>
        <w:tc>
          <w:tcPr>
            <w:tcW w:type="dxa" w:w="9972"/>
            <w:shd w:val="clear" w:color="auto" w:fill="FFFFFF"/>
          </w:tcPr>
          <w:p>
            <w:r>
              <w:rPr>
                <w:b w:val="0"/>
                <w:i w:val="0"/>
                <w:color w:val="404040"/>
                <w:sz w:val="22"/>
              </w:rPr>
              <w:t>D. A government-issued security backed by tax revenues</w:t>
            </w:r>
          </w:p>
        </w:tc>
      </w:tr>
      <w:tr>
        <w:tc>
          <w:tcPr>
            <w:tcW w:type="dxa" w:w="9972"/>
            <w:shd w:val="clear" w:color="auto" w:fill="F0F4FF"/>
          </w:tcPr>
          <w:p>
            <w:r>
              <w:rPr>
                <w:b/>
                <w:i w:val="0"/>
                <w:color w:val="007A87"/>
                <w:sz w:val="20"/>
              </w:rPr>
              <w:t xml:space="preserve">Rationale: </w:t>
            </w:r>
            <w:r>
              <w:rPr>
                <w:b w:val="0"/>
                <w:i w:val="0"/>
                <w:color w:val="404040"/>
                <w:sz w:val="20"/>
              </w:rPr>
              <w:t>A derivative is a contract whose value depends on an underlying asset — stock, bond, commodity, currency, or index. The derivative itself has no intrinsic value; it derives value from the underlying.</w:t>
            </w:r>
          </w:p>
        </w:tc>
      </w:tr>
    </w:tbl>
    <w:p/>
    <w:p>
      <w:r>
        <w:rPr>
          <w:b w:val="0"/>
          <w:i/>
          <w:color w:val="007A87"/>
          <w:sz w:val="20"/>
        </w:rPr>
        <w:t xml:space="preserve">  Video 2 of 3  |  EAR: Apply</w:t>
      </w:r>
    </w:p>
    <w:p>
      <w:r>
        <w:rPr>
          <w:b/>
          <w:i w:val="0"/>
          <w:color w:val="F0A800"/>
          <w:sz w:val="22"/>
        </w:rPr>
        <w:t>Q2.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A derivative can have a commodity, currency, or stock index as its underlying asset.</w:t>
            </w:r>
          </w:p>
        </w:tc>
        <w:tc>
          <w:tcPr>
            <w:tcW w:type="dxa" w:w="2493"/>
            <w:shd w:val="clear" w:color="auto" w:fill="E8F5E9"/>
          </w:tcPr>
          <w:p>
            <w:r>
              <w:rPr>
                <w:b/>
                <w:i w:val="0"/>
                <w:color w:val="1B5E20"/>
                <w:sz w:val="20"/>
              </w:rPr>
              <w:t>TRUE</w:t>
            </w:r>
          </w:p>
        </w:tc>
        <w:tc>
          <w:tcPr>
            <w:tcW w:type="dxa" w:w="2493"/>
          </w:tcPr>
          <w:p>
            <w:r>
              <w:rPr>
                <w:b w:val="0"/>
                <w:i w:val="0"/>
                <w:color w:val="404040"/>
                <w:sz w:val="18"/>
              </w:rPr>
              <w:t>Derivatives exist on all asset classes: commodities (gold, crude oil), currencies (USD/INR), equities (Nifty), and interest rates.</w:t>
            </w:r>
          </w:p>
        </w:tc>
      </w:tr>
      <w:tr>
        <w:tc>
          <w:tcPr>
            <w:tcW w:type="dxa" w:w="2493"/>
          </w:tcPr>
          <w:p>
            <w:r>
              <w:rPr>
                <w:b w:val="0"/>
                <w:i w:val="0"/>
                <w:sz w:val="20"/>
              </w:rPr>
              <w:t>2</w:t>
            </w:r>
          </w:p>
        </w:tc>
        <w:tc>
          <w:tcPr>
            <w:tcW w:type="dxa" w:w="2493"/>
          </w:tcPr>
          <w:p>
            <w:r>
              <w:rPr>
                <w:b w:val="0"/>
                <w:i w:val="0"/>
                <w:sz w:val="20"/>
              </w:rPr>
              <w:t>In India, NSE is the primary exchange for equity and currency derivatives, while MCX handles commodity derivatives.</w:t>
            </w:r>
          </w:p>
        </w:tc>
        <w:tc>
          <w:tcPr>
            <w:tcW w:type="dxa" w:w="2493"/>
            <w:shd w:val="clear" w:color="auto" w:fill="E8F5E9"/>
          </w:tcPr>
          <w:p>
            <w:r>
              <w:rPr>
                <w:b/>
                <w:i w:val="0"/>
                <w:color w:val="1B5E20"/>
                <w:sz w:val="20"/>
              </w:rPr>
              <w:t>TRUE</w:t>
            </w:r>
          </w:p>
        </w:tc>
        <w:tc>
          <w:tcPr>
            <w:tcW w:type="dxa" w:w="2493"/>
          </w:tcPr>
          <w:p>
            <w:r>
              <w:rPr>
                <w:b w:val="0"/>
                <w:i w:val="0"/>
                <w:color w:val="404040"/>
                <w:sz w:val="18"/>
              </w:rPr>
              <w:t>NSE dominates equity and currency futures/options. MCX is Asia's leading commodity exchange for gold, silver, crude oil, metals.</w:t>
            </w:r>
          </w:p>
        </w:tc>
      </w:tr>
      <w:tr>
        <w:tc>
          <w:tcPr>
            <w:tcW w:type="dxa" w:w="2493"/>
          </w:tcPr>
          <w:p>
            <w:r>
              <w:rPr>
                <w:b w:val="0"/>
                <w:i w:val="0"/>
                <w:sz w:val="20"/>
              </w:rPr>
              <w:t>3</w:t>
            </w:r>
          </w:p>
        </w:tc>
        <w:tc>
          <w:tcPr>
            <w:tcW w:type="dxa" w:w="2493"/>
          </w:tcPr>
          <w:p>
            <w:r>
              <w:rPr>
                <w:b w:val="0"/>
                <w:i w:val="0"/>
                <w:sz w:val="20"/>
              </w:rPr>
              <w:t>Derivatives create new capital for the issuing company, similar to how issuing shares raises equity.</w:t>
            </w:r>
          </w:p>
        </w:tc>
        <w:tc>
          <w:tcPr>
            <w:tcW w:type="dxa" w:w="2493"/>
            <w:shd w:val="clear" w:color="auto" w:fill="FFEBEE"/>
          </w:tcPr>
          <w:p>
            <w:r>
              <w:rPr>
                <w:b/>
                <w:i w:val="0"/>
                <w:color w:val="B71C1C"/>
                <w:sz w:val="20"/>
              </w:rPr>
              <w:t>FALSE</w:t>
            </w:r>
          </w:p>
        </w:tc>
        <w:tc>
          <w:tcPr>
            <w:tcW w:type="dxa" w:w="2493"/>
          </w:tcPr>
          <w:p>
            <w:r>
              <w:rPr>
                <w:b w:val="0"/>
                <w:i w:val="0"/>
                <w:color w:val="404040"/>
                <w:sz w:val="18"/>
              </w:rPr>
              <w:t>Derivatives are contracts between parties and do not raise capital. No capital flows to any issuer. They transfer risk between parties.</w:t>
            </w:r>
          </w:p>
        </w:tc>
      </w:tr>
      <w:tr>
        <w:tc>
          <w:tcPr>
            <w:tcW w:type="dxa" w:w="2493"/>
          </w:tcPr>
          <w:p>
            <w:r>
              <w:rPr>
                <w:b w:val="0"/>
                <w:i w:val="0"/>
                <w:sz w:val="20"/>
              </w:rPr>
              <w:t>4</w:t>
            </w:r>
          </w:p>
        </w:tc>
        <w:tc>
          <w:tcPr>
            <w:tcW w:type="dxa" w:w="2493"/>
          </w:tcPr>
          <w:p>
            <w:r>
              <w:rPr>
                <w:b w:val="0"/>
                <w:i w:val="0"/>
                <w:sz w:val="20"/>
              </w:rPr>
              <w:t>SEBI regulates exchange-traded derivatives in India, while RBI regulates OTC currency and interest rate derivatives.</w:t>
            </w:r>
          </w:p>
        </w:tc>
        <w:tc>
          <w:tcPr>
            <w:tcW w:type="dxa" w:w="2493"/>
            <w:shd w:val="clear" w:color="auto" w:fill="E8F5E9"/>
          </w:tcPr>
          <w:p>
            <w:r>
              <w:rPr>
                <w:b/>
                <w:i w:val="0"/>
                <w:color w:val="1B5E20"/>
                <w:sz w:val="20"/>
              </w:rPr>
              <w:t>TRUE</w:t>
            </w:r>
          </w:p>
        </w:tc>
        <w:tc>
          <w:tcPr>
            <w:tcW w:type="dxa" w:w="2493"/>
          </w:tcPr>
          <w:p>
            <w:r>
              <w:rPr>
                <w:b w:val="0"/>
                <w:i w:val="0"/>
                <w:color w:val="404040"/>
                <w:sz w:val="18"/>
              </w:rPr>
              <w:t>SEBI oversees NSE/BSE/MCX derivatives. RBI regulates OTC derivatives (currency forwards, interest rate swaps) used by banks and corporates under FEMA.</w:t>
            </w:r>
          </w:p>
        </w:tc>
      </w:tr>
    </w:tbl>
    <w:p/>
    <w:p>
      <w:r>
        <w:rPr>
          <w:b w:val="0"/>
          <w:i/>
          <w:color w:val="007A87"/>
          <w:sz w:val="20"/>
        </w:rPr>
        <w:t xml:space="preserve">  Video 3 of 3  |  EAR: Relate</w:t>
      </w:r>
    </w:p>
    <w:p>
      <w:r>
        <w:rPr>
          <w:b/>
          <w:i w:val="0"/>
          <w:color w:val="F0A800"/>
          <w:sz w:val="22"/>
        </w:rPr>
        <w:t>Q3.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Derivatives serve three economic purposes: [BLANK1] — transferring price risk from those who cannot bear it to those willing to accept it; [BLANK2] — continuous trading creates accurate price signals for the broader market; and [BLANK3] — enabling participants to take leveraged positions on price direction.</w:t>
            </w:r>
          </w:p>
        </w:tc>
      </w:tr>
      <w:tr>
        <w:tc>
          <w:tcPr>
            <w:tcW w:type="dxa" w:w="9972"/>
            <w:shd w:val="clear" w:color="auto" w:fill="F5F5F5"/>
          </w:tcPr>
          <w:p>
            <w:r>
              <w:rPr>
                <w:b w:val="0"/>
                <w:i w:val="0"/>
                <w:color w:val="007A87"/>
                <w:sz w:val="20"/>
              </w:rPr>
              <w:t>Options: risk transfer / capital formation  |  price discovery / market making  |  speculation / hedging / arbitrage</w:t>
            </w:r>
          </w:p>
        </w:tc>
      </w:tr>
      <w:tr>
        <w:tc>
          <w:tcPr>
            <w:tcW w:type="dxa" w:w="9972"/>
            <w:shd w:val="clear" w:color="auto" w:fill="E8F5E9"/>
          </w:tcPr>
          <w:p>
            <w:r>
              <w:rPr>
                <w:b/>
                <w:i w:val="0"/>
                <w:color w:val="1B5E20"/>
                <w:sz w:val="20"/>
              </w:rPr>
              <w:t>Answers: BLANK1 → risk transfer  |  BLANK2 → price discovery  |  BLANK3 → speculation</w:t>
            </w:r>
          </w:p>
        </w:tc>
      </w:tr>
      <w:tr>
        <w:tc>
          <w:tcPr>
            <w:tcW w:type="dxa" w:w="9972"/>
            <w:shd w:val="clear" w:color="auto" w:fill="F0F4FF"/>
          </w:tcPr>
          <w:p>
            <w:r>
              <w:rPr>
                <w:b/>
                <w:i w:val="0"/>
                <w:color w:val="007A87"/>
                <w:sz w:val="20"/>
              </w:rPr>
              <w:t xml:space="preserve">Rationale: </w:t>
            </w:r>
            <w:r>
              <w:rPr>
                <w:b w:val="0"/>
                <w:i w:val="0"/>
                <w:color w:val="404040"/>
                <w:sz w:val="20"/>
              </w:rPr>
              <w:t>Derivatives primarily transfer risk (hedgers), discover prices (all participants), and allow speculation (directional bets). They also enable arbitrage — enforcing no-arbitrage pricing relationships.</w:t>
            </w:r>
          </w:p>
        </w:tc>
      </w:tr>
    </w:tbl>
    <w:p/>
    <w:p>
      <w:r>
        <w:rPr>
          <w:b/>
          <w:i w:val="0"/>
          <w:color w:val="F0A800"/>
          <w:sz w:val="22"/>
        </w:rPr>
        <w:t>Q4.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Forward</w:t>
            </w:r>
          </w:p>
        </w:tc>
        <w:tc>
          <w:tcPr>
            <w:tcW w:type="dxa" w:w="3324"/>
          </w:tcPr>
          <w:p>
            <w:r>
              <w:rPr>
                <w:b w:val="0"/>
                <w:i w:val="0"/>
                <w:sz w:val="20"/>
              </w:rPr>
              <w:t>OTC bilateral, customised, counterparty risk</w:t>
            </w:r>
          </w:p>
        </w:tc>
        <w:tc>
          <w:tcPr>
            <w:tcW w:type="dxa" w:w="3324"/>
            <w:shd w:val="clear" w:color="auto" w:fill="E8F5E9"/>
          </w:tcPr>
          <w:p>
            <w:r>
              <w:rPr>
                <w:b/>
                <w:i w:val="0"/>
                <w:color w:val="1B5E20"/>
                <w:sz w:val="20"/>
              </w:rPr>
              <w:t>Forward → OTC bilateral, customised, counterparty risk</w:t>
            </w:r>
          </w:p>
        </w:tc>
      </w:tr>
      <w:tr>
        <w:tc>
          <w:tcPr>
            <w:tcW w:type="dxa" w:w="3324"/>
          </w:tcPr>
          <w:p>
            <w:r>
              <w:rPr>
                <w:b w:val="0"/>
                <w:i w:val="0"/>
                <w:sz w:val="20"/>
              </w:rPr>
              <w:t>Futures</w:t>
            </w:r>
          </w:p>
        </w:tc>
        <w:tc>
          <w:tcPr>
            <w:tcW w:type="dxa" w:w="3324"/>
          </w:tcPr>
          <w:p>
            <w:r>
              <w:rPr>
                <w:b w:val="0"/>
                <w:i w:val="0"/>
                <w:sz w:val="20"/>
              </w:rPr>
              <w:t>Exchange-traded, standardised, cleared</w:t>
            </w:r>
          </w:p>
        </w:tc>
        <w:tc>
          <w:tcPr>
            <w:tcW w:type="dxa" w:w="3324"/>
            <w:shd w:val="clear" w:color="auto" w:fill="E8F5E9"/>
          </w:tcPr>
          <w:p>
            <w:r>
              <w:rPr>
                <w:b/>
                <w:i w:val="0"/>
                <w:color w:val="1B5E20"/>
                <w:sz w:val="20"/>
              </w:rPr>
              <w:t>Futures → Exchange-traded, standardised, cleared</w:t>
            </w:r>
          </w:p>
        </w:tc>
      </w:tr>
      <w:tr>
        <w:tc>
          <w:tcPr>
            <w:tcW w:type="dxa" w:w="3324"/>
          </w:tcPr>
          <w:p>
            <w:r>
              <w:rPr>
                <w:b w:val="0"/>
                <w:i w:val="0"/>
                <w:sz w:val="20"/>
              </w:rPr>
              <w:t>Option</w:t>
            </w:r>
          </w:p>
        </w:tc>
        <w:tc>
          <w:tcPr>
            <w:tcW w:type="dxa" w:w="3324"/>
          </w:tcPr>
          <w:p>
            <w:r>
              <w:rPr>
                <w:b w:val="0"/>
                <w:i w:val="0"/>
                <w:sz w:val="20"/>
              </w:rPr>
              <w:t>Right but not obligation, premium paid</w:t>
            </w:r>
          </w:p>
        </w:tc>
        <w:tc>
          <w:tcPr>
            <w:tcW w:type="dxa" w:w="3324"/>
            <w:shd w:val="clear" w:color="auto" w:fill="E8F5E9"/>
          </w:tcPr>
          <w:p>
            <w:r>
              <w:rPr>
                <w:b/>
                <w:i w:val="0"/>
                <w:color w:val="1B5E20"/>
                <w:sz w:val="20"/>
              </w:rPr>
              <w:t>Option → Right but not obligation, premium paid</w:t>
            </w:r>
          </w:p>
        </w:tc>
      </w:tr>
      <w:tr>
        <w:tc>
          <w:tcPr>
            <w:tcW w:type="dxa" w:w="3324"/>
          </w:tcPr>
          <w:p>
            <w:r>
              <w:rPr>
                <w:b w:val="0"/>
                <w:i w:val="0"/>
                <w:sz w:val="20"/>
              </w:rPr>
              <w:t>Swap</w:t>
            </w:r>
          </w:p>
        </w:tc>
        <w:tc>
          <w:tcPr>
            <w:tcW w:type="dxa" w:w="3324"/>
          </w:tcPr>
          <w:p>
            <w:r>
              <w:rPr>
                <w:b w:val="0"/>
                <w:i w:val="0"/>
                <w:sz w:val="20"/>
              </w:rPr>
              <w:t>Exchange of cash flows between parties</w:t>
            </w:r>
          </w:p>
        </w:tc>
        <w:tc>
          <w:tcPr>
            <w:tcW w:type="dxa" w:w="3324"/>
            <w:shd w:val="clear" w:color="auto" w:fill="E8F5E9"/>
          </w:tcPr>
          <w:p>
            <w:r>
              <w:rPr>
                <w:b/>
                <w:i w:val="0"/>
                <w:color w:val="1B5E20"/>
                <w:sz w:val="20"/>
              </w:rPr>
              <w:t>Swap → Exchange of cash flows between parties</w:t>
            </w:r>
          </w:p>
        </w:tc>
      </w:tr>
      <w:tr>
        <w:tc>
          <w:tcPr>
            <w:tcW w:type="dxa" w:w="9972"/>
            <w:gridSpan w:val="3"/>
            <w:shd w:val="clear" w:color="auto" w:fill="F0F4FF"/>
          </w:tcPr>
          <w:p>
            <w:r>
              <w:rPr>
                <w:b/>
                <w:i w:val="0"/>
                <w:color w:val="007A87"/>
                <w:sz w:val="20"/>
              </w:rPr>
              <w:t xml:space="preserve">Rationale: </w:t>
            </w:r>
            <w:r>
              <w:rPr>
                <w:b w:val="0"/>
                <w:i w:val="0"/>
                <w:color w:val="404040"/>
                <w:sz w:val="20"/>
              </w:rPr>
              <w:t>Four derivative types: forwards (customised OTC), futures (standardised exchange), options (asymmetric right), swaps (cash flow exchange). Each serves distinct risk management purposes.</w:t>
            </w:r>
          </w:p>
        </w:tc>
      </w:tr>
    </w:tbl>
    <w:p/>
    <w:p>
      <w:r>
        <w:br w:type="page"/>
      </w:r>
    </w:p>
    <w:p>
      <w:pPr>
        <w:jc w:val="left"/>
      </w:pPr>
      <w:r>
        <w:rPr>
          <w:b/>
          <w:i w:val="0"/>
          <w:color w:val="101C4F"/>
          <w:sz w:val="28"/>
        </w:rPr>
        <w:t>UOR: D6.2  |  Forward Contract Basics</w:t>
      </w:r>
    </w:p>
    <w:p/>
    <w:p>
      <w:r>
        <w:rPr>
          <w:b w:val="0"/>
          <w:i/>
          <w:color w:val="007A87"/>
          <w:sz w:val="20"/>
        </w:rPr>
        <w:t xml:space="preserve">  Video 1 of 3  |  EAR: Explain</w:t>
      </w:r>
    </w:p>
    <w:p>
      <w:r>
        <w:rPr>
          <w:b/>
          <w:i w:val="0"/>
          <w:color w:val="F0A800"/>
          <w:sz w:val="22"/>
        </w:rPr>
        <w:t>Q5.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An Indian IT company expects to receive USD 2 million in 3 months. Fearing INR appreciation (USD/INR falling), what forward position should they enter?</w:t>
            </w:r>
          </w:p>
        </w:tc>
      </w:tr>
      <w:tr>
        <w:tc>
          <w:tcPr>
            <w:tcW w:type="dxa" w:w="9972"/>
            <w:shd w:val="clear" w:color="auto" w:fill="FFFFFF"/>
          </w:tcPr>
          <w:p>
            <w:r>
              <w:rPr>
                <w:b w:val="0"/>
                <w:i w:val="0"/>
                <w:color w:val="404040"/>
                <w:sz w:val="22"/>
              </w:rPr>
              <w:t>A. Buy (Long) USD forward — agree to buy USD at today's rate</w:t>
            </w:r>
          </w:p>
        </w:tc>
      </w:tr>
      <w:tr>
        <w:tc>
          <w:tcPr>
            <w:tcW w:type="dxa" w:w="9972"/>
            <w:shd w:val="clear" w:color="auto" w:fill="E8F5E9"/>
          </w:tcPr>
          <w:p>
            <w:r>
              <w:rPr>
                <w:b/>
                <w:i w:val="0"/>
                <w:color w:val="1B5E20"/>
                <w:sz w:val="22"/>
              </w:rPr>
              <w:t>B. Sell (Short) USD forward — agree to sell USD at today's rate</w:t>
            </w:r>
          </w:p>
        </w:tc>
      </w:tr>
      <w:tr>
        <w:tc>
          <w:tcPr>
            <w:tcW w:type="dxa" w:w="9972"/>
            <w:shd w:val="clear" w:color="auto" w:fill="FFFFFF"/>
          </w:tcPr>
          <w:p>
            <w:r>
              <w:rPr>
                <w:b w:val="0"/>
                <w:i w:val="0"/>
                <w:color w:val="404040"/>
                <w:sz w:val="22"/>
              </w:rPr>
              <w:t>C. Buy (Long) INR forward — agree to buy INR 3 months forward</w:t>
            </w:r>
          </w:p>
        </w:tc>
      </w:tr>
      <w:tr>
        <w:tc>
          <w:tcPr>
            <w:tcW w:type="dxa" w:w="9972"/>
            <w:shd w:val="clear" w:color="auto" w:fill="FFFFFF"/>
          </w:tcPr>
          <w:p>
            <w:r>
              <w:rPr>
                <w:b w:val="0"/>
                <w:i w:val="0"/>
                <w:color w:val="404040"/>
                <w:sz w:val="22"/>
              </w:rPr>
              <w:t>D. Do nothing — forwards are only for importers</w:t>
            </w:r>
          </w:p>
        </w:tc>
      </w:tr>
      <w:tr>
        <w:tc>
          <w:tcPr>
            <w:tcW w:type="dxa" w:w="9972"/>
            <w:shd w:val="clear" w:color="auto" w:fill="F0F4FF"/>
          </w:tcPr>
          <w:p>
            <w:r>
              <w:rPr>
                <w:b/>
                <w:i w:val="0"/>
                <w:color w:val="007A87"/>
                <w:sz w:val="20"/>
              </w:rPr>
              <w:t xml:space="preserve">Rationale: </w:t>
            </w:r>
            <w:r>
              <w:rPr>
                <w:b w:val="0"/>
                <w:i w:val="0"/>
                <w:color w:val="404040"/>
                <w:sz w:val="20"/>
              </w:rPr>
              <w:t>The exporter will RECEIVE USD (they already own the USD risk). To hedge, they lock in the selling rate by entering a short USD forward (sell USD forward). If USD/INR falls from ₹84 to ₹82, they still sell at the forward rate locked in today.</w:t>
            </w:r>
          </w:p>
        </w:tc>
      </w:tr>
    </w:tbl>
    <w:p/>
    <w:p>
      <w:r>
        <w:rPr>
          <w:b w:val="0"/>
          <w:i/>
          <w:color w:val="007A87"/>
          <w:sz w:val="20"/>
        </w:rPr>
        <w:t xml:space="preserve">  Video 2 of 3  |  EAR: Apply</w:t>
      </w:r>
    </w:p>
    <w:p>
      <w:r>
        <w:rPr>
          <w:b/>
          <w:i w:val="0"/>
          <w:color w:val="F0A800"/>
          <w:sz w:val="22"/>
        </w:rPr>
        <w:t>Q6.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A forward contract is traded on an exchange and therefore has no counterparty risk.</w:t>
            </w:r>
          </w:p>
        </w:tc>
        <w:tc>
          <w:tcPr>
            <w:tcW w:type="dxa" w:w="2493"/>
            <w:shd w:val="clear" w:color="auto" w:fill="FFEBEE"/>
          </w:tcPr>
          <w:p>
            <w:r>
              <w:rPr>
                <w:b/>
                <w:i w:val="0"/>
                <w:color w:val="B71C1C"/>
                <w:sz w:val="20"/>
              </w:rPr>
              <w:t>FALSE</w:t>
            </w:r>
          </w:p>
        </w:tc>
        <w:tc>
          <w:tcPr>
            <w:tcW w:type="dxa" w:w="2493"/>
          </w:tcPr>
          <w:p>
            <w:r>
              <w:rPr>
                <w:b w:val="0"/>
                <w:i w:val="0"/>
                <w:color w:val="404040"/>
                <w:sz w:val="18"/>
              </w:rPr>
              <w:t>Forwards are OTC instruments — traded bilaterally between two parties, NOT on exchanges. Counterparty risk exists because there is no clearing corporation guaranteeing settlement.</w:t>
            </w:r>
          </w:p>
        </w:tc>
      </w:tr>
      <w:tr>
        <w:tc>
          <w:tcPr>
            <w:tcW w:type="dxa" w:w="2493"/>
          </w:tcPr>
          <w:p>
            <w:r>
              <w:rPr>
                <w:b w:val="0"/>
                <w:i w:val="0"/>
                <w:sz w:val="20"/>
              </w:rPr>
              <w:t>2</w:t>
            </w:r>
          </w:p>
        </w:tc>
        <w:tc>
          <w:tcPr>
            <w:tcW w:type="dxa" w:w="2493"/>
          </w:tcPr>
          <w:p>
            <w:r>
              <w:rPr>
                <w:b w:val="0"/>
                <w:i w:val="0"/>
                <w:sz w:val="20"/>
              </w:rPr>
              <w:t>Physical settlement is when the actual underlying asset is exchanged; cash settlement is when only the profit/loss is paid.</w:t>
            </w:r>
          </w:p>
        </w:tc>
        <w:tc>
          <w:tcPr>
            <w:tcW w:type="dxa" w:w="2493"/>
            <w:shd w:val="clear" w:color="auto" w:fill="E8F5E9"/>
          </w:tcPr>
          <w:p>
            <w:r>
              <w:rPr>
                <w:b/>
                <w:i w:val="0"/>
                <w:color w:val="1B5E20"/>
                <w:sz w:val="20"/>
              </w:rPr>
              <w:t>TRUE</w:t>
            </w:r>
          </w:p>
        </w:tc>
        <w:tc>
          <w:tcPr>
            <w:tcW w:type="dxa" w:w="2493"/>
          </w:tcPr>
          <w:p>
            <w:r>
              <w:rPr>
                <w:b w:val="0"/>
                <w:i w:val="0"/>
                <w:color w:val="404040"/>
                <w:sz w:val="18"/>
              </w:rPr>
              <w:t>Physical: actual USD/commodity delivered. Cash-settled: only the difference between contract price and market price is paid. Most Indian currency forwards are physically settled.</w:t>
            </w:r>
          </w:p>
        </w:tc>
      </w:tr>
      <w:tr>
        <w:tc>
          <w:tcPr>
            <w:tcW w:type="dxa" w:w="2493"/>
          </w:tcPr>
          <w:p>
            <w:r>
              <w:rPr>
                <w:b w:val="0"/>
                <w:i w:val="0"/>
                <w:sz w:val="20"/>
              </w:rPr>
              <w:t>3</w:t>
            </w:r>
          </w:p>
        </w:tc>
        <w:tc>
          <w:tcPr>
            <w:tcW w:type="dxa" w:w="2493"/>
          </w:tcPr>
          <w:p>
            <w:r>
              <w:rPr>
                <w:b w:val="0"/>
                <w:i w:val="0"/>
                <w:sz w:val="20"/>
              </w:rPr>
              <w:t>Under RBI regulations, Indian corporates can enter currency forward contracts without any underlying exposure.</w:t>
            </w:r>
          </w:p>
        </w:tc>
        <w:tc>
          <w:tcPr>
            <w:tcW w:type="dxa" w:w="2493"/>
            <w:shd w:val="clear" w:color="auto" w:fill="FFEBEE"/>
          </w:tcPr>
          <w:p>
            <w:r>
              <w:rPr>
                <w:b/>
                <w:i w:val="0"/>
                <w:color w:val="B71C1C"/>
                <w:sz w:val="20"/>
              </w:rPr>
              <w:t>FALSE</w:t>
            </w:r>
          </w:p>
        </w:tc>
        <w:tc>
          <w:tcPr>
            <w:tcW w:type="dxa" w:w="2493"/>
          </w:tcPr>
          <w:p>
            <w:r>
              <w:rPr>
                <w:b w:val="0"/>
                <w:i w:val="0"/>
                <w:color w:val="404040"/>
                <w:sz w:val="18"/>
              </w:rPr>
              <w:t>RBI requires documented underlying exposure (e.g., export invoice, import LC) for currency forwards. Purely speculative currency forwards are not permitted for Indian corporates.</w:t>
            </w:r>
          </w:p>
        </w:tc>
      </w:tr>
      <w:tr>
        <w:tc>
          <w:tcPr>
            <w:tcW w:type="dxa" w:w="2493"/>
          </w:tcPr>
          <w:p>
            <w:r>
              <w:rPr>
                <w:b w:val="0"/>
                <w:i w:val="0"/>
                <w:sz w:val="20"/>
              </w:rPr>
              <w:t>4</w:t>
            </w:r>
          </w:p>
        </w:tc>
        <w:tc>
          <w:tcPr>
            <w:tcW w:type="dxa" w:w="2493"/>
          </w:tcPr>
          <w:p>
            <w:r>
              <w:rPr>
                <w:b w:val="0"/>
                <w:i w:val="0"/>
                <w:sz w:val="20"/>
              </w:rPr>
              <w:t>The 'long' party in a forward contract benefits when the underlying asset price rises above the forward price at settlement.</w:t>
            </w:r>
          </w:p>
        </w:tc>
        <w:tc>
          <w:tcPr>
            <w:tcW w:type="dxa" w:w="2493"/>
            <w:shd w:val="clear" w:color="auto" w:fill="E8F5E9"/>
          </w:tcPr>
          <w:p>
            <w:r>
              <w:rPr>
                <w:b/>
                <w:i w:val="0"/>
                <w:color w:val="1B5E20"/>
                <w:sz w:val="20"/>
              </w:rPr>
              <w:t>TRUE</w:t>
            </w:r>
          </w:p>
        </w:tc>
        <w:tc>
          <w:tcPr>
            <w:tcW w:type="dxa" w:w="2493"/>
          </w:tcPr>
          <w:p>
            <w:r>
              <w:rPr>
                <w:b w:val="0"/>
                <w:i w:val="0"/>
                <w:color w:val="404040"/>
                <w:sz w:val="18"/>
              </w:rPr>
              <w:t>Long = agreed to BUY at the forward price. If spot at settlement &gt; forward price, the long buys at a below-market rate — a gain. Conversely, the long loses if spot falls below the forward price.</w:t>
            </w:r>
          </w:p>
        </w:tc>
      </w:tr>
    </w:tbl>
    <w:p/>
    <w:p>
      <w:r>
        <w:rPr>
          <w:b w:val="0"/>
          <w:i/>
          <w:color w:val="007A87"/>
          <w:sz w:val="20"/>
        </w:rPr>
        <w:t xml:space="preserve">  Video 3 of 3  |  EAR: Relate</w:t>
      </w:r>
    </w:p>
    <w:p>
      <w:r>
        <w:rPr>
          <w:b/>
          <w:i w:val="0"/>
          <w:color w:val="F0A800"/>
          <w:sz w:val="22"/>
        </w:rPr>
        <w:t>Q7.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A forward contract has five key elements: the [BLANK1] (what is being bought or sold), the [BLANK2] (the agreed delivery price), the notional amount, the settlement date, and the identification of the long party (who will [BLANK3]) and short party (who will sell).</w:t>
            </w:r>
          </w:p>
        </w:tc>
      </w:tr>
      <w:tr>
        <w:tc>
          <w:tcPr>
            <w:tcW w:type="dxa" w:w="9972"/>
            <w:shd w:val="clear" w:color="auto" w:fill="F5F5F5"/>
          </w:tcPr>
          <w:p>
            <w:r>
              <w:rPr>
                <w:b w:val="0"/>
                <w:i w:val="0"/>
                <w:color w:val="007A87"/>
                <w:sz w:val="20"/>
              </w:rPr>
              <w:t>Options: underlying asset / derivative instrument / reference index  |  forward price / spot price / market price  |  buy / lend / hedge</w:t>
            </w:r>
          </w:p>
        </w:tc>
      </w:tr>
      <w:tr>
        <w:tc>
          <w:tcPr>
            <w:tcW w:type="dxa" w:w="9972"/>
            <w:shd w:val="clear" w:color="auto" w:fill="E8F5E9"/>
          </w:tcPr>
          <w:p>
            <w:r>
              <w:rPr>
                <w:b/>
                <w:i w:val="0"/>
                <w:color w:val="1B5E20"/>
                <w:sz w:val="20"/>
              </w:rPr>
              <w:t>Answers: BLANK1 → underlying asset  |  BLANK2 → forward price  |  BLANK3 → buy</w:t>
            </w:r>
          </w:p>
        </w:tc>
      </w:tr>
      <w:tr>
        <w:tc>
          <w:tcPr>
            <w:tcW w:type="dxa" w:w="9972"/>
            <w:shd w:val="clear" w:color="auto" w:fill="F0F4FF"/>
          </w:tcPr>
          <w:p>
            <w:r>
              <w:rPr>
                <w:b/>
                <w:i w:val="0"/>
                <w:color w:val="007A87"/>
                <w:sz w:val="20"/>
              </w:rPr>
              <w:t xml:space="preserve">Rationale: </w:t>
            </w:r>
            <w:r>
              <w:rPr>
                <w:b w:val="0"/>
                <w:i w:val="0"/>
                <w:color w:val="404040"/>
                <w:sz w:val="20"/>
              </w:rPr>
              <w:t>Every forward contract specifies: underlying, forward price (agreed delivery price), notional, settlement date, and party roles. The long agrees to buy; the short agrees to sell.</w:t>
            </w:r>
          </w:p>
        </w:tc>
      </w:tr>
    </w:tbl>
    <w:p/>
    <w:p>
      <w:r>
        <w:rPr>
          <w:b/>
          <w:i w:val="0"/>
          <w:color w:val="F0A800"/>
          <w:sz w:val="22"/>
        </w:rPr>
        <w:t>Q8.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IT Exporter</w:t>
            </w:r>
          </w:p>
        </w:tc>
        <w:tc>
          <w:tcPr>
            <w:tcW w:type="dxa" w:w="3324"/>
          </w:tcPr>
          <w:p>
            <w:r>
              <w:rPr>
                <w:b w:val="0"/>
                <w:i w:val="0"/>
                <w:sz w:val="20"/>
              </w:rPr>
              <w:t>Short USD forward — locks in USD selling rate</w:t>
            </w:r>
          </w:p>
        </w:tc>
        <w:tc>
          <w:tcPr>
            <w:tcW w:type="dxa" w:w="3324"/>
            <w:shd w:val="clear" w:color="auto" w:fill="E8F5E9"/>
          </w:tcPr>
          <w:p>
            <w:r>
              <w:rPr>
                <w:b/>
                <w:i w:val="0"/>
                <w:color w:val="1B5E20"/>
                <w:sz w:val="20"/>
              </w:rPr>
              <w:t>IT Exporter → Short (sell USD forward)</w:t>
            </w:r>
          </w:p>
        </w:tc>
      </w:tr>
      <w:tr>
        <w:tc>
          <w:tcPr>
            <w:tcW w:type="dxa" w:w="3324"/>
          </w:tcPr>
          <w:p>
            <w:r>
              <w:rPr>
                <w:b w:val="0"/>
                <w:i w:val="0"/>
                <w:sz w:val="20"/>
              </w:rPr>
              <w:t>Oil Importer</w:t>
            </w:r>
          </w:p>
        </w:tc>
        <w:tc>
          <w:tcPr>
            <w:tcW w:type="dxa" w:w="3324"/>
          </w:tcPr>
          <w:p>
            <w:r>
              <w:rPr>
                <w:b w:val="0"/>
                <w:i w:val="0"/>
                <w:sz w:val="20"/>
              </w:rPr>
              <w:t>Long USD forward — locks in USD buying rate</w:t>
            </w:r>
          </w:p>
        </w:tc>
        <w:tc>
          <w:tcPr>
            <w:tcW w:type="dxa" w:w="3324"/>
            <w:shd w:val="clear" w:color="auto" w:fill="E8F5E9"/>
          </w:tcPr>
          <w:p>
            <w:r>
              <w:rPr>
                <w:b/>
                <w:i w:val="0"/>
                <w:color w:val="1B5E20"/>
                <w:sz w:val="20"/>
              </w:rPr>
              <w:t>Oil Importer → Long (buy USD forward)</w:t>
            </w:r>
          </w:p>
        </w:tc>
      </w:tr>
      <w:tr>
        <w:tc>
          <w:tcPr>
            <w:tcW w:type="dxa" w:w="3324"/>
          </w:tcPr>
          <w:p>
            <w:r>
              <w:rPr>
                <w:b w:val="0"/>
                <w:i w:val="0"/>
                <w:sz w:val="20"/>
              </w:rPr>
              <w:t>Bank</w:t>
            </w:r>
          </w:p>
        </w:tc>
        <w:tc>
          <w:tcPr>
            <w:tcW w:type="dxa" w:w="3324"/>
          </w:tcPr>
          <w:p>
            <w:r>
              <w:rPr>
                <w:b w:val="0"/>
                <w:i w:val="0"/>
                <w:sz w:val="20"/>
              </w:rPr>
              <w:t>Takes opposite side, earns bid-ask spread</w:t>
            </w:r>
          </w:p>
        </w:tc>
        <w:tc>
          <w:tcPr>
            <w:tcW w:type="dxa" w:w="3324"/>
            <w:shd w:val="clear" w:color="auto" w:fill="E8F5E9"/>
          </w:tcPr>
          <w:p>
            <w:r>
              <w:rPr>
                <w:b/>
                <w:i w:val="0"/>
                <w:color w:val="1B5E20"/>
                <w:sz w:val="20"/>
              </w:rPr>
              <w:t>Bank → Intermediary, earns spread</w:t>
            </w:r>
          </w:p>
        </w:tc>
      </w:tr>
      <w:tr>
        <w:tc>
          <w:tcPr>
            <w:tcW w:type="dxa" w:w="3324"/>
          </w:tcPr>
          <w:p>
            <w:r>
              <w:rPr>
                <w:b w:val="0"/>
                <w:i w:val="0"/>
                <w:sz w:val="20"/>
              </w:rPr>
              <w:t>Speculator</w:t>
            </w:r>
          </w:p>
        </w:tc>
        <w:tc>
          <w:tcPr>
            <w:tcW w:type="dxa" w:w="3324"/>
          </w:tcPr>
          <w:p>
            <w:r>
              <w:rPr>
                <w:b w:val="0"/>
                <w:i w:val="0"/>
                <w:sz w:val="20"/>
              </w:rPr>
              <w:t>Directional position with no underlying exposure</w:t>
            </w:r>
          </w:p>
        </w:tc>
        <w:tc>
          <w:tcPr>
            <w:tcW w:type="dxa" w:w="3324"/>
            <w:shd w:val="clear" w:color="auto" w:fill="E8F5E9"/>
          </w:tcPr>
          <w:p>
            <w:r>
              <w:rPr>
                <w:b/>
                <w:i w:val="0"/>
                <w:color w:val="1B5E20"/>
                <w:sz w:val="20"/>
              </w:rPr>
              <w:t>Speculator → Directional bet (restricted by RBI for INR)</w:t>
            </w:r>
          </w:p>
        </w:tc>
      </w:tr>
      <w:tr>
        <w:tc>
          <w:tcPr>
            <w:tcW w:type="dxa" w:w="9972"/>
            <w:gridSpan w:val="3"/>
            <w:shd w:val="clear" w:color="auto" w:fill="F0F4FF"/>
          </w:tcPr>
          <w:p>
            <w:r>
              <w:rPr>
                <w:b/>
                <w:i w:val="0"/>
                <w:color w:val="007A87"/>
                <w:sz w:val="20"/>
              </w:rPr>
              <w:t xml:space="preserve">Rationale: </w:t>
            </w:r>
            <w:r>
              <w:rPr>
                <w:b w:val="0"/>
                <w:i w:val="0"/>
                <w:color w:val="404040"/>
                <w:sz w:val="20"/>
              </w:rPr>
              <w:t>Forward market participants: exporters short (sell foreign currency forward), importers long (buy foreign currency forward), banks intermediate, speculators take directional views (restricted for INR by RBI).</w:t>
            </w:r>
          </w:p>
        </w:tc>
      </w:tr>
    </w:tbl>
    <w:p/>
    <w:p>
      <w:r>
        <w:br w:type="page"/>
      </w:r>
    </w:p>
    <w:p>
      <w:pPr>
        <w:jc w:val="left"/>
      </w:pPr>
      <w:r>
        <w:rPr>
          <w:b/>
          <w:i w:val="0"/>
          <w:color w:val="101C4F"/>
          <w:sz w:val="28"/>
        </w:rPr>
        <w:t>UOR: D6.3  |  Forward Pricing and Valuation</w:t>
      </w:r>
    </w:p>
    <w:p/>
    <w:p>
      <w:r>
        <w:rPr>
          <w:b w:val="0"/>
          <w:i/>
          <w:color w:val="007A87"/>
          <w:sz w:val="20"/>
        </w:rPr>
        <w:t xml:space="preserve">  Video 1 of 3  |  EAR: Explain</w:t>
      </w:r>
    </w:p>
    <w:p>
      <w:r>
        <w:rPr>
          <w:b/>
          <w:i w:val="0"/>
          <w:color w:val="F0A800"/>
          <w:sz w:val="22"/>
        </w:rPr>
        <w:t>Q9.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A stock is trading at ₹500. The risk-free rate is 8% per annum and the stock pays no dividends. What is the fair 6-month forward price?</w:t>
            </w:r>
          </w:p>
        </w:tc>
      </w:tr>
      <w:tr>
        <w:tc>
          <w:tcPr>
            <w:tcW w:type="dxa" w:w="9972"/>
            <w:shd w:val="clear" w:color="auto" w:fill="FFFFFF"/>
          </w:tcPr>
          <w:p>
            <w:r>
              <w:rPr>
                <w:b w:val="0"/>
                <w:i w:val="0"/>
                <w:color w:val="404040"/>
                <w:sz w:val="22"/>
              </w:rPr>
              <w:t>A. ₹500.00</w:t>
            </w:r>
          </w:p>
        </w:tc>
      </w:tr>
      <w:tr>
        <w:tc>
          <w:tcPr>
            <w:tcW w:type="dxa" w:w="9972"/>
            <w:shd w:val="clear" w:color="auto" w:fill="E8F5E9"/>
          </w:tcPr>
          <w:p>
            <w:r>
              <w:rPr>
                <w:b/>
                <w:i w:val="0"/>
                <w:color w:val="1B5E20"/>
                <w:sz w:val="22"/>
              </w:rPr>
              <w:t>B. ₹520.00</w:t>
            </w:r>
          </w:p>
        </w:tc>
      </w:tr>
      <w:tr>
        <w:tc>
          <w:tcPr>
            <w:tcW w:type="dxa" w:w="9972"/>
            <w:shd w:val="clear" w:color="auto" w:fill="FFFFFF"/>
          </w:tcPr>
          <w:p>
            <w:r>
              <w:rPr>
                <w:b w:val="0"/>
                <w:i w:val="0"/>
                <w:color w:val="404040"/>
                <w:sz w:val="22"/>
              </w:rPr>
              <w:t>C. ₹540.00</w:t>
            </w:r>
          </w:p>
        </w:tc>
      </w:tr>
      <w:tr>
        <w:tc>
          <w:tcPr>
            <w:tcW w:type="dxa" w:w="9972"/>
            <w:shd w:val="clear" w:color="auto" w:fill="FFFFFF"/>
          </w:tcPr>
          <w:p>
            <w:r>
              <w:rPr>
                <w:b w:val="0"/>
                <w:i w:val="0"/>
                <w:color w:val="404040"/>
                <w:sz w:val="22"/>
              </w:rPr>
              <w:t>D. ₹508.00</w:t>
            </w:r>
          </w:p>
        </w:tc>
      </w:tr>
      <w:tr>
        <w:tc>
          <w:tcPr>
            <w:tcW w:type="dxa" w:w="9972"/>
            <w:shd w:val="clear" w:color="auto" w:fill="F0F4FF"/>
          </w:tcPr>
          <w:p>
            <w:r>
              <w:rPr>
                <w:b/>
                <w:i w:val="0"/>
                <w:color w:val="007A87"/>
                <w:sz w:val="20"/>
              </w:rPr>
              <w:t xml:space="preserve">Rationale: </w:t>
            </w:r>
            <w:r>
              <w:rPr>
                <w:b w:val="0"/>
                <w:i w:val="0"/>
                <w:color w:val="404040"/>
                <w:sz w:val="20"/>
              </w:rPr>
              <w:t>Fair Forward Price = S₀ × (1+r)^T = ₹500 × (1.08)^0.5 = ₹500 × 1.0392 = ₹519.60 ≈ ₹520. The 6-month cost of carry at 8% p.a. adds approximately ₹20 to the spot price.</w:t>
            </w:r>
          </w:p>
        </w:tc>
      </w:tr>
    </w:tbl>
    <w:p/>
    <w:p>
      <w:r>
        <w:rPr>
          <w:b w:val="0"/>
          <w:i/>
          <w:color w:val="007A87"/>
          <w:sz w:val="20"/>
        </w:rPr>
        <w:t xml:space="preserve">  Video 2 of 3  |  EAR: Apply</w:t>
      </w:r>
    </w:p>
    <w:p>
      <w:r>
        <w:rPr>
          <w:b/>
          <w:i w:val="0"/>
          <w:color w:val="F0A800"/>
          <w:sz w:val="22"/>
        </w:rPr>
        <w:t>Q10.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The cost-of-carry model states that the forward price equals spot price plus the net cost of holding the asset until the forward date.</w:t>
            </w:r>
          </w:p>
        </w:tc>
        <w:tc>
          <w:tcPr>
            <w:tcW w:type="dxa" w:w="2493"/>
            <w:shd w:val="clear" w:color="auto" w:fill="E8F5E9"/>
          </w:tcPr>
          <w:p>
            <w:r>
              <w:rPr>
                <w:b/>
                <w:i w:val="0"/>
                <w:color w:val="1B5E20"/>
                <w:sz w:val="20"/>
              </w:rPr>
              <w:t>TRUE</w:t>
            </w:r>
          </w:p>
        </w:tc>
        <w:tc>
          <w:tcPr>
            <w:tcW w:type="dxa" w:w="2493"/>
          </w:tcPr>
          <w:p>
            <w:r>
              <w:rPr>
                <w:b w:val="0"/>
                <w:i w:val="0"/>
                <w:color w:val="404040"/>
                <w:sz w:val="18"/>
              </w:rPr>
              <w:t>Forward Price = Spot Price + Cost of Carry (interest) − Income from asset (dividends/convenience yield). This is the no-arbitrage relationship.</w:t>
            </w:r>
          </w:p>
        </w:tc>
      </w:tr>
      <w:tr>
        <w:tc>
          <w:tcPr>
            <w:tcW w:type="dxa" w:w="2493"/>
          </w:tcPr>
          <w:p>
            <w:r>
              <w:rPr>
                <w:b w:val="0"/>
                <w:i w:val="0"/>
                <w:sz w:val="20"/>
              </w:rPr>
              <w:t>2</w:t>
            </w:r>
          </w:p>
        </w:tc>
        <w:tc>
          <w:tcPr>
            <w:tcW w:type="dxa" w:w="2493"/>
          </w:tcPr>
          <w:p>
            <w:r>
              <w:rPr>
                <w:b w:val="0"/>
                <w:i w:val="0"/>
                <w:sz w:val="20"/>
              </w:rPr>
              <w:t>For a currency forward, the forward rate is determined by the interest rate differential between the two countries (Interest Rate Parity).</w:t>
            </w:r>
          </w:p>
        </w:tc>
        <w:tc>
          <w:tcPr>
            <w:tcW w:type="dxa" w:w="2493"/>
            <w:shd w:val="clear" w:color="auto" w:fill="E8F5E9"/>
          </w:tcPr>
          <w:p>
            <w:r>
              <w:rPr>
                <w:b/>
                <w:i w:val="0"/>
                <w:color w:val="1B5E20"/>
                <w:sz w:val="20"/>
              </w:rPr>
              <w:t>TRUE</w:t>
            </w:r>
          </w:p>
        </w:tc>
        <w:tc>
          <w:tcPr>
            <w:tcW w:type="dxa" w:w="2493"/>
          </w:tcPr>
          <w:p>
            <w:r>
              <w:rPr>
                <w:b w:val="0"/>
                <w:i w:val="0"/>
                <w:color w:val="404040"/>
                <w:sz w:val="18"/>
              </w:rPr>
              <w:t>Covered Interest Rate Parity: F = S × (1 + r_domestic)^T / (1 + r_foreign)^T. INR forward is always at a premium to spot because Indian interest rates exceed USD rates.</w:t>
            </w:r>
          </w:p>
        </w:tc>
      </w:tr>
      <w:tr>
        <w:tc>
          <w:tcPr>
            <w:tcW w:type="dxa" w:w="2493"/>
          </w:tcPr>
          <w:p>
            <w:r>
              <w:rPr>
                <w:b w:val="0"/>
                <w:i w:val="0"/>
                <w:sz w:val="20"/>
              </w:rPr>
              <w:t>3</w:t>
            </w:r>
          </w:p>
        </w:tc>
        <w:tc>
          <w:tcPr>
            <w:tcW w:type="dxa" w:w="2493"/>
          </w:tcPr>
          <w:p>
            <w:r>
              <w:rPr>
                <w:b w:val="0"/>
                <w:i w:val="0"/>
                <w:sz w:val="20"/>
              </w:rPr>
              <w:t>If the actual forward price is higher than the cost-of-carry fair value, there is no arbitrage opportunity.</w:t>
            </w:r>
          </w:p>
        </w:tc>
        <w:tc>
          <w:tcPr>
            <w:tcW w:type="dxa" w:w="2493"/>
            <w:shd w:val="clear" w:color="auto" w:fill="FFEBEE"/>
          </w:tcPr>
          <w:p>
            <w:r>
              <w:rPr>
                <w:b/>
                <w:i w:val="0"/>
                <w:color w:val="B71C1C"/>
                <w:sz w:val="20"/>
              </w:rPr>
              <w:t>FALSE</w:t>
            </w:r>
          </w:p>
        </w:tc>
        <w:tc>
          <w:tcPr>
            <w:tcW w:type="dxa" w:w="2493"/>
          </w:tcPr>
          <w:p>
            <w:r>
              <w:rPr>
                <w:b w:val="0"/>
                <w:i w:val="0"/>
                <w:color w:val="404040"/>
                <w:sz w:val="18"/>
              </w:rPr>
              <w:t>An overpriced forward creates a cash-and-carry arbitrage: sell the overpriced forward and buy the underlying spot. The profit is locked in at initiation.</w:t>
            </w:r>
          </w:p>
        </w:tc>
      </w:tr>
      <w:tr>
        <w:tc>
          <w:tcPr>
            <w:tcW w:type="dxa" w:w="2493"/>
          </w:tcPr>
          <w:p>
            <w:r>
              <w:rPr>
                <w:b w:val="0"/>
                <w:i w:val="0"/>
                <w:sz w:val="20"/>
              </w:rPr>
              <w:t>4</w:t>
            </w:r>
          </w:p>
        </w:tc>
        <w:tc>
          <w:tcPr>
            <w:tcW w:type="dxa" w:w="2493"/>
          </w:tcPr>
          <w:p>
            <w:r>
              <w:rPr>
                <w:b w:val="0"/>
                <w:i w:val="0"/>
                <w:sz w:val="20"/>
              </w:rPr>
              <w:t>A commodity with high convenience yield (e.g., oil during supply shortage) tends to have a forward price lower than spot (backwardation).</w:t>
            </w:r>
          </w:p>
        </w:tc>
        <w:tc>
          <w:tcPr>
            <w:tcW w:type="dxa" w:w="2493"/>
            <w:shd w:val="clear" w:color="auto" w:fill="E8F5E9"/>
          </w:tcPr>
          <w:p>
            <w:r>
              <w:rPr>
                <w:b/>
                <w:i w:val="0"/>
                <w:color w:val="1B5E20"/>
                <w:sz w:val="20"/>
              </w:rPr>
              <w:t>TRUE</w:t>
            </w:r>
          </w:p>
        </w:tc>
        <w:tc>
          <w:tcPr>
            <w:tcW w:type="dxa" w:w="2493"/>
          </w:tcPr>
          <w:p>
            <w:r>
              <w:rPr>
                <w:b w:val="0"/>
                <w:i w:val="0"/>
                <w:color w:val="404040"/>
                <w:sz w:val="18"/>
              </w:rPr>
              <w:t>High convenience yield reduces the forward price: F = S × e^(r+storage-convenience)×T. When convenience yield exceeds the carry cost, forward price &lt; spot = backwardation.</w:t>
            </w:r>
          </w:p>
        </w:tc>
      </w:tr>
    </w:tbl>
    <w:p/>
    <w:p>
      <w:r>
        <w:rPr>
          <w:b w:val="0"/>
          <w:i/>
          <w:color w:val="007A87"/>
          <w:sz w:val="20"/>
        </w:rPr>
        <w:t xml:space="preserve">  Video 3 of 3  |  EAR: Relate</w:t>
      </w:r>
    </w:p>
    <w:p>
      <w:r>
        <w:rPr>
          <w:b/>
          <w:i w:val="0"/>
          <w:color w:val="F0A800"/>
          <w:sz w:val="22"/>
        </w:rPr>
        <w:t>Q11.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The fair forward price for a non-dividend-paying asset is: F = [BLANK1] × (1+r)^T. For a USD/INR forward, the formula uses [BLANK2] (INR rate higher than USD rate means forward INR/USD is always [BLANK3] than spot).</w:t>
            </w:r>
          </w:p>
        </w:tc>
      </w:tr>
      <w:tr>
        <w:tc>
          <w:tcPr>
            <w:tcW w:type="dxa" w:w="9972"/>
            <w:shd w:val="clear" w:color="auto" w:fill="F5F5F5"/>
          </w:tcPr>
          <w:p>
            <w:r>
              <w:rPr>
                <w:b w:val="0"/>
                <w:i w:val="0"/>
                <w:color w:val="007A87"/>
                <w:sz w:val="20"/>
              </w:rPr>
              <w:t>Options: S₀ (spot price) / F (futures price) / P (par value)  |  Interest Rate Parity / Purchasing Power Parity / Covered Interest Arbitrage  |  higher / lower / equal</w:t>
            </w:r>
          </w:p>
        </w:tc>
      </w:tr>
      <w:tr>
        <w:tc>
          <w:tcPr>
            <w:tcW w:type="dxa" w:w="9972"/>
            <w:shd w:val="clear" w:color="auto" w:fill="E8F5E9"/>
          </w:tcPr>
          <w:p>
            <w:r>
              <w:rPr>
                <w:b/>
                <w:i w:val="0"/>
                <w:color w:val="1B5E20"/>
                <w:sz w:val="20"/>
              </w:rPr>
              <w:t>Answers: BLANK1 → S₀ (spot price)  |  BLANK2 → Interest Rate Parity  |  BLANK3 → higher (INR at forward premium to USD = more rupees per dollar)</w:t>
            </w:r>
          </w:p>
        </w:tc>
      </w:tr>
      <w:tr>
        <w:tc>
          <w:tcPr>
            <w:tcW w:type="dxa" w:w="9972"/>
            <w:shd w:val="clear" w:color="auto" w:fill="F0F4FF"/>
          </w:tcPr>
          <w:p>
            <w:r>
              <w:rPr>
                <w:b/>
                <w:i w:val="0"/>
                <w:color w:val="007A87"/>
                <w:sz w:val="20"/>
              </w:rPr>
              <w:t xml:space="preserve">Rationale: </w:t>
            </w:r>
            <w:r>
              <w:rPr>
                <w:b w:val="0"/>
                <w:i w:val="0"/>
                <w:color w:val="404040"/>
                <w:sz w:val="20"/>
              </w:rPr>
              <w:t>Cost-of-carry: F = S₀ × (1+r)^T. For currencies, Interest Rate Parity drives the forward rate. Since Indian rates &gt; USD rates, the INR always trades at a forward premium (more INR per USD) — you can lock in a higher INR/USD rate forward.</w:t>
            </w:r>
          </w:p>
        </w:tc>
      </w:tr>
    </w:tbl>
    <w:p/>
    <w:p>
      <w:r>
        <w:rPr>
          <w:b/>
          <w:i w:val="0"/>
          <w:color w:val="F0A800"/>
          <w:sz w:val="22"/>
        </w:rPr>
        <w:t>Q12.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Normal carry</w:t>
            </w:r>
          </w:p>
        </w:tc>
        <w:tc>
          <w:tcPr>
            <w:tcW w:type="dxa" w:w="3324"/>
          </w:tcPr>
          <w:p>
            <w:r>
              <w:rPr>
                <w:b w:val="0"/>
                <w:i w:val="0"/>
                <w:sz w:val="20"/>
              </w:rPr>
              <w:t>Contango: forward &gt; spot</w:t>
            </w:r>
          </w:p>
        </w:tc>
        <w:tc>
          <w:tcPr>
            <w:tcW w:type="dxa" w:w="3324"/>
            <w:shd w:val="clear" w:color="auto" w:fill="E8F5E9"/>
          </w:tcPr>
          <w:p>
            <w:r>
              <w:rPr>
                <w:b/>
                <w:i w:val="0"/>
                <w:color w:val="1B5E20"/>
                <w:sz w:val="20"/>
              </w:rPr>
              <w:t>Normal carry → Contango (F &gt; S)</w:t>
            </w:r>
          </w:p>
        </w:tc>
      </w:tr>
      <w:tr>
        <w:tc>
          <w:tcPr>
            <w:tcW w:type="dxa" w:w="3324"/>
          </w:tcPr>
          <w:p>
            <w:r>
              <w:rPr>
                <w:b w:val="0"/>
                <w:i w:val="0"/>
                <w:sz w:val="20"/>
              </w:rPr>
              <w:t>High convenience yield</w:t>
            </w:r>
          </w:p>
        </w:tc>
        <w:tc>
          <w:tcPr>
            <w:tcW w:type="dxa" w:w="3324"/>
          </w:tcPr>
          <w:p>
            <w:r>
              <w:rPr>
                <w:b w:val="0"/>
                <w:i w:val="0"/>
                <w:sz w:val="20"/>
              </w:rPr>
              <w:t>Backwardation: forward &lt; spot</w:t>
            </w:r>
          </w:p>
        </w:tc>
        <w:tc>
          <w:tcPr>
            <w:tcW w:type="dxa" w:w="3324"/>
            <w:shd w:val="clear" w:color="auto" w:fill="E8F5E9"/>
          </w:tcPr>
          <w:p>
            <w:r>
              <w:rPr>
                <w:b/>
                <w:i w:val="0"/>
                <w:color w:val="1B5E20"/>
                <w:sz w:val="20"/>
              </w:rPr>
              <w:t>High convenience yield → Backwardation (F &lt; S)</w:t>
            </w:r>
          </w:p>
        </w:tc>
      </w:tr>
      <w:tr>
        <w:tc>
          <w:tcPr>
            <w:tcW w:type="dxa" w:w="3324"/>
          </w:tcPr>
          <w:p>
            <w:r>
              <w:rPr>
                <w:b w:val="0"/>
                <w:i w:val="0"/>
                <w:sz w:val="20"/>
              </w:rPr>
              <w:t>Dividend-paying stock</w:t>
            </w:r>
          </w:p>
        </w:tc>
        <w:tc>
          <w:tcPr>
            <w:tcW w:type="dxa" w:w="3324"/>
          </w:tcPr>
          <w:p>
            <w:r>
              <w:rPr>
                <w:b w:val="0"/>
                <w:i w:val="0"/>
                <w:sz w:val="20"/>
              </w:rPr>
              <w:t>Forward price reduced by PV of dividends</w:t>
            </w:r>
          </w:p>
        </w:tc>
        <w:tc>
          <w:tcPr>
            <w:tcW w:type="dxa" w:w="3324"/>
            <w:shd w:val="clear" w:color="auto" w:fill="E8F5E9"/>
          </w:tcPr>
          <w:p>
            <w:r>
              <w:rPr>
                <w:b/>
                <w:i w:val="0"/>
                <w:color w:val="1B5E20"/>
                <w:sz w:val="20"/>
              </w:rPr>
              <w:t>Dividends → F = (S − PV(div)) × (1+r)^T</w:t>
            </w:r>
          </w:p>
        </w:tc>
      </w:tr>
      <w:tr>
        <w:tc>
          <w:tcPr>
            <w:tcW w:type="dxa" w:w="3324"/>
          </w:tcPr>
          <w:p>
            <w:r>
              <w:rPr>
                <w:b w:val="0"/>
                <w:i w:val="0"/>
                <w:sz w:val="20"/>
              </w:rPr>
              <w:t>Zero interest rate</w:t>
            </w:r>
          </w:p>
        </w:tc>
        <w:tc>
          <w:tcPr>
            <w:tcW w:type="dxa" w:w="3324"/>
          </w:tcPr>
          <w:p>
            <w:r>
              <w:rPr>
                <w:b w:val="0"/>
                <w:i w:val="0"/>
                <w:sz w:val="20"/>
              </w:rPr>
              <w:t>Forward price ≈ spot (minimal carry cost)</w:t>
            </w:r>
          </w:p>
        </w:tc>
        <w:tc>
          <w:tcPr>
            <w:tcW w:type="dxa" w:w="3324"/>
            <w:shd w:val="clear" w:color="auto" w:fill="E8F5E9"/>
          </w:tcPr>
          <w:p>
            <w:r>
              <w:rPr>
                <w:b/>
                <w:i w:val="0"/>
                <w:color w:val="1B5E20"/>
                <w:sz w:val="20"/>
              </w:rPr>
              <w:t>Zero rates → F ≈ S (carry cost negligible)</w:t>
            </w:r>
          </w:p>
        </w:tc>
      </w:tr>
      <w:tr>
        <w:tc>
          <w:tcPr>
            <w:tcW w:type="dxa" w:w="9972"/>
            <w:gridSpan w:val="3"/>
            <w:shd w:val="clear" w:color="auto" w:fill="F0F4FF"/>
          </w:tcPr>
          <w:p>
            <w:r>
              <w:rPr>
                <w:b/>
                <w:i w:val="0"/>
                <w:color w:val="007A87"/>
                <w:sz w:val="20"/>
              </w:rPr>
              <w:t xml:space="preserve">Rationale: </w:t>
            </w:r>
            <w:r>
              <w:rPr>
                <w:b w:val="0"/>
                <w:i w:val="0"/>
                <w:color w:val="404040"/>
                <w:sz w:val="20"/>
              </w:rPr>
              <w:t>Contango (F &gt; S): normal carry environment — cost to hold exceeds benefits. Backwardation (F &lt; S): convenience yield or dividend income exceeds carry cost. Both represent equilibrium pricing given current conditions.</w:t>
            </w:r>
          </w:p>
        </w:tc>
      </w:tr>
    </w:tbl>
    <w:p/>
    <w:p>
      <w:r>
        <w:br w:type="page"/>
      </w:r>
    </w:p>
    <w:p>
      <w:pPr>
        <w:jc w:val="left"/>
      </w:pPr>
      <w:r>
        <w:rPr>
          <w:b/>
          <w:i w:val="0"/>
          <w:color w:val="101C4F"/>
          <w:sz w:val="28"/>
        </w:rPr>
        <w:t>UOR: D6.4  |  Futures Contracts vs Forward Contracts</w:t>
      </w:r>
    </w:p>
    <w:p/>
    <w:p>
      <w:r>
        <w:rPr>
          <w:b w:val="0"/>
          <w:i/>
          <w:color w:val="007A87"/>
          <w:sz w:val="20"/>
        </w:rPr>
        <w:t xml:space="preserve">  Video 1 of 3  |  EAR: Explain</w:t>
      </w:r>
    </w:p>
    <w:p>
      <w:r>
        <w:rPr>
          <w:b/>
          <w:i w:val="0"/>
          <w:color w:val="F0A800"/>
          <w:sz w:val="22"/>
        </w:rPr>
        <w:t>Q13.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Which feature of exchange-traded futures contracts ELIMINATES bilateral counterparty risk?</w:t>
            </w:r>
          </w:p>
        </w:tc>
      </w:tr>
      <w:tr>
        <w:tc>
          <w:tcPr>
            <w:tcW w:type="dxa" w:w="9972"/>
            <w:shd w:val="clear" w:color="auto" w:fill="FFFFFF"/>
          </w:tcPr>
          <w:p>
            <w:r>
              <w:rPr>
                <w:b w:val="0"/>
                <w:i w:val="0"/>
                <w:color w:val="404040"/>
                <w:sz w:val="22"/>
              </w:rPr>
              <w:t>A. Daily mark-to-market settlement</w:t>
            </w:r>
          </w:p>
        </w:tc>
      </w:tr>
      <w:tr>
        <w:tc>
          <w:tcPr>
            <w:tcW w:type="dxa" w:w="9972"/>
            <w:shd w:val="clear" w:color="auto" w:fill="FFFFFF"/>
          </w:tcPr>
          <w:p>
            <w:r>
              <w:rPr>
                <w:b w:val="0"/>
                <w:i w:val="0"/>
                <w:color w:val="404040"/>
                <w:sz w:val="22"/>
              </w:rPr>
              <w:t>B. Standardised contract specifications</w:t>
            </w:r>
          </w:p>
        </w:tc>
      </w:tr>
      <w:tr>
        <w:tc>
          <w:tcPr>
            <w:tcW w:type="dxa" w:w="9972"/>
            <w:shd w:val="clear" w:color="auto" w:fill="E8F5E9"/>
          </w:tcPr>
          <w:p>
            <w:r>
              <w:rPr>
                <w:b/>
                <w:i w:val="0"/>
                <w:color w:val="1B5E20"/>
                <w:sz w:val="22"/>
              </w:rPr>
              <w:t>C. Central counterparty clearing (novation by clearing house)</w:t>
            </w:r>
          </w:p>
        </w:tc>
      </w:tr>
      <w:tr>
        <w:tc>
          <w:tcPr>
            <w:tcW w:type="dxa" w:w="9972"/>
            <w:shd w:val="clear" w:color="auto" w:fill="FFFFFF"/>
          </w:tcPr>
          <w:p>
            <w:r>
              <w:rPr>
                <w:b w:val="0"/>
                <w:i w:val="0"/>
                <w:color w:val="404040"/>
                <w:sz w:val="22"/>
              </w:rPr>
              <w:t>D. SEBI margin requirements</w:t>
            </w:r>
          </w:p>
        </w:tc>
      </w:tr>
      <w:tr>
        <w:tc>
          <w:tcPr>
            <w:tcW w:type="dxa" w:w="9972"/>
            <w:shd w:val="clear" w:color="auto" w:fill="F0F4FF"/>
          </w:tcPr>
          <w:p>
            <w:r>
              <w:rPr>
                <w:b/>
                <w:i w:val="0"/>
                <w:color w:val="007A87"/>
                <w:sz w:val="20"/>
              </w:rPr>
              <w:t xml:space="preserve">Rationale: </w:t>
            </w:r>
            <w:r>
              <w:rPr>
                <w:b w:val="0"/>
                <w:i w:val="0"/>
                <w:color w:val="404040"/>
                <w:sz w:val="20"/>
              </w:rPr>
              <w:t>Novation by the clearing house (NSCCL for NSE) is the mechanism that eliminates bilateral counterparty risk. The clearing house becomes buyer to every seller and seller to every buyer, breaking the direct link between the original two parties.</w:t>
            </w:r>
          </w:p>
        </w:tc>
      </w:tr>
    </w:tbl>
    <w:p/>
    <w:p>
      <w:r>
        <w:rPr>
          <w:b w:val="0"/>
          <w:i/>
          <w:color w:val="007A87"/>
          <w:sz w:val="20"/>
        </w:rPr>
        <w:t xml:space="preserve">  Video 2 of 3  |  EAR: Apply</w:t>
      </w:r>
    </w:p>
    <w:p>
      <w:r>
        <w:rPr>
          <w:b/>
          <w:i w:val="0"/>
          <w:color w:val="F0A800"/>
          <w:sz w:val="22"/>
        </w:rPr>
        <w:t>Q14.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Futures contracts are standardised in terms of contract size, expiry dates, and underlying quality.</w:t>
            </w:r>
          </w:p>
        </w:tc>
        <w:tc>
          <w:tcPr>
            <w:tcW w:type="dxa" w:w="2493"/>
            <w:shd w:val="clear" w:color="auto" w:fill="E8F5E9"/>
          </w:tcPr>
          <w:p>
            <w:r>
              <w:rPr>
                <w:b/>
                <w:i w:val="0"/>
                <w:color w:val="1B5E20"/>
                <w:sz w:val="20"/>
              </w:rPr>
              <w:t>TRUE</w:t>
            </w:r>
          </w:p>
        </w:tc>
        <w:tc>
          <w:tcPr>
            <w:tcW w:type="dxa" w:w="2493"/>
          </w:tcPr>
          <w:p>
            <w:r>
              <w:rPr>
                <w:b w:val="0"/>
                <w:i w:val="0"/>
                <w:color w:val="404040"/>
                <w:sz w:val="18"/>
              </w:rPr>
              <w:t>Standardisation is a defining feature of futures. Nifty 50 futures: lot size 25, expiry last Thursday of month. This standardisation creates liquidity and enables central clearing.</w:t>
            </w:r>
          </w:p>
        </w:tc>
      </w:tr>
      <w:tr>
        <w:tc>
          <w:tcPr>
            <w:tcW w:type="dxa" w:w="2493"/>
          </w:tcPr>
          <w:p>
            <w:r>
              <w:rPr>
                <w:b w:val="0"/>
                <w:i w:val="0"/>
                <w:sz w:val="20"/>
              </w:rPr>
              <w:t>2</w:t>
            </w:r>
          </w:p>
        </w:tc>
        <w:tc>
          <w:tcPr>
            <w:tcW w:type="dxa" w:w="2493"/>
          </w:tcPr>
          <w:p>
            <w:r>
              <w:rPr>
                <w:b w:val="0"/>
                <w:i w:val="0"/>
                <w:sz w:val="20"/>
              </w:rPr>
              <w:t>An investor holding a long futures position must always take physical delivery of the underlying at expiry.</w:t>
            </w:r>
          </w:p>
        </w:tc>
        <w:tc>
          <w:tcPr>
            <w:tcW w:type="dxa" w:w="2493"/>
            <w:shd w:val="clear" w:color="auto" w:fill="FFEBEE"/>
          </w:tcPr>
          <w:p>
            <w:r>
              <w:rPr>
                <w:b/>
                <w:i w:val="0"/>
                <w:color w:val="B71C1C"/>
                <w:sz w:val="20"/>
              </w:rPr>
              <w:t>FALSE</w:t>
            </w:r>
          </w:p>
        </w:tc>
        <w:tc>
          <w:tcPr>
            <w:tcW w:type="dxa" w:w="2493"/>
          </w:tcPr>
          <w:p>
            <w:r>
              <w:rPr>
                <w:b w:val="0"/>
                <w:i w:val="0"/>
                <w:color w:val="404040"/>
                <w:sz w:val="18"/>
              </w:rPr>
              <w:t>Most futures in India are cash-settled (Nifty, Bank Nifty, USD/INR, individual stocks). Physical delivery is possible for some commodity futures (MCX gold, silver) but requires specific actions.</w:t>
            </w:r>
          </w:p>
        </w:tc>
      </w:tr>
      <w:tr>
        <w:tc>
          <w:tcPr>
            <w:tcW w:type="dxa" w:w="2493"/>
          </w:tcPr>
          <w:p>
            <w:r>
              <w:rPr>
                <w:b w:val="0"/>
                <w:i w:val="0"/>
                <w:sz w:val="20"/>
              </w:rPr>
              <w:t>3</w:t>
            </w:r>
          </w:p>
        </w:tc>
        <w:tc>
          <w:tcPr>
            <w:tcW w:type="dxa" w:w="2493"/>
          </w:tcPr>
          <w:p>
            <w:r>
              <w:rPr>
                <w:b w:val="0"/>
                <w:i w:val="0"/>
                <w:sz w:val="20"/>
              </w:rPr>
              <w:t>Forward contracts require daily margin payments similar to futures.</w:t>
            </w:r>
          </w:p>
        </w:tc>
        <w:tc>
          <w:tcPr>
            <w:tcW w:type="dxa" w:w="2493"/>
            <w:shd w:val="clear" w:color="auto" w:fill="FFEBEE"/>
          </w:tcPr>
          <w:p>
            <w:r>
              <w:rPr>
                <w:b/>
                <w:i w:val="0"/>
                <w:color w:val="B71C1C"/>
                <w:sz w:val="20"/>
              </w:rPr>
              <w:t>FALSE</w:t>
            </w:r>
          </w:p>
        </w:tc>
        <w:tc>
          <w:tcPr>
            <w:tcW w:type="dxa" w:w="2493"/>
          </w:tcPr>
          <w:p>
            <w:r>
              <w:rPr>
                <w:b w:val="0"/>
                <w:i w:val="0"/>
                <w:color w:val="404040"/>
                <w:sz w:val="18"/>
              </w:rPr>
              <w:t>Forwards have no daily margin requirement — losses accumulate until settlement date. This is one reason forwards carry more counterparty risk than futures.</w:t>
            </w:r>
          </w:p>
        </w:tc>
      </w:tr>
      <w:tr>
        <w:tc>
          <w:tcPr>
            <w:tcW w:type="dxa" w:w="2493"/>
          </w:tcPr>
          <w:p>
            <w:r>
              <w:rPr>
                <w:b w:val="0"/>
                <w:i w:val="0"/>
                <w:sz w:val="20"/>
              </w:rPr>
              <w:t>4</w:t>
            </w:r>
          </w:p>
        </w:tc>
        <w:tc>
          <w:tcPr>
            <w:tcW w:type="dxa" w:w="2493"/>
          </w:tcPr>
          <w:p>
            <w:r>
              <w:rPr>
                <w:b w:val="0"/>
                <w:i w:val="0"/>
                <w:sz w:val="20"/>
              </w:rPr>
              <w:t>In India, NSCCL (NSE Clearing Ltd) acts as the central counterparty for all NSE futures trades.</w:t>
            </w:r>
          </w:p>
        </w:tc>
        <w:tc>
          <w:tcPr>
            <w:tcW w:type="dxa" w:w="2493"/>
            <w:shd w:val="clear" w:color="auto" w:fill="E8F5E9"/>
          </w:tcPr>
          <w:p>
            <w:r>
              <w:rPr>
                <w:b/>
                <w:i w:val="0"/>
                <w:color w:val="1B5E20"/>
                <w:sz w:val="20"/>
              </w:rPr>
              <w:t>TRUE</w:t>
            </w:r>
          </w:p>
        </w:tc>
        <w:tc>
          <w:tcPr>
            <w:tcW w:type="dxa" w:w="2493"/>
          </w:tcPr>
          <w:p>
            <w:r>
              <w:rPr>
                <w:b w:val="0"/>
                <w:i w:val="0"/>
                <w:color w:val="404040"/>
                <w:sz w:val="18"/>
              </w:rPr>
              <w:t>NSCCL novates all NSE trades — becoming buyer to every seller and seller to every buyer. It guarantees settlement using the Settlement Guarantee Fund if any member defaults.</w:t>
            </w:r>
          </w:p>
        </w:tc>
      </w:tr>
    </w:tbl>
    <w:p/>
    <w:p>
      <w:r>
        <w:rPr>
          <w:b w:val="0"/>
          <w:i/>
          <w:color w:val="007A87"/>
          <w:sz w:val="20"/>
        </w:rPr>
        <w:t xml:space="preserve">  Video 3 of 3  |  EAR: Relate</w:t>
      </w:r>
    </w:p>
    <w:p>
      <w:r>
        <w:rPr>
          <w:b/>
          <w:i w:val="0"/>
          <w:color w:val="F0A800"/>
          <w:sz w:val="22"/>
        </w:rPr>
        <w:t>Q15.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An airline needs to hedge 1.47 million barrels of jet fuel for a non-standard date next month. Since no exchange-traded jet fuel futures exist with that exact [BLANK1], the airline uses an OTC [BLANK2] with a bank. However, this creates [BLANK3] risk — the bank could default before settlement.</w:t>
            </w:r>
          </w:p>
        </w:tc>
      </w:tr>
      <w:tr>
        <w:tc>
          <w:tcPr>
            <w:tcW w:type="dxa" w:w="9972"/>
            <w:shd w:val="clear" w:color="auto" w:fill="F5F5F5"/>
          </w:tcPr>
          <w:p>
            <w:r>
              <w:rPr>
                <w:b w:val="0"/>
                <w:i w:val="0"/>
                <w:color w:val="007A87"/>
                <w:sz w:val="20"/>
              </w:rPr>
              <w:t>Options: date and quantity / strike price / basis  |  forward / futures / option  |  counterparty / market / liquidity</w:t>
            </w:r>
          </w:p>
        </w:tc>
      </w:tr>
      <w:tr>
        <w:tc>
          <w:tcPr>
            <w:tcW w:type="dxa" w:w="9972"/>
            <w:shd w:val="clear" w:color="auto" w:fill="E8F5E9"/>
          </w:tcPr>
          <w:p>
            <w:r>
              <w:rPr>
                <w:b/>
                <w:i w:val="0"/>
                <w:color w:val="1B5E20"/>
                <w:sz w:val="20"/>
              </w:rPr>
              <w:t>Answers: BLANK1 → date and quantity (non-standard)  |  BLANK2 → forward  |  BLANK3 → counterparty</w:t>
            </w:r>
          </w:p>
        </w:tc>
      </w:tr>
      <w:tr>
        <w:tc>
          <w:tcPr>
            <w:tcW w:type="dxa" w:w="9972"/>
            <w:shd w:val="clear" w:color="auto" w:fill="F0F4FF"/>
          </w:tcPr>
          <w:p>
            <w:r>
              <w:rPr>
                <w:b/>
                <w:i w:val="0"/>
                <w:color w:val="007A87"/>
                <w:sz w:val="20"/>
              </w:rPr>
              <w:t xml:space="preserve">Rationale: </w:t>
            </w:r>
            <w:r>
              <w:rPr>
                <w:b w:val="0"/>
                <w:i w:val="0"/>
                <w:color w:val="404040"/>
                <w:sz w:val="20"/>
              </w:rPr>
              <w:t>When exchange-listed futures don't match the exact hedge requirement (non-standard date/quantity), OTC forwards are used. The trade-off: customisation vs. counterparty risk. Airlines managing large fuel hedges use both: futures for liquid standard amounts, forwards for residual non-standard exposure.</w:t>
            </w:r>
          </w:p>
        </w:tc>
      </w:tr>
    </w:tbl>
    <w:p/>
    <w:p>
      <w:r>
        <w:rPr>
          <w:b/>
          <w:i w:val="0"/>
          <w:color w:val="F0A800"/>
          <w:sz w:val="22"/>
        </w:rPr>
        <w:t>Q16.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Standardised lot size</w:t>
            </w:r>
          </w:p>
        </w:tc>
        <w:tc>
          <w:tcPr>
            <w:tcW w:type="dxa" w:w="3324"/>
          </w:tcPr>
          <w:p>
            <w:r>
              <w:rPr>
                <w:b w:val="0"/>
                <w:i w:val="0"/>
                <w:sz w:val="20"/>
              </w:rPr>
              <w:t>Futures</w:t>
            </w:r>
          </w:p>
        </w:tc>
        <w:tc>
          <w:tcPr>
            <w:tcW w:type="dxa" w:w="3324"/>
            <w:shd w:val="clear" w:color="auto" w:fill="E8F5E9"/>
          </w:tcPr>
          <w:p>
            <w:r>
              <w:rPr>
                <w:b/>
                <w:i w:val="0"/>
                <w:color w:val="1B5E20"/>
                <w:sz w:val="20"/>
              </w:rPr>
              <w:t>Standardised lot size → Futures</w:t>
            </w:r>
          </w:p>
        </w:tc>
      </w:tr>
      <w:tr>
        <w:tc>
          <w:tcPr>
            <w:tcW w:type="dxa" w:w="3324"/>
          </w:tcPr>
          <w:p>
            <w:r>
              <w:rPr>
                <w:b w:val="0"/>
                <w:i w:val="0"/>
                <w:sz w:val="20"/>
              </w:rPr>
              <w:t>Customised notional</w:t>
            </w:r>
          </w:p>
        </w:tc>
        <w:tc>
          <w:tcPr>
            <w:tcW w:type="dxa" w:w="3324"/>
          </w:tcPr>
          <w:p>
            <w:r>
              <w:rPr>
                <w:b w:val="0"/>
                <w:i w:val="0"/>
                <w:sz w:val="20"/>
              </w:rPr>
              <w:t>Forward</w:t>
            </w:r>
          </w:p>
        </w:tc>
        <w:tc>
          <w:tcPr>
            <w:tcW w:type="dxa" w:w="3324"/>
            <w:shd w:val="clear" w:color="auto" w:fill="E8F5E9"/>
          </w:tcPr>
          <w:p>
            <w:r>
              <w:rPr>
                <w:b/>
                <w:i w:val="0"/>
                <w:color w:val="1B5E20"/>
                <w:sz w:val="20"/>
              </w:rPr>
              <w:t>Customised notional → Forward</w:t>
            </w:r>
          </w:p>
        </w:tc>
      </w:tr>
      <w:tr>
        <w:tc>
          <w:tcPr>
            <w:tcW w:type="dxa" w:w="3324"/>
          </w:tcPr>
          <w:p>
            <w:r>
              <w:rPr>
                <w:b w:val="0"/>
                <w:i w:val="0"/>
                <w:sz w:val="20"/>
              </w:rPr>
              <w:t>Daily MTM settlement</w:t>
            </w:r>
          </w:p>
        </w:tc>
        <w:tc>
          <w:tcPr>
            <w:tcW w:type="dxa" w:w="3324"/>
          </w:tcPr>
          <w:p>
            <w:r>
              <w:rPr>
                <w:b w:val="0"/>
                <w:i w:val="0"/>
                <w:sz w:val="20"/>
              </w:rPr>
              <w:t>Futures</w:t>
            </w:r>
          </w:p>
        </w:tc>
        <w:tc>
          <w:tcPr>
            <w:tcW w:type="dxa" w:w="3324"/>
            <w:shd w:val="clear" w:color="auto" w:fill="E8F5E9"/>
          </w:tcPr>
          <w:p>
            <w:r>
              <w:rPr>
                <w:b/>
                <w:i w:val="0"/>
                <w:color w:val="1B5E20"/>
                <w:sz w:val="20"/>
              </w:rPr>
              <w:t>Daily MTM settlement → Futures</w:t>
            </w:r>
          </w:p>
        </w:tc>
      </w:tr>
      <w:tr>
        <w:tc>
          <w:tcPr>
            <w:tcW w:type="dxa" w:w="3324"/>
          </w:tcPr>
          <w:p>
            <w:r>
              <w:rPr>
                <w:b w:val="0"/>
                <w:i w:val="0"/>
                <w:sz w:val="20"/>
              </w:rPr>
              <w:t>No daily cash flows</w:t>
            </w:r>
          </w:p>
        </w:tc>
        <w:tc>
          <w:tcPr>
            <w:tcW w:type="dxa" w:w="3324"/>
          </w:tcPr>
          <w:p>
            <w:r>
              <w:rPr>
                <w:b w:val="0"/>
                <w:i w:val="0"/>
                <w:sz w:val="20"/>
              </w:rPr>
              <w:t>Forward</w:t>
            </w:r>
          </w:p>
        </w:tc>
        <w:tc>
          <w:tcPr>
            <w:tcW w:type="dxa" w:w="3324"/>
            <w:shd w:val="clear" w:color="auto" w:fill="E8F5E9"/>
          </w:tcPr>
          <w:p>
            <w:r>
              <w:rPr>
                <w:b/>
                <w:i w:val="0"/>
                <w:color w:val="1B5E20"/>
                <w:sz w:val="20"/>
              </w:rPr>
              <w:t>No daily cash flows until settlement → Forward</w:t>
            </w:r>
          </w:p>
        </w:tc>
      </w:tr>
      <w:tr>
        <w:tc>
          <w:tcPr>
            <w:tcW w:type="dxa" w:w="9972"/>
            <w:gridSpan w:val="3"/>
            <w:shd w:val="clear" w:color="auto" w:fill="F0F4FF"/>
          </w:tcPr>
          <w:p>
            <w:r>
              <w:rPr>
                <w:b/>
                <w:i w:val="0"/>
                <w:color w:val="007A87"/>
                <w:sz w:val="20"/>
              </w:rPr>
              <w:t xml:space="preserve">Rationale: </w:t>
            </w:r>
            <w:r>
              <w:rPr>
                <w:b w:val="0"/>
                <w:i w:val="0"/>
                <w:color w:val="404040"/>
                <w:sz w:val="20"/>
              </w:rPr>
              <w:t>Futures: standardised, exchange-traded, daily MTM, cleared. Forwards: customised, OTC, no daily MTM, counterparty risk. The choice depends on need for flexibility vs. safety and liquidity.</w:t>
            </w:r>
          </w:p>
        </w:tc>
      </w:tr>
    </w:tbl>
    <w:p/>
    <w:p>
      <w:r>
        <w:br w:type="page"/>
      </w:r>
    </w:p>
    <w:p>
      <w:pPr>
        <w:jc w:val="left"/>
      </w:pPr>
      <w:r>
        <w:rPr>
          <w:b/>
          <w:i w:val="0"/>
          <w:color w:val="101C4F"/>
          <w:sz w:val="28"/>
        </w:rPr>
        <w:t>UOR: D6.5  |  Futures Market Structure in India</w:t>
      </w:r>
    </w:p>
    <w:p/>
    <w:p>
      <w:r>
        <w:rPr>
          <w:b w:val="0"/>
          <w:i/>
          <w:color w:val="007A87"/>
          <w:sz w:val="20"/>
        </w:rPr>
        <w:t xml:space="preserve">  Video 1 of 3  |  EAR: Explain</w:t>
      </w:r>
    </w:p>
    <w:p>
      <w:r>
        <w:rPr>
          <w:b/>
          <w:i w:val="0"/>
          <w:color w:val="F0A800"/>
          <w:sz w:val="22"/>
        </w:rPr>
        <w:t>Q17.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Which Indian exchange and its clearing corporation handles equity index and currency derivatives with the highest trading volumes?</w:t>
            </w:r>
          </w:p>
        </w:tc>
      </w:tr>
      <w:tr>
        <w:tc>
          <w:tcPr>
            <w:tcW w:type="dxa" w:w="9972"/>
            <w:shd w:val="clear" w:color="auto" w:fill="FFFFFF"/>
          </w:tcPr>
          <w:p>
            <w:r>
              <w:rPr>
                <w:b w:val="0"/>
                <w:i w:val="0"/>
                <w:color w:val="404040"/>
                <w:sz w:val="22"/>
              </w:rPr>
              <w:t>A. BSE and ICCL</w:t>
            </w:r>
          </w:p>
        </w:tc>
      </w:tr>
      <w:tr>
        <w:tc>
          <w:tcPr>
            <w:tcW w:type="dxa" w:w="9972"/>
            <w:shd w:val="clear" w:color="auto" w:fill="E8F5E9"/>
          </w:tcPr>
          <w:p>
            <w:r>
              <w:rPr>
                <w:b/>
                <w:i w:val="0"/>
                <w:color w:val="1B5E20"/>
                <w:sz w:val="22"/>
              </w:rPr>
              <w:t>B. NSE and NSCCL</w:t>
            </w:r>
          </w:p>
        </w:tc>
      </w:tr>
      <w:tr>
        <w:tc>
          <w:tcPr>
            <w:tcW w:type="dxa" w:w="9972"/>
            <w:shd w:val="clear" w:color="auto" w:fill="FFFFFF"/>
          </w:tcPr>
          <w:p>
            <w:r>
              <w:rPr>
                <w:b w:val="0"/>
                <w:i w:val="0"/>
                <w:color w:val="404040"/>
                <w:sz w:val="22"/>
              </w:rPr>
              <w:t>C. MCX and MCX-SX Clearing</w:t>
            </w:r>
          </w:p>
        </w:tc>
      </w:tr>
      <w:tr>
        <w:tc>
          <w:tcPr>
            <w:tcW w:type="dxa" w:w="9972"/>
            <w:shd w:val="clear" w:color="auto" w:fill="FFFFFF"/>
          </w:tcPr>
          <w:p>
            <w:r>
              <w:rPr>
                <w:b w:val="0"/>
                <w:i w:val="0"/>
                <w:color w:val="404040"/>
                <w:sz w:val="22"/>
              </w:rPr>
              <w:t>D. NCDEX and NCDEX Clearing</w:t>
            </w:r>
          </w:p>
        </w:tc>
      </w:tr>
      <w:tr>
        <w:tc>
          <w:tcPr>
            <w:tcW w:type="dxa" w:w="9972"/>
            <w:shd w:val="clear" w:color="auto" w:fill="F0F4FF"/>
          </w:tcPr>
          <w:p>
            <w:r>
              <w:rPr>
                <w:b/>
                <w:i w:val="0"/>
                <w:color w:val="007A87"/>
                <w:sz w:val="20"/>
              </w:rPr>
              <w:t xml:space="preserve">Rationale: </w:t>
            </w:r>
            <w:r>
              <w:rPr>
                <w:b w:val="0"/>
                <w:i w:val="0"/>
                <w:color w:val="404040"/>
                <w:sz w:val="20"/>
              </w:rPr>
              <w:t>NSE (National Stock Exchange) and its clearing arm NSCCL dominate Indian equity derivatives — Nifty 50 and Bank Nifty futures/options are among the world's most actively traded contracts. NSE's derivatives segment handles daily turnover of ₹1.5–2 lakh crore.</w:t>
            </w:r>
          </w:p>
        </w:tc>
      </w:tr>
    </w:tbl>
    <w:p/>
    <w:p>
      <w:r>
        <w:rPr>
          <w:b w:val="0"/>
          <w:i/>
          <w:color w:val="007A87"/>
          <w:sz w:val="20"/>
        </w:rPr>
        <w:t xml:space="preserve">  Video 2 of 3  |  EAR: Apply</w:t>
      </w:r>
    </w:p>
    <w:p>
      <w:r>
        <w:rPr>
          <w:b/>
          <w:i w:val="0"/>
          <w:color w:val="F0A800"/>
          <w:sz w:val="22"/>
        </w:rPr>
        <w:t>Q18.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MCX (Multi Commodity Exchange) specialises in agricultural commodity futures like wheat and soybean.</w:t>
            </w:r>
          </w:p>
        </w:tc>
        <w:tc>
          <w:tcPr>
            <w:tcW w:type="dxa" w:w="2493"/>
            <w:shd w:val="clear" w:color="auto" w:fill="FFEBEE"/>
          </w:tcPr>
          <w:p>
            <w:r>
              <w:rPr>
                <w:b/>
                <w:i w:val="0"/>
                <w:color w:val="B71C1C"/>
                <w:sz w:val="20"/>
              </w:rPr>
              <w:t>FALSE</w:t>
            </w:r>
          </w:p>
        </w:tc>
        <w:tc>
          <w:tcPr>
            <w:tcW w:type="dxa" w:w="2493"/>
          </w:tcPr>
          <w:p>
            <w:r>
              <w:rPr>
                <w:b w:val="0"/>
                <w:i w:val="0"/>
                <w:color w:val="404040"/>
                <w:sz w:val="18"/>
              </w:rPr>
              <w:t>MCX specialises in metals and energy futures (gold, silver, copper, crude oil, natural gas). NCDEX (National Commodity and Derivatives Exchange) focuses on agricultural commodities.</w:t>
            </w:r>
          </w:p>
        </w:tc>
      </w:tr>
      <w:tr>
        <w:tc>
          <w:tcPr>
            <w:tcW w:type="dxa" w:w="2493"/>
          </w:tcPr>
          <w:p>
            <w:r>
              <w:rPr>
                <w:b w:val="0"/>
                <w:i w:val="0"/>
                <w:sz w:val="20"/>
              </w:rPr>
              <w:t>2</w:t>
            </w:r>
          </w:p>
        </w:tc>
        <w:tc>
          <w:tcPr>
            <w:tcW w:type="dxa" w:w="2493"/>
          </w:tcPr>
          <w:p>
            <w:r>
              <w:rPr>
                <w:b w:val="0"/>
                <w:i w:val="0"/>
                <w:sz w:val="20"/>
              </w:rPr>
              <w:t>SPAN (Standard Portfolio Analysis of Risk) is the system used by NSCCL to calculate initial margin requirements.</w:t>
            </w:r>
          </w:p>
        </w:tc>
        <w:tc>
          <w:tcPr>
            <w:tcW w:type="dxa" w:w="2493"/>
            <w:shd w:val="clear" w:color="auto" w:fill="E8F5E9"/>
          </w:tcPr>
          <w:p>
            <w:r>
              <w:rPr>
                <w:b/>
                <w:i w:val="0"/>
                <w:color w:val="1B5E20"/>
                <w:sz w:val="20"/>
              </w:rPr>
              <w:t>TRUE</w:t>
            </w:r>
          </w:p>
        </w:tc>
        <w:tc>
          <w:tcPr>
            <w:tcW w:type="dxa" w:w="2493"/>
          </w:tcPr>
          <w:p>
            <w:r>
              <w:rPr>
                <w:b w:val="0"/>
                <w:i w:val="0"/>
                <w:color w:val="404040"/>
                <w:sz w:val="18"/>
              </w:rPr>
              <w:t>SPAN simulates 16 market scenarios (price and volatility moves) and sets the margin equal to the worst-case single-day portfolio loss. It is the global standard for futures margin calculation.</w:t>
            </w:r>
          </w:p>
        </w:tc>
      </w:tr>
      <w:tr>
        <w:tc>
          <w:tcPr>
            <w:tcW w:type="dxa" w:w="2493"/>
          </w:tcPr>
          <w:p>
            <w:r>
              <w:rPr>
                <w:b w:val="0"/>
                <w:i w:val="0"/>
                <w:sz w:val="20"/>
              </w:rPr>
              <w:t>3</w:t>
            </w:r>
          </w:p>
        </w:tc>
        <w:tc>
          <w:tcPr>
            <w:tcW w:type="dxa" w:w="2493"/>
          </w:tcPr>
          <w:p>
            <w:r>
              <w:rPr>
                <w:b w:val="0"/>
                <w:i w:val="0"/>
                <w:sz w:val="20"/>
              </w:rPr>
              <w:t>SEBI position limits restrict how many contracts a single market participant can hold in a given futures contract.</w:t>
            </w:r>
          </w:p>
        </w:tc>
        <w:tc>
          <w:tcPr>
            <w:tcW w:type="dxa" w:w="2493"/>
            <w:shd w:val="clear" w:color="auto" w:fill="E8F5E9"/>
          </w:tcPr>
          <w:p>
            <w:r>
              <w:rPr>
                <w:b/>
                <w:i w:val="0"/>
                <w:color w:val="1B5E20"/>
                <w:sz w:val="20"/>
              </w:rPr>
              <w:t>TRUE</w:t>
            </w:r>
          </w:p>
        </w:tc>
        <w:tc>
          <w:tcPr>
            <w:tcW w:type="dxa" w:w="2493"/>
          </w:tcPr>
          <w:p>
            <w:r>
              <w:rPr>
                <w:b w:val="0"/>
                <w:i w:val="0"/>
                <w:color w:val="404040"/>
                <w:sz w:val="18"/>
              </w:rPr>
              <w:t>SEBI sets position limits to prevent market manipulation and concentration. Limits are set for individual clients, proprietary trading, and FIIs. Breaches trigger regulatory action.</w:t>
            </w:r>
          </w:p>
        </w:tc>
      </w:tr>
      <w:tr>
        <w:tc>
          <w:tcPr>
            <w:tcW w:type="dxa" w:w="2493"/>
          </w:tcPr>
          <w:p>
            <w:r>
              <w:rPr>
                <w:b w:val="0"/>
                <w:i w:val="0"/>
                <w:sz w:val="20"/>
              </w:rPr>
              <w:t>4</w:t>
            </w:r>
          </w:p>
        </w:tc>
        <w:tc>
          <w:tcPr>
            <w:tcW w:type="dxa" w:w="2493"/>
          </w:tcPr>
          <w:p>
            <w:r>
              <w:rPr>
                <w:b w:val="0"/>
                <w:i w:val="0"/>
                <w:sz w:val="20"/>
              </w:rPr>
              <w:t>GIFT Nifty (formerly SGX Nifty) allows international investors to trade Nifty futures outside Indian market hours.</w:t>
            </w:r>
          </w:p>
        </w:tc>
        <w:tc>
          <w:tcPr>
            <w:tcW w:type="dxa" w:w="2493"/>
            <w:shd w:val="clear" w:color="auto" w:fill="E8F5E9"/>
          </w:tcPr>
          <w:p>
            <w:r>
              <w:rPr>
                <w:b/>
                <w:i w:val="0"/>
                <w:color w:val="1B5E20"/>
                <w:sz w:val="20"/>
              </w:rPr>
              <w:t>TRUE</w:t>
            </w:r>
          </w:p>
        </w:tc>
        <w:tc>
          <w:tcPr>
            <w:tcW w:type="dxa" w:w="2493"/>
          </w:tcPr>
          <w:p>
            <w:r>
              <w:rPr>
                <w:b w:val="0"/>
                <w:i w:val="0"/>
                <w:color w:val="404040"/>
                <w:sz w:val="18"/>
              </w:rPr>
              <w:t>GIFT Nifty is traded at NSE International Exchange in GIFT City, Gujarat. It allows nearly 24-hour trading of Nifty futures, enabling global investors to react to overnight news before Indian markets open.</w:t>
            </w:r>
          </w:p>
        </w:tc>
      </w:tr>
    </w:tbl>
    <w:p/>
    <w:p>
      <w:r>
        <w:rPr>
          <w:b w:val="0"/>
          <w:i/>
          <w:color w:val="007A87"/>
          <w:sz w:val="20"/>
        </w:rPr>
        <w:t xml:space="preserve">  Video 3 of 3  |  EAR: Relate</w:t>
      </w:r>
    </w:p>
    <w:p>
      <w:r>
        <w:rPr>
          <w:b/>
          <w:i w:val="0"/>
          <w:color w:val="F0A800"/>
          <w:sz w:val="22"/>
        </w:rPr>
        <w:t>Q19.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India's futures market has three layers: [BLANK1] (NSE, BSE, MCX, NCDEX) where trading occurs; [BLANK2] (NSCCL, ICCL, MCX Clearing) that guarantee settlement as central counterparties; and [BLANK3] (SEBI for exchange-traded, RBI for OTC) that set rules, approve contracts, and enforce compliance.</w:t>
            </w:r>
          </w:p>
        </w:tc>
      </w:tr>
      <w:tr>
        <w:tc>
          <w:tcPr>
            <w:tcW w:type="dxa" w:w="9972"/>
            <w:shd w:val="clear" w:color="auto" w:fill="F5F5F5"/>
          </w:tcPr>
          <w:p>
            <w:r>
              <w:rPr>
                <w:b w:val="0"/>
                <w:i w:val="0"/>
                <w:color w:val="007A87"/>
                <w:sz w:val="20"/>
              </w:rPr>
              <w:t>Options: Exchanges / Clearing Houses / Regulators  |  Regulators / Exchanges / Clearing Houses  |  Clearing Houses / Exchanges / Regulators</w:t>
            </w:r>
          </w:p>
        </w:tc>
      </w:tr>
      <w:tr>
        <w:tc>
          <w:tcPr>
            <w:tcW w:type="dxa" w:w="9972"/>
            <w:shd w:val="clear" w:color="auto" w:fill="E8F5E9"/>
          </w:tcPr>
          <w:p>
            <w:r>
              <w:rPr>
                <w:b/>
                <w:i w:val="0"/>
                <w:color w:val="1B5E20"/>
                <w:sz w:val="20"/>
              </w:rPr>
              <w:t>Answers: BLANK1 → Exchanges (NSE, BSE, MCX, NCDEX)  |  BLANK2 → Clearing Corporations (NSCCL, ICCL)  |  BLANK3 → Regulators (SEBI/RBI)</w:t>
            </w:r>
          </w:p>
        </w:tc>
      </w:tr>
      <w:tr>
        <w:tc>
          <w:tcPr>
            <w:tcW w:type="dxa" w:w="9972"/>
            <w:shd w:val="clear" w:color="auto" w:fill="F0F4FF"/>
          </w:tcPr>
          <w:p>
            <w:r>
              <w:rPr>
                <w:b/>
                <w:i w:val="0"/>
                <w:color w:val="007A87"/>
                <w:sz w:val="20"/>
              </w:rPr>
              <w:t xml:space="preserve">Rationale: </w:t>
            </w:r>
            <w:r>
              <w:rPr>
                <w:b w:val="0"/>
                <w:i w:val="0"/>
                <w:color w:val="404040"/>
                <w:sz w:val="20"/>
              </w:rPr>
              <w:t>Three-tier structure: Exchanges (trading), Clearing Corporations (settlement guarantee), Regulators (SEBI/RBI — rules and oversight). This architecture gives India's derivatives market its safety and transparency.</w:t>
            </w:r>
          </w:p>
        </w:tc>
      </w:tr>
    </w:tbl>
    <w:p/>
    <w:p>
      <w:r>
        <w:rPr>
          <w:b/>
          <w:i w:val="0"/>
          <w:color w:val="F0A800"/>
          <w:sz w:val="22"/>
        </w:rPr>
        <w:t>Q20.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NSE</w:t>
            </w:r>
          </w:p>
        </w:tc>
        <w:tc>
          <w:tcPr>
            <w:tcW w:type="dxa" w:w="3324"/>
          </w:tcPr>
          <w:p>
            <w:r>
              <w:rPr>
                <w:b w:val="0"/>
                <w:i w:val="0"/>
                <w:sz w:val="20"/>
              </w:rPr>
              <w:t>Nifty 50, Bank Nifty, USD/INR futures</w:t>
            </w:r>
          </w:p>
        </w:tc>
        <w:tc>
          <w:tcPr>
            <w:tcW w:type="dxa" w:w="3324"/>
            <w:shd w:val="clear" w:color="auto" w:fill="E8F5E9"/>
          </w:tcPr>
          <w:p>
            <w:r>
              <w:rPr>
                <w:b/>
                <w:i w:val="0"/>
                <w:color w:val="1B5E20"/>
                <w:sz w:val="20"/>
              </w:rPr>
              <w:t>NSE → Equity index + currency futures</w:t>
            </w:r>
          </w:p>
        </w:tc>
      </w:tr>
      <w:tr>
        <w:tc>
          <w:tcPr>
            <w:tcW w:type="dxa" w:w="3324"/>
          </w:tcPr>
          <w:p>
            <w:r>
              <w:rPr>
                <w:b w:val="0"/>
                <w:i w:val="0"/>
                <w:sz w:val="20"/>
              </w:rPr>
              <w:t>MCX</w:t>
            </w:r>
          </w:p>
        </w:tc>
        <w:tc>
          <w:tcPr>
            <w:tcW w:type="dxa" w:w="3324"/>
          </w:tcPr>
          <w:p>
            <w:r>
              <w:rPr>
                <w:b w:val="0"/>
                <w:i w:val="0"/>
                <w:sz w:val="20"/>
              </w:rPr>
              <w:t>Gold, Silver, Crude Oil, Copper futures</w:t>
            </w:r>
          </w:p>
        </w:tc>
        <w:tc>
          <w:tcPr>
            <w:tcW w:type="dxa" w:w="3324"/>
            <w:shd w:val="clear" w:color="auto" w:fill="E8F5E9"/>
          </w:tcPr>
          <w:p>
            <w:r>
              <w:rPr>
                <w:b/>
                <w:i w:val="0"/>
                <w:color w:val="1B5E20"/>
                <w:sz w:val="20"/>
              </w:rPr>
              <w:t>MCX → Metals and energy commodities</w:t>
            </w:r>
          </w:p>
        </w:tc>
      </w:tr>
      <w:tr>
        <w:tc>
          <w:tcPr>
            <w:tcW w:type="dxa" w:w="3324"/>
          </w:tcPr>
          <w:p>
            <w:r>
              <w:rPr>
                <w:b w:val="0"/>
                <w:i w:val="0"/>
                <w:sz w:val="20"/>
              </w:rPr>
              <w:t>NCDEX</w:t>
            </w:r>
          </w:p>
        </w:tc>
        <w:tc>
          <w:tcPr>
            <w:tcW w:type="dxa" w:w="3324"/>
          </w:tcPr>
          <w:p>
            <w:r>
              <w:rPr>
                <w:b w:val="0"/>
                <w:i w:val="0"/>
                <w:sz w:val="20"/>
              </w:rPr>
              <w:t>Wheat, Soybean, Castor, Guar futures</w:t>
            </w:r>
          </w:p>
        </w:tc>
        <w:tc>
          <w:tcPr>
            <w:tcW w:type="dxa" w:w="3324"/>
            <w:shd w:val="clear" w:color="auto" w:fill="E8F5E9"/>
          </w:tcPr>
          <w:p>
            <w:r>
              <w:rPr>
                <w:b/>
                <w:i w:val="0"/>
                <w:color w:val="1B5E20"/>
                <w:sz w:val="20"/>
              </w:rPr>
              <w:t>NCDEX → Agricultural commodities</w:t>
            </w:r>
          </w:p>
        </w:tc>
      </w:tr>
      <w:tr>
        <w:tc>
          <w:tcPr>
            <w:tcW w:type="dxa" w:w="3324"/>
          </w:tcPr>
          <w:p>
            <w:r>
              <w:rPr>
                <w:b w:val="0"/>
                <w:i w:val="0"/>
                <w:sz w:val="20"/>
              </w:rPr>
              <w:t>BSE</w:t>
            </w:r>
          </w:p>
        </w:tc>
        <w:tc>
          <w:tcPr>
            <w:tcW w:type="dxa" w:w="3324"/>
          </w:tcPr>
          <w:p>
            <w:r>
              <w:rPr>
                <w:b w:val="0"/>
                <w:i w:val="0"/>
                <w:sz w:val="20"/>
              </w:rPr>
              <w:t>Equity derivatives (secondary to NSE in volume)</w:t>
            </w:r>
          </w:p>
        </w:tc>
        <w:tc>
          <w:tcPr>
            <w:tcW w:type="dxa" w:w="3324"/>
            <w:shd w:val="clear" w:color="auto" w:fill="E8F5E9"/>
          </w:tcPr>
          <w:p>
            <w:r>
              <w:rPr>
                <w:b/>
                <w:i w:val="0"/>
                <w:color w:val="1B5E20"/>
                <w:sz w:val="20"/>
              </w:rPr>
              <w:t>BSE → Equity derivatives (lower liquidity vs NSE)</w:t>
            </w:r>
          </w:p>
        </w:tc>
      </w:tr>
      <w:tr>
        <w:tc>
          <w:tcPr>
            <w:tcW w:type="dxa" w:w="9972"/>
            <w:gridSpan w:val="3"/>
            <w:shd w:val="clear" w:color="auto" w:fill="F0F4FF"/>
          </w:tcPr>
          <w:p>
            <w:r>
              <w:rPr>
                <w:b/>
                <w:i w:val="0"/>
                <w:color w:val="007A87"/>
                <w:sz w:val="20"/>
              </w:rPr>
              <w:t xml:space="preserve">Rationale: </w:t>
            </w:r>
            <w:r>
              <w:rPr>
                <w:b w:val="0"/>
                <w:i w:val="0"/>
                <w:color w:val="404040"/>
                <w:sz w:val="20"/>
              </w:rPr>
              <w:t>India's exchange ecosystem: NSE leads in equity/currency, MCX leads in metals/energy, NCDEX leads in agri-commodities, BSE competes in equity derivatives with lower volumes.</w:t>
            </w:r>
          </w:p>
        </w:tc>
      </w:tr>
    </w:tbl>
    <w:p/>
    <w:p>
      <w:r>
        <w:br w:type="page"/>
      </w:r>
    </w:p>
    <w:p>
      <w:pPr>
        <w:jc w:val="left"/>
      </w:pPr>
      <w:r>
        <w:rPr>
          <w:b/>
          <w:i w:val="0"/>
          <w:color w:val="101C4F"/>
          <w:sz w:val="28"/>
        </w:rPr>
        <w:t>UOR: D6.6  |  Margin and Mark-to-Market in Futures</w:t>
      </w:r>
    </w:p>
    <w:p/>
    <w:p>
      <w:r>
        <w:rPr>
          <w:b w:val="0"/>
          <w:i/>
          <w:color w:val="007A87"/>
          <w:sz w:val="20"/>
        </w:rPr>
        <w:t xml:space="preserve">  Video 1 of 3  |  EAR: Explain</w:t>
      </w:r>
    </w:p>
    <w:p>
      <w:r>
        <w:rPr>
          <w:b/>
          <w:i w:val="0"/>
          <w:color w:val="F0A800"/>
          <w:sz w:val="22"/>
        </w:rPr>
        <w:t>Q21.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A trader buys 2 lots of Bank Nifty futures at 48,000 (lot size 15). Initial margin is ₹1,50,000 and maintenance margin is ₹1,00,000. Bank Nifty closes at 47,600 the next day. What happens to the margin account?</w:t>
            </w:r>
          </w:p>
        </w:tc>
      </w:tr>
      <w:tr>
        <w:tc>
          <w:tcPr>
            <w:tcW w:type="dxa" w:w="9972"/>
            <w:shd w:val="clear" w:color="auto" w:fill="FFFFFF"/>
          </w:tcPr>
          <w:p>
            <w:r>
              <w:rPr>
                <w:b w:val="0"/>
                <w:i w:val="0"/>
                <w:color w:val="404040"/>
                <w:sz w:val="22"/>
              </w:rPr>
              <w:t>A. ₹12,000 is credited to the margin account</w:t>
            </w:r>
          </w:p>
        </w:tc>
      </w:tr>
      <w:tr>
        <w:tc>
          <w:tcPr>
            <w:tcW w:type="dxa" w:w="9972"/>
            <w:shd w:val="clear" w:color="auto" w:fill="E8F5E9"/>
          </w:tcPr>
          <w:p>
            <w:r>
              <w:rPr>
                <w:b/>
                <w:i w:val="0"/>
                <w:color w:val="1B5E20"/>
                <w:sz w:val="22"/>
              </w:rPr>
              <w:t>B. ₹12,000 is debited from the margin account</w:t>
            </w:r>
          </w:p>
        </w:tc>
      </w:tr>
      <w:tr>
        <w:tc>
          <w:tcPr>
            <w:tcW w:type="dxa" w:w="9972"/>
            <w:shd w:val="clear" w:color="auto" w:fill="FFFFFF"/>
          </w:tcPr>
          <w:p>
            <w:r>
              <w:rPr>
                <w:b w:val="0"/>
                <w:i w:val="0"/>
                <w:color w:val="404040"/>
                <w:sz w:val="22"/>
              </w:rPr>
              <w:t>C. The account is closed and the position is force-liquidated</w:t>
            </w:r>
          </w:p>
        </w:tc>
      </w:tr>
      <w:tr>
        <w:tc>
          <w:tcPr>
            <w:tcW w:type="dxa" w:w="9972"/>
            <w:shd w:val="clear" w:color="auto" w:fill="FFFFFF"/>
          </w:tcPr>
          <w:p>
            <w:r>
              <w:rPr>
                <w:b w:val="0"/>
                <w:i w:val="0"/>
                <w:color w:val="404040"/>
                <w:sz w:val="22"/>
              </w:rPr>
              <w:t>D. Nothing — margin is only adjusted at expiry</w:t>
            </w:r>
          </w:p>
        </w:tc>
      </w:tr>
      <w:tr>
        <w:tc>
          <w:tcPr>
            <w:tcW w:type="dxa" w:w="9972"/>
            <w:shd w:val="clear" w:color="auto" w:fill="F0F4FF"/>
          </w:tcPr>
          <w:p>
            <w:r>
              <w:rPr>
                <w:b/>
                <w:i w:val="0"/>
                <w:color w:val="007A87"/>
                <w:sz w:val="20"/>
              </w:rPr>
              <w:t xml:space="preserve">Rationale: </w:t>
            </w:r>
            <w:r>
              <w:rPr>
                <w:b w:val="0"/>
                <w:i w:val="0"/>
                <w:color w:val="404040"/>
                <w:sz w:val="20"/>
              </w:rPr>
              <w:t>Daily MTM loss = (47,600 − 48,000) × 2 lots × 15 = −400 × 30 = −₹12,000. This is debited from the margin account. Balance = ₹1,50,000 − ₹12,000 = ₹1,38,000 (still above maintenance ₹1,00,000 — no margin call yet).</w:t>
            </w:r>
          </w:p>
        </w:tc>
      </w:tr>
    </w:tbl>
    <w:p/>
    <w:p>
      <w:r>
        <w:rPr>
          <w:b w:val="0"/>
          <w:i/>
          <w:color w:val="007A87"/>
          <w:sz w:val="20"/>
        </w:rPr>
        <w:t xml:space="preserve">  Video 2 of 3  |  EAR: Apply</w:t>
      </w:r>
    </w:p>
    <w:p>
      <w:r>
        <w:rPr>
          <w:b/>
          <w:i w:val="0"/>
          <w:color w:val="F0A800"/>
          <w:sz w:val="22"/>
        </w:rPr>
        <w:t>Q22.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Initial margin in futures is a cost to the trader, similar to the premium paid for an option.</w:t>
            </w:r>
          </w:p>
        </w:tc>
        <w:tc>
          <w:tcPr>
            <w:tcW w:type="dxa" w:w="2493"/>
            <w:shd w:val="clear" w:color="auto" w:fill="FFEBEE"/>
          </w:tcPr>
          <w:p>
            <w:r>
              <w:rPr>
                <w:b/>
                <w:i w:val="0"/>
                <w:color w:val="B71C1C"/>
                <w:sz w:val="20"/>
              </w:rPr>
              <w:t>FALSE</w:t>
            </w:r>
          </w:p>
        </w:tc>
        <w:tc>
          <w:tcPr>
            <w:tcW w:type="dxa" w:w="2493"/>
          </w:tcPr>
          <w:p>
            <w:r>
              <w:rPr>
                <w:b w:val="0"/>
                <w:i w:val="0"/>
                <w:color w:val="404040"/>
                <w:sz w:val="18"/>
              </w:rPr>
              <w:t>Initial margin is a refundable performance bond — it is returned (with adjustments) when the position is closed. Option premium is a non-refundable cost paid upfront.</w:t>
            </w:r>
          </w:p>
        </w:tc>
      </w:tr>
      <w:tr>
        <w:tc>
          <w:tcPr>
            <w:tcW w:type="dxa" w:w="2493"/>
          </w:tcPr>
          <w:p>
            <w:r>
              <w:rPr>
                <w:b w:val="0"/>
                <w:i w:val="0"/>
                <w:sz w:val="20"/>
              </w:rPr>
              <w:t>2</w:t>
            </w:r>
          </w:p>
        </w:tc>
        <w:tc>
          <w:tcPr>
            <w:tcW w:type="dxa" w:w="2493"/>
          </w:tcPr>
          <w:p>
            <w:r>
              <w:rPr>
                <w:b w:val="0"/>
                <w:i w:val="0"/>
                <w:sz w:val="20"/>
              </w:rPr>
              <w:t>A margin call requires the trader to restore the account to the initial margin level, not just the maintenance margin level.</w:t>
            </w:r>
          </w:p>
        </w:tc>
        <w:tc>
          <w:tcPr>
            <w:tcW w:type="dxa" w:w="2493"/>
            <w:shd w:val="clear" w:color="auto" w:fill="E8F5E9"/>
          </w:tcPr>
          <w:p>
            <w:r>
              <w:rPr>
                <w:b/>
                <w:i w:val="0"/>
                <w:color w:val="1B5E20"/>
                <w:sz w:val="20"/>
              </w:rPr>
              <w:t>TRUE</w:t>
            </w:r>
          </w:p>
        </w:tc>
        <w:tc>
          <w:tcPr>
            <w:tcW w:type="dxa" w:w="2493"/>
          </w:tcPr>
          <w:p>
            <w:r>
              <w:rPr>
                <w:b w:val="0"/>
                <w:i w:val="0"/>
                <w:color w:val="404040"/>
                <w:sz w:val="18"/>
              </w:rPr>
              <w:t>When margin balance falls below maintenance margin, the trader must top up to the INITIAL margin level — not just to maintenance. This is a common exam error.</w:t>
            </w:r>
          </w:p>
        </w:tc>
      </w:tr>
      <w:tr>
        <w:tc>
          <w:tcPr>
            <w:tcW w:type="dxa" w:w="2493"/>
          </w:tcPr>
          <w:p>
            <w:r>
              <w:rPr>
                <w:b w:val="0"/>
                <w:i w:val="0"/>
                <w:sz w:val="20"/>
              </w:rPr>
              <w:t>3</w:t>
            </w:r>
          </w:p>
        </w:tc>
        <w:tc>
          <w:tcPr>
            <w:tcW w:type="dxa" w:w="2493"/>
          </w:tcPr>
          <w:p>
            <w:r>
              <w:rPr>
                <w:b w:val="0"/>
                <w:i w:val="0"/>
                <w:sz w:val="20"/>
              </w:rPr>
              <w:t>SPAN margin accounts for portfolio-level risk by giving credit for offsetting positions.</w:t>
            </w:r>
          </w:p>
        </w:tc>
        <w:tc>
          <w:tcPr>
            <w:tcW w:type="dxa" w:w="2493"/>
            <w:shd w:val="clear" w:color="auto" w:fill="E8F5E9"/>
          </w:tcPr>
          <w:p>
            <w:r>
              <w:rPr>
                <w:b/>
                <w:i w:val="0"/>
                <w:color w:val="1B5E20"/>
                <w:sz w:val="20"/>
              </w:rPr>
              <w:t>TRUE</w:t>
            </w:r>
          </w:p>
        </w:tc>
        <w:tc>
          <w:tcPr>
            <w:tcW w:type="dxa" w:w="2493"/>
          </w:tcPr>
          <w:p>
            <w:r>
              <w:rPr>
                <w:b w:val="0"/>
                <w:i w:val="0"/>
                <w:color w:val="404040"/>
                <w:sz w:val="18"/>
              </w:rPr>
              <w:t>SPAN is a portfolio margin system. A long Nifty futures position partially offset by a short Nifty call option gets a lower combined margin than the sum of individual margins.</w:t>
            </w:r>
          </w:p>
        </w:tc>
      </w:tr>
      <w:tr>
        <w:tc>
          <w:tcPr>
            <w:tcW w:type="dxa" w:w="2493"/>
          </w:tcPr>
          <w:p>
            <w:r>
              <w:rPr>
                <w:b w:val="0"/>
                <w:i w:val="0"/>
                <w:sz w:val="20"/>
              </w:rPr>
              <w:t>4</w:t>
            </w:r>
          </w:p>
        </w:tc>
        <w:tc>
          <w:tcPr>
            <w:tcW w:type="dxa" w:w="2493"/>
          </w:tcPr>
          <w:p>
            <w:r>
              <w:rPr>
                <w:b w:val="0"/>
                <w:i w:val="0"/>
                <w:sz w:val="20"/>
              </w:rPr>
              <w:t>In India, only cash is accepted as margin for futures positions on NSE.</w:t>
            </w:r>
          </w:p>
        </w:tc>
        <w:tc>
          <w:tcPr>
            <w:tcW w:type="dxa" w:w="2493"/>
            <w:shd w:val="clear" w:color="auto" w:fill="FFEBEE"/>
          </w:tcPr>
          <w:p>
            <w:r>
              <w:rPr>
                <w:b/>
                <w:i w:val="0"/>
                <w:color w:val="B71C1C"/>
                <w:sz w:val="20"/>
              </w:rPr>
              <w:t>FALSE</w:t>
            </w:r>
          </w:p>
        </w:tc>
        <w:tc>
          <w:tcPr>
            <w:tcW w:type="dxa" w:w="2493"/>
          </w:tcPr>
          <w:p>
            <w:r>
              <w:rPr>
                <w:b w:val="0"/>
                <w:i w:val="0"/>
                <w:color w:val="404040"/>
                <w:sz w:val="18"/>
              </w:rPr>
              <w:t>NSCCL accepts cash, bank FDs, government securities, and bank guarantees as margin collateral. Non-cash collateral is subject to haircuts based on market risk.</w:t>
            </w:r>
          </w:p>
        </w:tc>
      </w:tr>
    </w:tbl>
    <w:p/>
    <w:p>
      <w:r>
        <w:rPr>
          <w:b w:val="0"/>
          <w:i/>
          <w:color w:val="007A87"/>
          <w:sz w:val="20"/>
        </w:rPr>
        <w:t xml:space="preserve">  Video 3 of 3  |  EAR: Relate</w:t>
      </w:r>
    </w:p>
    <w:p>
      <w:r>
        <w:rPr>
          <w:b/>
          <w:i w:val="0"/>
          <w:color w:val="F0A800"/>
          <w:sz w:val="22"/>
        </w:rPr>
        <w:t>Q23.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Daily mark-to-market settlement prevents [BLANK1] by settling gains and losses every day. If the margin balance falls below the [BLANK2] level, the broker issues a margin call requiring the client to top up to the [BLANK3] level by end of day or face forced position closure.</w:t>
            </w:r>
          </w:p>
        </w:tc>
      </w:tr>
      <w:tr>
        <w:tc>
          <w:tcPr>
            <w:tcW w:type="dxa" w:w="9972"/>
            <w:shd w:val="clear" w:color="auto" w:fill="F5F5F5"/>
          </w:tcPr>
          <w:p>
            <w:r>
              <w:rPr>
                <w:b w:val="0"/>
                <w:i w:val="0"/>
                <w:color w:val="007A87"/>
                <w:sz w:val="20"/>
              </w:rPr>
              <w:t>Options: loss accumulation / leverage buildup / position concentration  |  maintenance margin / initial margin / variation margin  |  initial margin / maintenance margin / SPAN margin</w:t>
            </w:r>
          </w:p>
        </w:tc>
      </w:tr>
      <w:tr>
        <w:tc>
          <w:tcPr>
            <w:tcW w:type="dxa" w:w="9972"/>
            <w:shd w:val="clear" w:color="auto" w:fill="E8F5E9"/>
          </w:tcPr>
          <w:p>
            <w:r>
              <w:rPr>
                <w:b/>
                <w:i w:val="0"/>
                <w:color w:val="1B5E20"/>
                <w:sz w:val="20"/>
              </w:rPr>
              <w:t>Answers: BLANK1 → loss accumulation  |  BLANK2 → maintenance margin  |  BLANK3 → initial margin</w:t>
            </w:r>
          </w:p>
        </w:tc>
      </w:tr>
      <w:tr>
        <w:tc>
          <w:tcPr>
            <w:tcW w:type="dxa" w:w="9972"/>
            <w:shd w:val="clear" w:color="auto" w:fill="F0F4FF"/>
          </w:tcPr>
          <w:p>
            <w:r>
              <w:rPr>
                <w:b/>
                <w:i w:val="0"/>
                <w:color w:val="007A87"/>
                <w:sz w:val="20"/>
              </w:rPr>
              <w:t xml:space="preserve">Rationale: </w:t>
            </w:r>
            <w:r>
              <w:rPr>
                <w:b w:val="0"/>
                <w:i w:val="0"/>
                <w:color w:val="404040"/>
                <w:sz w:val="20"/>
              </w:rPr>
              <w:t>Daily MTM prevents losses from silently accumulating. Margin call triggered when balance &lt; maintenance margin. Client must restore to INITIAL margin (not just maintenance). Failure to meet margin call → broker force-closes position.</w:t>
            </w:r>
          </w:p>
        </w:tc>
      </w:tr>
    </w:tbl>
    <w:p/>
    <w:p>
      <w:r>
        <w:rPr>
          <w:b/>
          <w:i w:val="0"/>
          <w:color w:val="F0A800"/>
          <w:sz w:val="22"/>
        </w:rPr>
        <w:t>Q24.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Initial Margin</w:t>
            </w:r>
          </w:p>
        </w:tc>
        <w:tc>
          <w:tcPr>
            <w:tcW w:type="dxa" w:w="3324"/>
          </w:tcPr>
          <w:p>
            <w:r>
              <w:rPr>
                <w:b w:val="0"/>
                <w:i w:val="0"/>
                <w:sz w:val="20"/>
              </w:rPr>
              <w:t>Deposit required to open a futures position</w:t>
            </w:r>
          </w:p>
        </w:tc>
        <w:tc>
          <w:tcPr>
            <w:tcW w:type="dxa" w:w="3324"/>
            <w:shd w:val="clear" w:color="auto" w:fill="E8F5E9"/>
          </w:tcPr>
          <w:p>
            <w:r>
              <w:rPr>
                <w:b/>
                <w:i w:val="0"/>
                <w:color w:val="1B5E20"/>
                <w:sz w:val="20"/>
              </w:rPr>
              <w:t>Initial Margin → Opening performance bond</w:t>
            </w:r>
          </w:p>
        </w:tc>
      </w:tr>
      <w:tr>
        <w:tc>
          <w:tcPr>
            <w:tcW w:type="dxa" w:w="3324"/>
          </w:tcPr>
          <w:p>
            <w:r>
              <w:rPr>
                <w:b w:val="0"/>
                <w:i w:val="0"/>
                <w:sz w:val="20"/>
              </w:rPr>
              <w:t>Maintenance Margin</w:t>
            </w:r>
          </w:p>
        </w:tc>
        <w:tc>
          <w:tcPr>
            <w:tcW w:type="dxa" w:w="3324"/>
          </w:tcPr>
          <w:p>
            <w:r>
              <w:rPr>
                <w:b w:val="0"/>
                <w:i w:val="0"/>
                <w:sz w:val="20"/>
              </w:rPr>
              <w:t>Minimum balance; triggers margin call if breached</w:t>
            </w:r>
          </w:p>
        </w:tc>
        <w:tc>
          <w:tcPr>
            <w:tcW w:type="dxa" w:w="3324"/>
            <w:shd w:val="clear" w:color="auto" w:fill="E8F5E9"/>
          </w:tcPr>
          <w:p>
            <w:r>
              <w:rPr>
                <w:b/>
                <w:i w:val="0"/>
                <w:color w:val="1B5E20"/>
                <w:sz w:val="20"/>
              </w:rPr>
              <w:t>Maintenance Margin → Floor before margin call</w:t>
            </w:r>
          </w:p>
        </w:tc>
      </w:tr>
      <w:tr>
        <w:tc>
          <w:tcPr>
            <w:tcW w:type="dxa" w:w="3324"/>
          </w:tcPr>
          <w:p>
            <w:r>
              <w:rPr>
                <w:b w:val="0"/>
                <w:i w:val="0"/>
                <w:sz w:val="20"/>
              </w:rPr>
              <w:t>Variation Margin</w:t>
            </w:r>
          </w:p>
        </w:tc>
        <w:tc>
          <w:tcPr>
            <w:tcW w:type="dxa" w:w="3324"/>
          </w:tcPr>
          <w:p>
            <w:r>
              <w:rPr>
                <w:b w:val="0"/>
                <w:i w:val="0"/>
                <w:sz w:val="20"/>
              </w:rPr>
              <w:t>Daily debit/credit based on price change</w:t>
            </w:r>
          </w:p>
        </w:tc>
        <w:tc>
          <w:tcPr>
            <w:tcW w:type="dxa" w:w="3324"/>
            <w:shd w:val="clear" w:color="auto" w:fill="E8F5E9"/>
          </w:tcPr>
          <w:p>
            <w:r>
              <w:rPr>
                <w:b/>
                <w:i w:val="0"/>
                <w:color w:val="1B5E20"/>
                <w:sz w:val="20"/>
              </w:rPr>
              <w:t>Variation Margin → Daily P&amp;L settlement</w:t>
            </w:r>
          </w:p>
        </w:tc>
      </w:tr>
      <w:tr>
        <w:tc>
          <w:tcPr>
            <w:tcW w:type="dxa" w:w="3324"/>
          </w:tcPr>
          <w:p>
            <w:r>
              <w:rPr>
                <w:b w:val="0"/>
                <w:i w:val="0"/>
                <w:sz w:val="20"/>
              </w:rPr>
              <w:t>Mark-to-Market</w:t>
            </w:r>
          </w:p>
        </w:tc>
        <w:tc>
          <w:tcPr>
            <w:tcW w:type="dxa" w:w="3324"/>
          </w:tcPr>
          <w:p>
            <w:r>
              <w:rPr>
                <w:b w:val="0"/>
                <w:i w:val="0"/>
                <w:sz w:val="20"/>
              </w:rPr>
              <w:t>Daily revaluation of position at settlement price</w:t>
            </w:r>
          </w:p>
        </w:tc>
        <w:tc>
          <w:tcPr>
            <w:tcW w:type="dxa" w:w="3324"/>
            <w:shd w:val="clear" w:color="auto" w:fill="E8F5E9"/>
          </w:tcPr>
          <w:p>
            <w:r>
              <w:rPr>
                <w:b/>
                <w:i w:val="0"/>
                <w:color w:val="1B5E20"/>
                <w:sz w:val="20"/>
              </w:rPr>
              <w:t>MTM → Daily repricing at closing price</w:t>
            </w:r>
          </w:p>
        </w:tc>
      </w:tr>
      <w:tr>
        <w:tc>
          <w:tcPr>
            <w:tcW w:type="dxa" w:w="9972"/>
            <w:gridSpan w:val="3"/>
            <w:shd w:val="clear" w:color="auto" w:fill="F0F4FF"/>
          </w:tcPr>
          <w:p>
            <w:r>
              <w:rPr>
                <w:b/>
                <w:i w:val="0"/>
                <w:color w:val="007A87"/>
                <w:sz w:val="20"/>
              </w:rPr>
              <w:t xml:space="preserve">Rationale: </w:t>
            </w:r>
            <w:r>
              <w:rPr>
                <w:b w:val="0"/>
                <w:i w:val="0"/>
                <w:color w:val="404040"/>
                <w:sz w:val="20"/>
              </w:rPr>
              <w:t>Margin system: initial margin to open, maintenance as floor, variation margin for daily P&amp;L, MTM for daily pricing. Together they prevent loss accumulation and ensure the clearing corporation can always cover defaults.</w:t>
            </w:r>
          </w:p>
        </w:tc>
      </w:tr>
    </w:tbl>
    <w:p/>
    <w:p>
      <w:r>
        <w:br w:type="page"/>
      </w:r>
    </w:p>
    <w:p>
      <w:pPr>
        <w:jc w:val="left"/>
      </w:pPr>
      <w:r>
        <w:rPr>
          <w:b/>
          <w:i w:val="0"/>
          <w:color w:val="101C4F"/>
          <w:sz w:val="28"/>
        </w:rPr>
        <w:t>UOR: D6.7  |  Hedging with Futures</w:t>
      </w:r>
    </w:p>
    <w:p/>
    <w:p>
      <w:r>
        <w:rPr>
          <w:b w:val="0"/>
          <w:i/>
          <w:color w:val="007A87"/>
          <w:sz w:val="20"/>
        </w:rPr>
        <w:t xml:space="preserve">  Video 1 of 3  |  EAR: Explain</w:t>
      </w:r>
    </w:p>
    <w:p>
      <w:r>
        <w:rPr>
          <w:b/>
          <w:i w:val="0"/>
          <w:color w:val="F0A800"/>
          <w:sz w:val="22"/>
        </w:rPr>
        <w:t>Q25.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A fund manager holds a ₹10 crore portfolio with a beta of 1.4 relative to Nifty 50. Nifty is at 22,000 and the futures lot size is 25. How many Nifty futures contracts should they SHORT to fully hedge the portfolio?</w:t>
            </w:r>
          </w:p>
        </w:tc>
      </w:tr>
      <w:tr>
        <w:tc>
          <w:tcPr>
            <w:tcW w:type="dxa" w:w="9972"/>
            <w:shd w:val="clear" w:color="auto" w:fill="FFFFFF"/>
          </w:tcPr>
          <w:p>
            <w:r>
              <w:rPr>
                <w:b w:val="0"/>
                <w:i w:val="0"/>
                <w:color w:val="404040"/>
                <w:sz w:val="22"/>
              </w:rPr>
              <w:t>A. 18 contracts</w:t>
            </w:r>
          </w:p>
        </w:tc>
      </w:tr>
      <w:tr>
        <w:tc>
          <w:tcPr>
            <w:tcW w:type="dxa" w:w="9972"/>
            <w:shd w:val="clear" w:color="auto" w:fill="FFFFFF"/>
          </w:tcPr>
          <w:p>
            <w:r>
              <w:rPr>
                <w:b w:val="0"/>
                <w:i w:val="0"/>
                <w:color w:val="404040"/>
                <w:sz w:val="22"/>
              </w:rPr>
              <w:t>B. 22 contracts</w:t>
            </w:r>
          </w:p>
        </w:tc>
      </w:tr>
      <w:tr>
        <w:tc>
          <w:tcPr>
            <w:tcW w:type="dxa" w:w="9972"/>
            <w:shd w:val="clear" w:color="auto" w:fill="E8F5E9"/>
          </w:tcPr>
          <w:p>
            <w:r>
              <w:rPr>
                <w:b/>
                <w:i w:val="0"/>
                <w:color w:val="1B5E20"/>
                <w:sz w:val="22"/>
              </w:rPr>
              <w:t>C. 25 contracts</w:t>
            </w:r>
          </w:p>
        </w:tc>
      </w:tr>
      <w:tr>
        <w:tc>
          <w:tcPr>
            <w:tcW w:type="dxa" w:w="9972"/>
            <w:shd w:val="clear" w:color="auto" w:fill="FFFFFF"/>
          </w:tcPr>
          <w:p>
            <w:r>
              <w:rPr>
                <w:b w:val="0"/>
                <w:i w:val="0"/>
                <w:color w:val="404040"/>
                <w:sz w:val="22"/>
              </w:rPr>
              <w:t>D. 26 contracts</w:t>
            </w:r>
          </w:p>
        </w:tc>
      </w:tr>
      <w:tr>
        <w:tc>
          <w:tcPr>
            <w:tcW w:type="dxa" w:w="9972"/>
            <w:shd w:val="clear" w:color="auto" w:fill="F0F4FF"/>
          </w:tcPr>
          <w:p>
            <w:r>
              <w:rPr>
                <w:b/>
                <w:i w:val="0"/>
                <w:color w:val="007A87"/>
                <w:sz w:val="20"/>
              </w:rPr>
              <w:t xml:space="preserve">Rationale: </w:t>
            </w:r>
            <w:r>
              <w:rPr>
                <w:b w:val="0"/>
                <w:i w:val="0"/>
                <w:color w:val="404040"/>
                <w:sz w:val="20"/>
              </w:rPr>
              <w:t>Contracts = Portfolio Value × Beta / (Index Price × Lot Size) = 10,00,00,000 × 1.4 / (22,000 × 25) = 14,00,00,000 / 5,50,000 = 25.45 ≈ 25 contracts.</w:t>
            </w:r>
          </w:p>
        </w:tc>
      </w:tr>
    </w:tbl>
    <w:p/>
    <w:p>
      <w:r>
        <w:rPr>
          <w:b w:val="0"/>
          <w:i/>
          <w:color w:val="007A87"/>
          <w:sz w:val="20"/>
        </w:rPr>
        <w:t xml:space="preserve">  Video 2 of 3  |  EAR: Apply</w:t>
      </w:r>
    </w:p>
    <w:p>
      <w:r>
        <w:rPr>
          <w:b/>
          <w:i w:val="0"/>
          <w:color w:val="F0A800"/>
          <w:sz w:val="22"/>
        </w:rPr>
        <w:t>Q26.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A short hedge involves selling futures to protect against a fall in the price of an asset already owned.</w:t>
            </w:r>
          </w:p>
        </w:tc>
        <w:tc>
          <w:tcPr>
            <w:tcW w:type="dxa" w:w="2493"/>
            <w:shd w:val="clear" w:color="auto" w:fill="E8F5E9"/>
          </w:tcPr>
          <w:p>
            <w:r>
              <w:rPr>
                <w:b/>
                <w:i w:val="0"/>
                <w:color w:val="1B5E20"/>
                <w:sz w:val="20"/>
              </w:rPr>
              <w:t>TRUE</w:t>
            </w:r>
          </w:p>
        </w:tc>
        <w:tc>
          <w:tcPr>
            <w:tcW w:type="dxa" w:w="2493"/>
          </w:tcPr>
          <w:p>
            <w:r>
              <w:rPr>
                <w:b w:val="0"/>
                <w:i w:val="0"/>
                <w:color w:val="404040"/>
                <w:sz w:val="18"/>
              </w:rPr>
              <w:t>Short hedge: own the asset, fear price fall → sell futures. The futures gain offsets the spot market loss. Used by farmers, exporters, equity portfolio managers.</w:t>
            </w:r>
          </w:p>
        </w:tc>
      </w:tr>
      <w:tr>
        <w:tc>
          <w:tcPr>
            <w:tcW w:type="dxa" w:w="2493"/>
          </w:tcPr>
          <w:p>
            <w:r>
              <w:rPr>
                <w:b w:val="0"/>
                <w:i w:val="0"/>
                <w:sz w:val="20"/>
              </w:rPr>
              <w:t>2</w:t>
            </w:r>
          </w:p>
        </w:tc>
        <w:tc>
          <w:tcPr>
            <w:tcW w:type="dxa" w:w="2493"/>
          </w:tcPr>
          <w:p>
            <w:r>
              <w:rPr>
                <w:b w:val="0"/>
                <w:i w:val="0"/>
                <w:sz w:val="20"/>
              </w:rPr>
              <w:t>A perfectly hedged position using futures can still earn returns above the risk-free rate.</w:t>
            </w:r>
          </w:p>
        </w:tc>
        <w:tc>
          <w:tcPr>
            <w:tcW w:type="dxa" w:w="2493"/>
            <w:shd w:val="clear" w:color="auto" w:fill="FFEBEE"/>
          </w:tcPr>
          <w:p>
            <w:r>
              <w:rPr>
                <w:b/>
                <w:i w:val="0"/>
                <w:color w:val="B71C1C"/>
                <w:sz w:val="20"/>
              </w:rPr>
              <w:t>FALSE</w:t>
            </w:r>
          </w:p>
        </w:tc>
        <w:tc>
          <w:tcPr>
            <w:tcW w:type="dxa" w:w="2493"/>
          </w:tcPr>
          <w:p>
            <w:r>
              <w:rPr>
                <w:b w:val="0"/>
                <w:i w:val="0"/>
                <w:color w:val="404040"/>
                <w:sz w:val="18"/>
              </w:rPr>
              <w:t>A perfect hedge eliminates market risk entirely, leaving only the risk-free rate of return. Any gain on the underlying is exactly offset by a futures loss, and vice versa.</w:t>
            </w:r>
          </w:p>
        </w:tc>
      </w:tr>
      <w:tr>
        <w:tc>
          <w:tcPr>
            <w:tcW w:type="dxa" w:w="2493"/>
          </w:tcPr>
          <w:p>
            <w:r>
              <w:rPr>
                <w:b w:val="0"/>
                <w:i w:val="0"/>
                <w:sz w:val="20"/>
              </w:rPr>
              <w:t>3</w:t>
            </w:r>
          </w:p>
        </w:tc>
        <w:tc>
          <w:tcPr>
            <w:tcW w:type="dxa" w:w="2493"/>
          </w:tcPr>
          <w:p>
            <w:r>
              <w:rPr>
                <w:b w:val="0"/>
                <w:i w:val="0"/>
                <w:sz w:val="20"/>
              </w:rPr>
              <w:t>Basis risk arises when the futures contract used does not perfectly correlate with the underlying exposure being hedged.</w:t>
            </w:r>
          </w:p>
        </w:tc>
        <w:tc>
          <w:tcPr>
            <w:tcW w:type="dxa" w:w="2493"/>
            <w:shd w:val="clear" w:color="auto" w:fill="E8F5E9"/>
          </w:tcPr>
          <w:p>
            <w:r>
              <w:rPr>
                <w:b/>
                <w:i w:val="0"/>
                <w:color w:val="1B5E20"/>
                <w:sz w:val="20"/>
              </w:rPr>
              <w:t>TRUE</w:t>
            </w:r>
          </w:p>
        </w:tc>
        <w:tc>
          <w:tcPr>
            <w:tcW w:type="dxa" w:w="2493"/>
          </w:tcPr>
          <w:p>
            <w:r>
              <w:rPr>
                <w:b w:val="0"/>
                <w:i w:val="0"/>
                <w:color w:val="404040"/>
                <w:sz w:val="18"/>
              </w:rPr>
              <w:t>Basis risk = risk that the hedge is imperfect. Caused by: different underlying (crude oil futures to hedge jet fuel), different timing (close hedge before expiry), or lot size rounding.</w:t>
            </w:r>
          </w:p>
        </w:tc>
      </w:tr>
      <w:tr>
        <w:tc>
          <w:tcPr>
            <w:tcW w:type="dxa" w:w="2493"/>
          </w:tcPr>
          <w:p>
            <w:r>
              <w:rPr>
                <w:b w:val="0"/>
                <w:i w:val="0"/>
                <w:sz w:val="20"/>
              </w:rPr>
              <w:t>4</w:t>
            </w:r>
          </w:p>
        </w:tc>
        <w:tc>
          <w:tcPr>
            <w:tcW w:type="dxa" w:w="2493"/>
          </w:tcPr>
          <w:p>
            <w:r>
              <w:rPr>
                <w:b w:val="0"/>
                <w:i w:val="0"/>
                <w:sz w:val="20"/>
              </w:rPr>
              <w:t>A fund manager can reduce portfolio beta from 1.5 to 0.8 using Nifty futures by buying (going long) futures.</w:t>
            </w:r>
          </w:p>
        </w:tc>
        <w:tc>
          <w:tcPr>
            <w:tcW w:type="dxa" w:w="2493"/>
            <w:shd w:val="clear" w:color="auto" w:fill="FFEBEE"/>
          </w:tcPr>
          <w:p>
            <w:r>
              <w:rPr>
                <w:b/>
                <w:i w:val="0"/>
                <w:color w:val="B71C1C"/>
                <w:sz w:val="20"/>
              </w:rPr>
              <w:t>FALSE</w:t>
            </w:r>
          </w:p>
        </w:tc>
        <w:tc>
          <w:tcPr>
            <w:tcW w:type="dxa" w:w="2493"/>
          </w:tcPr>
          <w:p>
            <w:r>
              <w:rPr>
                <w:b w:val="0"/>
                <w:i w:val="0"/>
                <w:color w:val="404040"/>
                <w:sz w:val="18"/>
              </w:rPr>
              <w:t>To reduce beta, you SELL (go short) Nifty futures. Buying futures increases market exposure. Number of contracts to sell = (Current Beta − Target Beta) / 1.0 × Portfolio Value / (Nifty × Lot Size).</w:t>
            </w:r>
          </w:p>
        </w:tc>
      </w:tr>
    </w:tbl>
    <w:p/>
    <w:p>
      <w:r>
        <w:rPr>
          <w:b w:val="0"/>
          <w:i/>
          <w:color w:val="007A87"/>
          <w:sz w:val="20"/>
        </w:rPr>
        <w:t xml:space="preserve">  Video 3 of 3  |  EAR: Relate</w:t>
      </w:r>
    </w:p>
    <w:p>
      <w:r>
        <w:rPr>
          <w:b/>
          <w:i w:val="0"/>
          <w:color w:val="F0A800"/>
          <w:sz w:val="22"/>
        </w:rPr>
        <w:t>Q27.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Hedge effectiveness measures what proportion of risk was eliminated: HE = 1 − (Variance of [BLANK1] position / Variance of [BLANK2] position). An HE of 0.95 means [BLANK3]% of portfolio variance was eliminated by the hedge.</w:t>
            </w:r>
          </w:p>
        </w:tc>
      </w:tr>
      <w:tr>
        <w:tc>
          <w:tcPr>
            <w:tcW w:type="dxa" w:w="9972"/>
            <w:shd w:val="clear" w:color="auto" w:fill="F5F5F5"/>
          </w:tcPr>
          <w:p>
            <w:r>
              <w:rPr>
                <w:b w:val="0"/>
                <w:i w:val="0"/>
                <w:color w:val="007A87"/>
                <w:sz w:val="20"/>
              </w:rPr>
              <w:t>Options: hedged / unhedged / optimal  |  unhedged / hedged / market  |  95 / 5 / 0.95</w:t>
            </w:r>
          </w:p>
        </w:tc>
      </w:tr>
      <w:tr>
        <w:tc>
          <w:tcPr>
            <w:tcW w:type="dxa" w:w="9972"/>
            <w:shd w:val="clear" w:color="auto" w:fill="E8F5E9"/>
          </w:tcPr>
          <w:p>
            <w:r>
              <w:rPr>
                <w:b/>
                <w:i w:val="0"/>
                <w:color w:val="1B5E20"/>
                <w:sz w:val="20"/>
              </w:rPr>
              <w:t>Answers: BLANK1 → hedged  |  BLANK2 → unhedged  |  BLANK3 → 95</w:t>
            </w:r>
          </w:p>
        </w:tc>
      </w:tr>
      <w:tr>
        <w:tc>
          <w:tcPr>
            <w:tcW w:type="dxa" w:w="9972"/>
            <w:shd w:val="clear" w:color="auto" w:fill="F0F4FF"/>
          </w:tcPr>
          <w:p>
            <w:r>
              <w:rPr>
                <w:b/>
                <w:i w:val="0"/>
                <w:color w:val="007A87"/>
                <w:sz w:val="20"/>
              </w:rPr>
              <w:t xml:space="preserve">Rationale: </w:t>
            </w:r>
            <w:r>
              <w:rPr>
                <w:b w:val="0"/>
                <w:i w:val="0"/>
                <w:color w:val="404040"/>
                <w:sz w:val="20"/>
              </w:rPr>
              <w:t>Hedge effectiveness = 1 − (Residual Variance / Original Variance). HE of 0.95 means 95% of variance eliminated. For Nifty futures hedging a large-cap portfolio, HE is typically 0.93–0.97. Lower for cross-commodity or cross-asset hedges.</w:t>
            </w:r>
          </w:p>
        </w:tc>
      </w:tr>
    </w:tbl>
    <w:p/>
    <w:p>
      <w:r>
        <w:rPr>
          <w:b/>
          <w:i w:val="0"/>
          <w:color w:val="F0A800"/>
          <w:sz w:val="22"/>
        </w:rPr>
        <w:t>Q28.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Wheat farmer</w:t>
            </w:r>
          </w:p>
        </w:tc>
        <w:tc>
          <w:tcPr>
            <w:tcW w:type="dxa" w:w="3324"/>
          </w:tcPr>
          <w:p>
            <w:r>
              <w:rPr>
                <w:b w:val="0"/>
                <w:i w:val="0"/>
                <w:sz w:val="20"/>
              </w:rPr>
              <w:t>Short wheat futures</w:t>
            </w:r>
          </w:p>
        </w:tc>
        <w:tc>
          <w:tcPr>
            <w:tcW w:type="dxa" w:w="3324"/>
            <w:shd w:val="clear" w:color="auto" w:fill="E8F5E9"/>
          </w:tcPr>
          <w:p>
            <w:r>
              <w:rPr>
                <w:b/>
                <w:i w:val="0"/>
                <w:color w:val="1B5E20"/>
                <w:sz w:val="20"/>
              </w:rPr>
              <w:t>Farmer → Short (sell what you will produce)</w:t>
            </w:r>
          </w:p>
        </w:tc>
      </w:tr>
      <w:tr>
        <w:tc>
          <w:tcPr>
            <w:tcW w:type="dxa" w:w="3324"/>
          </w:tcPr>
          <w:p>
            <w:r>
              <w:rPr>
                <w:b w:val="0"/>
                <w:i w:val="0"/>
                <w:sz w:val="20"/>
              </w:rPr>
              <w:t>Jeweller</w:t>
            </w:r>
          </w:p>
        </w:tc>
        <w:tc>
          <w:tcPr>
            <w:tcW w:type="dxa" w:w="3324"/>
          </w:tcPr>
          <w:p>
            <w:r>
              <w:rPr>
                <w:b w:val="0"/>
                <w:i w:val="0"/>
                <w:sz w:val="20"/>
              </w:rPr>
              <w:t>Long gold futures (MCX)</w:t>
            </w:r>
          </w:p>
        </w:tc>
        <w:tc>
          <w:tcPr>
            <w:tcW w:type="dxa" w:w="3324"/>
            <w:shd w:val="clear" w:color="auto" w:fill="E8F5E9"/>
          </w:tcPr>
          <w:p>
            <w:r>
              <w:rPr>
                <w:b/>
                <w:i w:val="0"/>
                <w:color w:val="1B5E20"/>
                <w:sz w:val="20"/>
              </w:rPr>
              <w:t>Jeweller → Long (buy what you will need)</w:t>
            </w:r>
          </w:p>
        </w:tc>
      </w:tr>
      <w:tr>
        <w:tc>
          <w:tcPr>
            <w:tcW w:type="dxa" w:w="3324"/>
          </w:tcPr>
          <w:p>
            <w:r>
              <w:rPr>
                <w:b w:val="0"/>
                <w:i w:val="0"/>
                <w:sz w:val="20"/>
              </w:rPr>
              <w:t>IT Exporter</w:t>
            </w:r>
          </w:p>
        </w:tc>
        <w:tc>
          <w:tcPr>
            <w:tcW w:type="dxa" w:w="3324"/>
          </w:tcPr>
          <w:p>
            <w:r>
              <w:rPr>
                <w:b w:val="0"/>
                <w:i w:val="0"/>
                <w:sz w:val="20"/>
              </w:rPr>
              <w:t>Short USD/INR futures</w:t>
            </w:r>
          </w:p>
        </w:tc>
        <w:tc>
          <w:tcPr>
            <w:tcW w:type="dxa" w:w="3324"/>
            <w:shd w:val="clear" w:color="auto" w:fill="E8F5E9"/>
          </w:tcPr>
          <w:p>
            <w:r>
              <w:rPr>
                <w:b/>
                <w:i w:val="0"/>
                <w:color w:val="1B5E20"/>
                <w:sz w:val="20"/>
              </w:rPr>
              <w:t>Exporter → Short USD (sell what you will receive)</w:t>
            </w:r>
          </w:p>
        </w:tc>
      </w:tr>
      <w:tr>
        <w:tc>
          <w:tcPr>
            <w:tcW w:type="dxa" w:w="3324"/>
          </w:tcPr>
          <w:p>
            <w:r>
              <w:rPr>
                <w:b w:val="0"/>
                <w:i w:val="0"/>
                <w:sz w:val="20"/>
              </w:rPr>
              <w:t>Fund Manager</w:t>
            </w:r>
          </w:p>
        </w:tc>
        <w:tc>
          <w:tcPr>
            <w:tcW w:type="dxa" w:w="3324"/>
          </w:tcPr>
          <w:p>
            <w:r>
              <w:rPr>
                <w:b w:val="0"/>
                <w:i w:val="0"/>
                <w:sz w:val="20"/>
              </w:rPr>
              <w:t>Short Nifty 50 futures</w:t>
            </w:r>
          </w:p>
        </w:tc>
        <w:tc>
          <w:tcPr>
            <w:tcW w:type="dxa" w:w="3324"/>
            <w:shd w:val="clear" w:color="auto" w:fill="E8F5E9"/>
          </w:tcPr>
          <w:p>
            <w:r>
              <w:rPr>
                <w:b/>
                <w:i w:val="0"/>
                <w:color w:val="1B5E20"/>
                <w:sz w:val="20"/>
              </w:rPr>
              <w:t>Fund Manager → Short index futures to reduce beta</w:t>
            </w:r>
          </w:p>
        </w:tc>
      </w:tr>
      <w:tr>
        <w:tc>
          <w:tcPr>
            <w:tcW w:type="dxa" w:w="9972"/>
            <w:gridSpan w:val="3"/>
            <w:shd w:val="clear" w:color="auto" w:fill="F0F4FF"/>
          </w:tcPr>
          <w:p>
            <w:r>
              <w:rPr>
                <w:b/>
                <w:i w:val="0"/>
                <w:color w:val="007A87"/>
                <w:sz w:val="20"/>
              </w:rPr>
              <w:t xml:space="preserve">Rationale: </w:t>
            </w:r>
            <w:r>
              <w:rPr>
                <w:b w:val="0"/>
                <w:i w:val="0"/>
                <w:color w:val="404040"/>
                <w:sz w:val="20"/>
              </w:rPr>
              <w:t>Hedging rule: if you WILL SELL the asset (farmer, exporter) → SHORT futures. If you WILL BUY the asset (jeweller, importer) → LONG futures. Equity portfolio managers short index futures to reduce market exposure.</w:t>
            </w:r>
          </w:p>
        </w:tc>
      </w:tr>
    </w:tbl>
    <w:p/>
    <w:p>
      <w:r>
        <w:br w:type="page"/>
      </w:r>
    </w:p>
    <w:p>
      <w:pPr>
        <w:jc w:val="left"/>
      </w:pPr>
      <w:r>
        <w:rPr>
          <w:b/>
          <w:i w:val="0"/>
          <w:color w:val="101C4F"/>
          <w:sz w:val="28"/>
        </w:rPr>
        <w:t>UOR: D6.8  |  Speculation and Arbitrage with Futures</w:t>
      </w:r>
    </w:p>
    <w:p/>
    <w:p>
      <w:r>
        <w:rPr>
          <w:b w:val="0"/>
          <w:i/>
          <w:color w:val="007A87"/>
          <w:sz w:val="20"/>
        </w:rPr>
        <w:t xml:space="preserve">  Video 1 of 3  |  EAR: Explain</w:t>
      </w:r>
    </w:p>
    <w:p>
      <w:r>
        <w:rPr>
          <w:b/>
          <w:i w:val="0"/>
          <w:color w:val="F0A800"/>
          <w:sz w:val="22"/>
        </w:rPr>
        <w:t>Q29.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Nifty spot = 22,000. Risk-free rate = 7% p.a. Days to expiry = 30. Fair futures price = 22,000 × (1.07)^(30/365) = 22,124. Actual Nifty futures = 22,400. What is the arbitrage strategy?</w:t>
            </w:r>
          </w:p>
        </w:tc>
      </w:tr>
      <w:tr>
        <w:tc>
          <w:tcPr>
            <w:tcW w:type="dxa" w:w="9972"/>
            <w:shd w:val="clear" w:color="auto" w:fill="FFFFFF"/>
          </w:tcPr>
          <w:p>
            <w:r>
              <w:rPr>
                <w:b w:val="0"/>
                <w:i w:val="0"/>
                <w:color w:val="404040"/>
                <w:sz w:val="22"/>
              </w:rPr>
              <w:t>A. Buy Nifty futures at 22,400 and sell Nifty ETF at 22,000</w:t>
            </w:r>
          </w:p>
        </w:tc>
      </w:tr>
      <w:tr>
        <w:tc>
          <w:tcPr>
            <w:tcW w:type="dxa" w:w="9972"/>
            <w:shd w:val="clear" w:color="auto" w:fill="E8F5E9"/>
          </w:tcPr>
          <w:p>
            <w:r>
              <w:rPr>
                <w:b/>
                <w:i w:val="0"/>
                <w:color w:val="1B5E20"/>
                <w:sz w:val="22"/>
              </w:rPr>
              <w:t>B. Sell Nifty futures at 22,400 and buy Nifty ETF at 22,000</w:t>
            </w:r>
          </w:p>
        </w:tc>
      </w:tr>
      <w:tr>
        <w:tc>
          <w:tcPr>
            <w:tcW w:type="dxa" w:w="9972"/>
            <w:shd w:val="clear" w:color="auto" w:fill="FFFFFF"/>
          </w:tcPr>
          <w:p>
            <w:r>
              <w:rPr>
                <w:b w:val="0"/>
                <w:i w:val="0"/>
                <w:color w:val="404040"/>
                <w:sz w:val="22"/>
              </w:rPr>
              <w:t>C. Buy both Nifty futures and Nifty ETF simultaneously</w:t>
            </w:r>
          </w:p>
        </w:tc>
      </w:tr>
      <w:tr>
        <w:tc>
          <w:tcPr>
            <w:tcW w:type="dxa" w:w="9972"/>
            <w:shd w:val="clear" w:color="auto" w:fill="FFFFFF"/>
          </w:tcPr>
          <w:p>
            <w:r>
              <w:rPr>
                <w:b w:val="0"/>
                <w:i w:val="0"/>
                <w:color w:val="404040"/>
                <w:sz w:val="22"/>
              </w:rPr>
              <w:t>D. Do nothing — the market will correct itself without your participation</w:t>
            </w:r>
          </w:p>
        </w:tc>
      </w:tr>
      <w:tr>
        <w:tc>
          <w:tcPr>
            <w:tcW w:type="dxa" w:w="9972"/>
            <w:shd w:val="clear" w:color="auto" w:fill="F0F4FF"/>
          </w:tcPr>
          <w:p>
            <w:r>
              <w:rPr>
                <w:b/>
                <w:i w:val="0"/>
                <w:color w:val="007A87"/>
                <w:sz w:val="20"/>
              </w:rPr>
              <w:t xml:space="preserve">Rationale: </w:t>
            </w:r>
            <w:r>
              <w:rPr>
                <w:b w:val="0"/>
                <w:i w:val="0"/>
                <w:color w:val="404040"/>
                <w:sz w:val="20"/>
              </w:rPr>
              <w:t>Futures are overpriced (22,400 &gt; fair value 22,124). Cash-and-carry arbitrage: SELL overpriced futures, BUY underpriced spot (Nifty ETF). At expiry both converge. Lock-in profit = 22,400 − 22,124 = 276 points per unit, minus transaction costs.</w:t>
            </w:r>
          </w:p>
        </w:tc>
      </w:tr>
    </w:tbl>
    <w:p/>
    <w:p>
      <w:r>
        <w:rPr>
          <w:b w:val="0"/>
          <w:i/>
          <w:color w:val="007A87"/>
          <w:sz w:val="20"/>
        </w:rPr>
        <w:t xml:space="preserve">  Video 2 of 3  |  EAR: Apply</w:t>
      </w:r>
    </w:p>
    <w:p>
      <w:r>
        <w:rPr>
          <w:b/>
          <w:i w:val="0"/>
          <w:color w:val="F0A800"/>
          <w:sz w:val="22"/>
        </w:rPr>
        <w:t>Q30.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Speculators in futures markets provide liquidity that hedgers need to transfer their risk.</w:t>
            </w:r>
          </w:p>
        </w:tc>
        <w:tc>
          <w:tcPr>
            <w:tcW w:type="dxa" w:w="2493"/>
            <w:shd w:val="clear" w:color="auto" w:fill="E8F5E9"/>
          </w:tcPr>
          <w:p>
            <w:r>
              <w:rPr>
                <w:b/>
                <w:i w:val="0"/>
                <w:color w:val="1B5E20"/>
                <w:sz w:val="20"/>
              </w:rPr>
              <w:t>TRUE</w:t>
            </w:r>
          </w:p>
        </w:tc>
        <w:tc>
          <w:tcPr>
            <w:tcW w:type="dxa" w:w="2493"/>
          </w:tcPr>
          <w:p>
            <w:r>
              <w:rPr>
                <w:b w:val="0"/>
                <w:i w:val="0"/>
                <w:color w:val="404040"/>
                <w:sz w:val="18"/>
              </w:rPr>
              <w:t>Hedgers need someone to take the other side of their trade. Speculators willingly take on price risk in expectation of profit, providing the liquidity that makes hedging possible.</w:t>
            </w:r>
          </w:p>
        </w:tc>
      </w:tr>
      <w:tr>
        <w:tc>
          <w:tcPr>
            <w:tcW w:type="dxa" w:w="2493"/>
          </w:tcPr>
          <w:p>
            <w:r>
              <w:rPr>
                <w:b w:val="0"/>
                <w:i w:val="0"/>
                <w:sz w:val="20"/>
              </w:rPr>
              <w:t>2</w:t>
            </w:r>
          </w:p>
        </w:tc>
        <w:tc>
          <w:tcPr>
            <w:tcW w:type="dxa" w:w="2493"/>
          </w:tcPr>
          <w:p>
            <w:r>
              <w:rPr>
                <w:b w:val="0"/>
                <w:i w:val="0"/>
                <w:sz w:val="20"/>
              </w:rPr>
              <w:t>Leverage in futures is beneficial only when positions move in the trader's favour — losses are also magnified.</w:t>
            </w:r>
          </w:p>
        </w:tc>
        <w:tc>
          <w:tcPr>
            <w:tcW w:type="dxa" w:w="2493"/>
            <w:shd w:val="clear" w:color="auto" w:fill="E8F5E9"/>
          </w:tcPr>
          <w:p>
            <w:r>
              <w:rPr>
                <w:b/>
                <w:i w:val="0"/>
                <w:color w:val="1B5E20"/>
                <w:sz w:val="20"/>
              </w:rPr>
              <w:t>TRUE</w:t>
            </w:r>
          </w:p>
        </w:tc>
        <w:tc>
          <w:tcPr>
            <w:tcW w:type="dxa" w:w="2493"/>
          </w:tcPr>
          <w:p>
            <w:r>
              <w:rPr>
                <w:b w:val="0"/>
                <w:i w:val="0"/>
                <w:color w:val="404040"/>
                <w:sz w:val="18"/>
              </w:rPr>
              <w:t>Leverage magnifies both gains AND losses proportionally. A 9.6x leveraged long position gains 48% on margin if the underlying rises 5% — but also loses 48% on margin if it falls 5%.</w:t>
            </w:r>
          </w:p>
        </w:tc>
      </w:tr>
      <w:tr>
        <w:tc>
          <w:tcPr>
            <w:tcW w:type="dxa" w:w="2493"/>
          </w:tcPr>
          <w:p>
            <w:r>
              <w:rPr>
                <w:b w:val="0"/>
                <w:i w:val="0"/>
                <w:sz w:val="20"/>
              </w:rPr>
              <w:t>3</w:t>
            </w:r>
          </w:p>
        </w:tc>
        <w:tc>
          <w:tcPr>
            <w:tcW w:type="dxa" w:w="2493"/>
          </w:tcPr>
          <w:p>
            <w:r>
              <w:rPr>
                <w:b w:val="0"/>
                <w:i w:val="0"/>
                <w:sz w:val="20"/>
              </w:rPr>
              <w:t>Calendar spread arbitrage involves taking positions in spot and futures simultaneously.</w:t>
            </w:r>
          </w:p>
        </w:tc>
        <w:tc>
          <w:tcPr>
            <w:tcW w:type="dxa" w:w="2493"/>
            <w:shd w:val="clear" w:color="auto" w:fill="FFEBEE"/>
          </w:tcPr>
          <w:p>
            <w:r>
              <w:rPr>
                <w:b/>
                <w:i w:val="0"/>
                <w:color w:val="B71C1C"/>
                <w:sz w:val="20"/>
              </w:rPr>
              <w:t>FALSE</w:t>
            </w:r>
          </w:p>
        </w:tc>
        <w:tc>
          <w:tcPr>
            <w:tcW w:type="dxa" w:w="2493"/>
          </w:tcPr>
          <w:p>
            <w:r>
              <w:rPr>
                <w:b w:val="0"/>
                <w:i w:val="0"/>
                <w:color w:val="404040"/>
                <w:sz w:val="18"/>
              </w:rPr>
              <w:t>Calendar spread involves buying one expiry month and selling another (e.g., long July Nifty, short August Nifty). It exploits mispricing between months, not between spot and futures.</w:t>
            </w:r>
          </w:p>
        </w:tc>
      </w:tr>
      <w:tr>
        <w:tc>
          <w:tcPr>
            <w:tcW w:type="dxa" w:w="2493"/>
          </w:tcPr>
          <w:p>
            <w:r>
              <w:rPr>
                <w:b w:val="0"/>
                <w:i w:val="0"/>
                <w:sz w:val="20"/>
              </w:rPr>
              <w:t>4</w:t>
            </w:r>
          </w:p>
        </w:tc>
        <w:tc>
          <w:tcPr>
            <w:tcW w:type="dxa" w:w="2493"/>
          </w:tcPr>
          <w:p>
            <w:r>
              <w:rPr>
                <w:b w:val="0"/>
                <w:i w:val="0"/>
                <w:sz w:val="20"/>
              </w:rPr>
              <w:t>Transaction costs create a 'no-arbitrage band' — a range around fair value where arbitrage is not profitable.</w:t>
            </w:r>
          </w:p>
        </w:tc>
        <w:tc>
          <w:tcPr>
            <w:tcW w:type="dxa" w:w="2493"/>
            <w:shd w:val="clear" w:color="auto" w:fill="E8F5E9"/>
          </w:tcPr>
          <w:p>
            <w:r>
              <w:rPr>
                <w:b/>
                <w:i w:val="0"/>
                <w:color w:val="1B5E20"/>
                <w:sz w:val="20"/>
              </w:rPr>
              <w:t>TRUE</w:t>
            </w:r>
          </w:p>
        </w:tc>
        <w:tc>
          <w:tcPr>
            <w:tcW w:type="dxa" w:w="2493"/>
          </w:tcPr>
          <w:p>
            <w:r>
              <w:rPr>
                <w:b w:val="0"/>
                <w:i w:val="0"/>
                <w:color w:val="404040"/>
                <w:sz w:val="18"/>
              </w:rPr>
              <w:t>Brokerage, STT, impact cost, and financing costs mean small deviations from fair value are not exploitable. Significant deviations outside this band attract arbitrage, which closes the gap.</w:t>
            </w:r>
          </w:p>
        </w:tc>
      </w:tr>
    </w:tbl>
    <w:p/>
    <w:p>
      <w:r>
        <w:rPr>
          <w:b w:val="0"/>
          <w:i/>
          <w:color w:val="007A87"/>
          <w:sz w:val="20"/>
        </w:rPr>
        <w:t xml:space="preserve">  Video 3 of 3  |  EAR: Relate</w:t>
      </w:r>
    </w:p>
    <w:p>
      <w:r>
        <w:rPr>
          <w:b/>
          <w:i w:val="0"/>
          <w:color w:val="F0A800"/>
          <w:sz w:val="22"/>
        </w:rPr>
        <w:t>Q31.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A trader buys a Nifty current-month futures contract at 22,350 and simultaneously sells next-month futures at 22,500. This [BLANK1] strategy profits if the [BLANK2] between the two months [BLANK3] (increases). The position has minimal directional market risk.</w:t>
            </w:r>
          </w:p>
        </w:tc>
      </w:tr>
      <w:tr>
        <w:tc>
          <w:tcPr>
            <w:tcW w:type="dxa" w:w="9972"/>
            <w:shd w:val="clear" w:color="auto" w:fill="F5F5F5"/>
          </w:tcPr>
          <w:p>
            <w:r>
              <w:rPr>
                <w:b w:val="0"/>
                <w:i w:val="0"/>
                <w:color w:val="007A87"/>
                <w:sz w:val="20"/>
              </w:rPr>
              <w:t>Options: calendar spread / cash-futures arbitrage / directional trade  |  spread / basis / premium  |  widens / narrows / stays constant</w:t>
            </w:r>
          </w:p>
        </w:tc>
      </w:tr>
      <w:tr>
        <w:tc>
          <w:tcPr>
            <w:tcW w:type="dxa" w:w="9972"/>
            <w:shd w:val="clear" w:color="auto" w:fill="E8F5E9"/>
          </w:tcPr>
          <w:p>
            <w:r>
              <w:rPr>
                <w:b/>
                <w:i w:val="0"/>
                <w:color w:val="1B5E20"/>
                <w:sz w:val="20"/>
              </w:rPr>
              <w:t>Answers: BLANK1 → calendar spread  |  BLANK2 → spread  |  BLANK3 → widens</w:t>
            </w:r>
          </w:p>
        </w:tc>
      </w:tr>
      <w:tr>
        <w:tc>
          <w:tcPr>
            <w:tcW w:type="dxa" w:w="9972"/>
            <w:shd w:val="clear" w:color="auto" w:fill="F0F4FF"/>
          </w:tcPr>
          <w:p>
            <w:r>
              <w:rPr>
                <w:b/>
                <w:i w:val="0"/>
                <w:color w:val="007A87"/>
                <w:sz w:val="20"/>
              </w:rPr>
              <w:t xml:space="preserve">Rationale: </w:t>
            </w:r>
            <w:r>
              <w:rPr>
                <w:b w:val="0"/>
                <w:i w:val="0"/>
                <w:color w:val="404040"/>
                <w:sz w:val="20"/>
              </w:rPr>
              <w:t>Calendar spread: buy near month, sell far month (or vice versa). Profits from the spread between expiry months changing — not from market direction. Used when carry cost expectations change (e.g., interest rate views). Low directional risk.</w:t>
            </w:r>
          </w:p>
        </w:tc>
      </w:tr>
    </w:tbl>
    <w:p/>
    <w:p>
      <w:r>
        <w:rPr>
          <w:b/>
          <w:i w:val="0"/>
          <w:color w:val="F0A800"/>
          <w:sz w:val="22"/>
        </w:rPr>
        <w:t>Q32.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Hedger</w:t>
            </w:r>
          </w:p>
        </w:tc>
        <w:tc>
          <w:tcPr>
            <w:tcW w:type="dxa" w:w="3324"/>
          </w:tcPr>
          <w:p>
            <w:r>
              <w:rPr>
                <w:b w:val="0"/>
                <w:i w:val="0"/>
                <w:sz w:val="20"/>
              </w:rPr>
              <w:t>Transfers price risk using futures</w:t>
            </w:r>
          </w:p>
        </w:tc>
        <w:tc>
          <w:tcPr>
            <w:tcW w:type="dxa" w:w="3324"/>
            <w:shd w:val="clear" w:color="auto" w:fill="E8F5E9"/>
          </w:tcPr>
          <w:p>
            <w:r>
              <w:rPr>
                <w:b/>
                <w:i w:val="0"/>
                <w:color w:val="1B5E20"/>
                <w:sz w:val="20"/>
              </w:rPr>
              <w:t>Hedger → Risk transfer</w:t>
            </w:r>
          </w:p>
        </w:tc>
      </w:tr>
      <w:tr>
        <w:tc>
          <w:tcPr>
            <w:tcW w:type="dxa" w:w="3324"/>
          </w:tcPr>
          <w:p>
            <w:r>
              <w:rPr>
                <w:b w:val="0"/>
                <w:i w:val="0"/>
                <w:sz w:val="20"/>
              </w:rPr>
              <w:t>Speculator</w:t>
            </w:r>
          </w:p>
        </w:tc>
        <w:tc>
          <w:tcPr>
            <w:tcW w:type="dxa" w:w="3324"/>
          </w:tcPr>
          <w:p>
            <w:r>
              <w:rPr>
                <w:b w:val="0"/>
                <w:i w:val="0"/>
                <w:sz w:val="20"/>
              </w:rPr>
              <w:t>Takes directional view for profit</w:t>
            </w:r>
          </w:p>
        </w:tc>
        <w:tc>
          <w:tcPr>
            <w:tcW w:type="dxa" w:w="3324"/>
            <w:shd w:val="clear" w:color="auto" w:fill="E8F5E9"/>
          </w:tcPr>
          <w:p>
            <w:r>
              <w:rPr>
                <w:b/>
                <w:i w:val="0"/>
                <w:color w:val="1B5E20"/>
                <w:sz w:val="20"/>
              </w:rPr>
              <w:t>Speculator → Directional bet, provides liquidity</w:t>
            </w:r>
          </w:p>
        </w:tc>
      </w:tr>
      <w:tr>
        <w:tc>
          <w:tcPr>
            <w:tcW w:type="dxa" w:w="3324"/>
          </w:tcPr>
          <w:p>
            <w:r>
              <w:rPr>
                <w:b w:val="0"/>
                <w:i w:val="0"/>
                <w:sz w:val="20"/>
              </w:rPr>
              <w:t>Arbitrageur</w:t>
            </w:r>
          </w:p>
        </w:tc>
        <w:tc>
          <w:tcPr>
            <w:tcW w:type="dxa" w:w="3324"/>
          </w:tcPr>
          <w:p>
            <w:r>
              <w:rPr>
                <w:b w:val="0"/>
                <w:i w:val="0"/>
                <w:sz w:val="20"/>
              </w:rPr>
              <w:t>Exploits mispricings to earn risk-free profit</w:t>
            </w:r>
          </w:p>
        </w:tc>
        <w:tc>
          <w:tcPr>
            <w:tcW w:type="dxa" w:w="3324"/>
            <w:shd w:val="clear" w:color="auto" w:fill="E8F5E9"/>
          </w:tcPr>
          <w:p>
            <w:r>
              <w:rPr>
                <w:b/>
                <w:i w:val="0"/>
                <w:color w:val="1B5E20"/>
                <w:sz w:val="20"/>
              </w:rPr>
              <w:t>Arbitrageur → Enforces no-arbitrage pricing</w:t>
            </w:r>
          </w:p>
        </w:tc>
      </w:tr>
      <w:tr>
        <w:tc>
          <w:tcPr>
            <w:tcW w:type="dxa" w:w="3324"/>
          </w:tcPr>
          <w:p>
            <w:r>
              <w:rPr>
                <w:b w:val="0"/>
                <w:i w:val="0"/>
                <w:sz w:val="20"/>
              </w:rPr>
              <w:t>Market Maker</w:t>
            </w:r>
          </w:p>
        </w:tc>
        <w:tc>
          <w:tcPr>
            <w:tcW w:type="dxa" w:w="3324"/>
          </w:tcPr>
          <w:p>
            <w:r>
              <w:rPr>
                <w:b w:val="0"/>
                <w:i w:val="0"/>
                <w:sz w:val="20"/>
              </w:rPr>
              <w:t>Continuously quotes bid-ask to provide liquidity</w:t>
            </w:r>
          </w:p>
        </w:tc>
        <w:tc>
          <w:tcPr>
            <w:tcW w:type="dxa" w:w="3324"/>
            <w:shd w:val="clear" w:color="auto" w:fill="E8F5E9"/>
          </w:tcPr>
          <w:p>
            <w:r>
              <w:rPr>
                <w:b/>
                <w:i w:val="0"/>
                <w:color w:val="1B5E20"/>
                <w:sz w:val="20"/>
              </w:rPr>
              <w:t>Market Maker → Liquidity provision</w:t>
            </w:r>
          </w:p>
        </w:tc>
      </w:tr>
      <w:tr>
        <w:tc>
          <w:tcPr>
            <w:tcW w:type="dxa" w:w="9972"/>
            <w:gridSpan w:val="3"/>
            <w:shd w:val="clear" w:color="auto" w:fill="F0F4FF"/>
          </w:tcPr>
          <w:p>
            <w:r>
              <w:rPr>
                <w:b/>
                <w:i w:val="0"/>
                <w:color w:val="007A87"/>
                <w:sz w:val="20"/>
              </w:rPr>
              <w:t xml:space="preserve">Rationale: </w:t>
            </w:r>
            <w:r>
              <w:rPr>
                <w:b w:val="0"/>
                <w:i w:val="0"/>
                <w:color w:val="404040"/>
                <w:sz w:val="20"/>
              </w:rPr>
              <w:t>All four roles are essential for efficient futures markets: hedgers create risk transfer demand, speculators supply liquidity, arbitrageurs enforce fair pricing, and market makers reduce transaction costs.</w:t>
            </w:r>
          </w:p>
        </w:tc>
      </w:tr>
    </w:tbl>
    <w:p/>
    <w:p>
      <w:r>
        <w:br w:type="page"/>
      </w:r>
    </w:p>
    <w:p>
      <w:pPr>
        <w:jc w:val="left"/>
      </w:pPr>
      <w:r>
        <w:rPr>
          <w:b/>
          <w:i w:val="0"/>
          <w:color w:val="101C4F"/>
          <w:sz w:val="28"/>
        </w:rPr>
        <w:t>UOR: D6.9  |  Commodity vs Financial Futures in India</w:t>
      </w:r>
    </w:p>
    <w:p/>
    <w:p>
      <w:r>
        <w:rPr>
          <w:b w:val="0"/>
          <w:i/>
          <w:color w:val="007A87"/>
          <w:sz w:val="20"/>
        </w:rPr>
        <w:t xml:space="preserve">  Video 1 of 3  |  EAR: Explain</w:t>
      </w:r>
    </w:p>
    <w:p>
      <w:r>
        <w:rPr>
          <w:b/>
          <w:i w:val="0"/>
          <w:color w:val="F0A800"/>
          <w:sz w:val="22"/>
        </w:rPr>
        <w:t>Q33.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An Indian jeweller expects to buy 5 kg of gold in 3 months. Current MCX gold price is ₹60,000 per 10 grams. What is the most appropriate hedge?</w:t>
            </w:r>
          </w:p>
        </w:tc>
      </w:tr>
      <w:tr>
        <w:tc>
          <w:tcPr>
            <w:tcW w:type="dxa" w:w="9972"/>
            <w:shd w:val="clear" w:color="auto" w:fill="FFFFFF"/>
          </w:tcPr>
          <w:p>
            <w:r>
              <w:rPr>
                <w:b w:val="0"/>
                <w:i w:val="0"/>
                <w:color w:val="404040"/>
                <w:sz w:val="22"/>
              </w:rPr>
              <w:t>A. Sell 5 MCX Gold futures contracts (1 kg each)</w:t>
            </w:r>
          </w:p>
        </w:tc>
      </w:tr>
      <w:tr>
        <w:tc>
          <w:tcPr>
            <w:tcW w:type="dxa" w:w="9972"/>
            <w:shd w:val="clear" w:color="auto" w:fill="E8F5E9"/>
          </w:tcPr>
          <w:p>
            <w:r>
              <w:rPr>
                <w:b/>
                <w:i w:val="0"/>
                <w:color w:val="1B5E20"/>
                <w:sz w:val="22"/>
              </w:rPr>
              <w:t>B. Buy 5 MCX Gold futures contracts (1 kg each)</w:t>
            </w:r>
          </w:p>
        </w:tc>
      </w:tr>
      <w:tr>
        <w:tc>
          <w:tcPr>
            <w:tcW w:type="dxa" w:w="9972"/>
            <w:shd w:val="clear" w:color="auto" w:fill="FFFFFF"/>
          </w:tcPr>
          <w:p>
            <w:r>
              <w:rPr>
                <w:b w:val="0"/>
                <w:i w:val="0"/>
                <w:color w:val="404040"/>
                <w:sz w:val="22"/>
              </w:rPr>
              <w:t>C. Sell USD/INR futures on NSE</w:t>
            </w:r>
          </w:p>
        </w:tc>
      </w:tr>
      <w:tr>
        <w:tc>
          <w:tcPr>
            <w:tcW w:type="dxa" w:w="9972"/>
            <w:shd w:val="clear" w:color="auto" w:fill="FFFFFF"/>
          </w:tcPr>
          <w:p>
            <w:r>
              <w:rPr>
                <w:b w:val="0"/>
                <w:i w:val="0"/>
                <w:color w:val="404040"/>
                <w:sz w:val="22"/>
              </w:rPr>
              <w:t>D. Buy Nifty 50 futures on NSE</w:t>
            </w:r>
          </w:p>
        </w:tc>
      </w:tr>
      <w:tr>
        <w:tc>
          <w:tcPr>
            <w:tcW w:type="dxa" w:w="9972"/>
            <w:shd w:val="clear" w:color="auto" w:fill="F0F4FF"/>
          </w:tcPr>
          <w:p>
            <w:r>
              <w:rPr>
                <w:b/>
                <w:i w:val="0"/>
                <w:color w:val="007A87"/>
                <w:sz w:val="20"/>
              </w:rPr>
              <w:t xml:space="preserve">Rationale: </w:t>
            </w:r>
            <w:r>
              <w:rPr>
                <w:b w:val="0"/>
                <w:i w:val="0"/>
                <w:color w:val="404040"/>
                <w:sz w:val="20"/>
              </w:rPr>
              <w:t>The jeweller NEEDS to buy gold (long hedge). Buy MCX Gold futures to lock in the purchase price. If gold rises from ₹60,000 to ₹65,000, the physical purchase costs more but the long futures position gains — offsetting the cost increase. 5 kg = 5 contracts (1 kg each).</w:t>
            </w:r>
          </w:p>
        </w:tc>
      </w:tr>
    </w:tbl>
    <w:p/>
    <w:p>
      <w:r>
        <w:rPr>
          <w:b w:val="0"/>
          <w:i/>
          <w:color w:val="007A87"/>
          <w:sz w:val="20"/>
        </w:rPr>
        <w:t xml:space="preserve">  Video 2 of 3  |  EAR: Apply</w:t>
      </w:r>
    </w:p>
    <w:p>
      <w:r>
        <w:rPr>
          <w:b/>
          <w:i w:val="0"/>
          <w:color w:val="F0A800"/>
          <w:sz w:val="22"/>
        </w:rPr>
        <w:t>Q34.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MCX Crude Oil futures in India are physically settled — the buyer must take delivery of 100 barrels of crude oil.</w:t>
            </w:r>
          </w:p>
        </w:tc>
        <w:tc>
          <w:tcPr>
            <w:tcW w:type="dxa" w:w="2493"/>
            <w:shd w:val="clear" w:color="auto" w:fill="FFEBEE"/>
          </w:tcPr>
          <w:p>
            <w:r>
              <w:rPr>
                <w:b/>
                <w:i w:val="0"/>
                <w:color w:val="B71C1C"/>
                <w:sz w:val="20"/>
              </w:rPr>
              <w:t>FALSE</w:t>
            </w:r>
          </w:p>
        </w:tc>
        <w:tc>
          <w:tcPr>
            <w:tcW w:type="dxa" w:w="2493"/>
          </w:tcPr>
          <w:p>
            <w:r>
              <w:rPr>
                <w:b w:val="0"/>
                <w:i w:val="0"/>
                <w:color w:val="404040"/>
                <w:sz w:val="18"/>
              </w:rPr>
              <w:t>MCX Crude Oil futures are CASH-settled — no physical delivery of crude oil. Settlement is based on the WTI price converted to INR. MCX Gold and Silver contracts can have physical delivery.</w:t>
            </w:r>
          </w:p>
        </w:tc>
      </w:tr>
      <w:tr>
        <w:tc>
          <w:tcPr>
            <w:tcW w:type="dxa" w:w="2493"/>
          </w:tcPr>
          <w:p>
            <w:r>
              <w:rPr>
                <w:b w:val="0"/>
                <w:i w:val="0"/>
                <w:sz w:val="20"/>
              </w:rPr>
              <w:t>2</w:t>
            </w:r>
          </w:p>
        </w:tc>
        <w:tc>
          <w:tcPr>
            <w:tcW w:type="dxa" w:w="2493"/>
          </w:tcPr>
          <w:p>
            <w:r>
              <w:rPr>
                <w:b w:val="0"/>
                <w:i w:val="0"/>
                <w:sz w:val="20"/>
              </w:rPr>
              <w:t>NCDEX agricultural futures serve a social purpose by giving Indian farmers access to price discovery and hedging.</w:t>
            </w:r>
          </w:p>
        </w:tc>
        <w:tc>
          <w:tcPr>
            <w:tcW w:type="dxa" w:w="2493"/>
            <w:shd w:val="clear" w:color="auto" w:fill="E8F5E9"/>
          </w:tcPr>
          <w:p>
            <w:r>
              <w:rPr>
                <w:b/>
                <w:i w:val="0"/>
                <w:color w:val="1B5E20"/>
                <w:sz w:val="20"/>
              </w:rPr>
              <w:t>TRUE</w:t>
            </w:r>
          </w:p>
        </w:tc>
        <w:tc>
          <w:tcPr>
            <w:tcW w:type="dxa" w:w="2493"/>
          </w:tcPr>
          <w:p>
            <w:r>
              <w:rPr>
                <w:b w:val="0"/>
                <w:i w:val="0"/>
                <w:color w:val="404040"/>
                <w:sz w:val="18"/>
              </w:rPr>
              <w:t>NCDEX was specifically created to help Indian agricultural commodity market participants — farmers, processors, traders — hedge price risk and access transparent prices.</w:t>
            </w:r>
          </w:p>
        </w:tc>
      </w:tr>
      <w:tr>
        <w:tc>
          <w:tcPr>
            <w:tcW w:type="dxa" w:w="2493"/>
          </w:tcPr>
          <w:p>
            <w:r>
              <w:rPr>
                <w:b w:val="0"/>
                <w:i w:val="0"/>
                <w:sz w:val="20"/>
              </w:rPr>
              <w:t>3</w:t>
            </w:r>
          </w:p>
        </w:tc>
        <w:tc>
          <w:tcPr>
            <w:tcW w:type="dxa" w:w="2493"/>
          </w:tcPr>
          <w:p>
            <w:r>
              <w:rPr>
                <w:b w:val="0"/>
                <w:i w:val="0"/>
                <w:sz w:val="20"/>
              </w:rPr>
              <w:t>Financial futures (Nifty, USD/INR) have no storage cost, making their forward pricing simpler than commodity futures.</w:t>
            </w:r>
          </w:p>
        </w:tc>
        <w:tc>
          <w:tcPr>
            <w:tcW w:type="dxa" w:w="2493"/>
            <w:shd w:val="clear" w:color="auto" w:fill="E8F5E9"/>
          </w:tcPr>
          <w:p>
            <w:r>
              <w:rPr>
                <w:b/>
                <w:i w:val="0"/>
                <w:color w:val="1B5E20"/>
                <w:sz w:val="20"/>
              </w:rPr>
              <w:t>TRUE</w:t>
            </w:r>
          </w:p>
        </w:tc>
        <w:tc>
          <w:tcPr>
            <w:tcW w:type="dxa" w:w="2493"/>
          </w:tcPr>
          <w:p>
            <w:r>
              <w:rPr>
                <w:b w:val="0"/>
                <w:i w:val="0"/>
                <w:color w:val="404040"/>
                <w:sz w:val="18"/>
              </w:rPr>
              <w:t>Financial futures: no storage, no spoilage, no convenience yield in most cases. Pricing = spot × (1+r)^T adjusted for dividends. Much simpler than commodity futures which involve storage, seasonality, and convenience yield.</w:t>
            </w:r>
          </w:p>
        </w:tc>
      </w:tr>
      <w:tr>
        <w:tc>
          <w:tcPr>
            <w:tcW w:type="dxa" w:w="2493"/>
          </w:tcPr>
          <w:p>
            <w:r>
              <w:rPr>
                <w:b w:val="0"/>
                <w:i w:val="0"/>
                <w:sz w:val="20"/>
              </w:rPr>
              <w:t>4</w:t>
            </w:r>
          </w:p>
        </w:tc>
        <w:tc>
          <w:tcPr>
            <w:tcW w:type="dxa" w:w="2493"/>
          </w:tcPr>
          <w:p>
            <w:r>
              <w:rPr>
                <w:b w:val="0"/>
                <w:i w:val="0"/>
                <w:sz w:val="20"/>
              </w:rPr>
              <w:t>GIFT Nifty futures trade 24 hours a day on NSE's international exchange in GIFT City, Gujarat.</w:t>
            </w:r>
          </w:p>
        </w:tc>
        <w:tc>
          <w:tcPr>
            <w:tcW w:type="dxa" w:w="2493"/>
            <w:shd w:val="clear" w:color="auto" w:fill="E8F5E9"/>
          </w:tcPr>
          <w:p>
            <w:r>
              <w:rPr>
                <w:b/>
                <w:i w:val="0"/>
                <w:color w:val="1B5E20"/>
                <w:sz w:val="20"/>
              </w:rPr>
              <w:t>TRUE</w:t>
            </w:r>
          </w:p>
        </w:tc>
        <w:tc>
          <w:tcPr>
            <w:tcW w:type="dxa" w:w="2493"/>
          </w:tcPr>
          <w:p>
            <w:r>
              <w:rPr>
                <w:b w:val="0"/>
                <w:i w:val="0"/>
                <w:color w:val="404040"/>
                <w:sz w:val="18"/>
              </w:rPr>
              <w:t>GIFT Nifty (formerly SGX Nifty) now trades on NSE IX in GIFT City with nearly 24-hour access, enabling global investors to take Nifty positions outside Indian market hours.</w:t>
            </w:r>
          </w:p>
        </w:tc>
      </w:tr>
    </w:tbl>
    <w:p/>
    <w:p>
      <w:r>
        <w:rPr>
          <w:b w:val="0"/>
          <w:i/>
          <w:color w:val="007A87"/>
          <w:sz w:val="20"/>
        </w:rPr>
        <w:t xml:space="preserve">  Video 3 of 3  |  EAR: Relate</w:t>
      </w:r>
    </w:p>
    <w:p>
      <w:r>
        <w:rPr>
          <w:b/>
          <w:i w:val="0"/>
          <w:color w:val="F0A800"/>
          <w:sz w:val="22"/>
        </w:rPr>
        <w:t>Q35.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Commodity futures pricing includes both [BLANK1] (added to spot) and [BLANK2] (subtracted from spot). When supply is scarce and physical inventory is very valuable, [BLANK2] is high, which can cause [BLANK3] — where the futures price is BELOW spot.</w:t>
            </w:r>
          </w:p>
        </w:tc>
      </w:tr>
      <w:tr>
        <w:tc>
          <w:tcPr>
            <w:tcW w:type="dxa" w:w="9972"/>
            <w:shd w:val="clear" w:color="auto" w:fill="F5F5F5"/>
          </w:tcPr>
          <w:p>
            <w:r>
              <w:rPr>
                <w:b w:val="0"/>
                <w:i w:val="0"/>
                <w:color w:val="007A87"/>
                <w:sz w:val="20"/>
              </w:rPr>
              <w:t>Options: storage costs / interest cost / margin  |  convenience yield / dividend yield / coupon income  |  backwardation / contango / basis risk</w:t>
            </w:r>
          </w:p>
        </w:tc>
      </w:tr>
      <w:tr>
        <w:tc>
          <w:tcPr>
            <w:tcW w:type="dxa" w:w="9972"/>
            <w:shd w:val="clear" w:color="auto" w:fill="E8F5E9"/>
          </w:tcPr>
          <w:p>
            <w:r>
              <w:rPr>
                <w:b/>
                <w:i w:val="0"/>
                <w:color w:val="1B5E20"/>
                <w:sz w:val="20"/>
              </w:rPr>
              <w:t>Answers: BLANK1 → storage costs (and interest)  |  BLANK2 → convenience yield  |  BLANK3 → backwardation</w:t>
            </w:r>
          </w:p>
        </w:tc>
      </w:tr>
      <w:tr>
        <w:tc>
          <w:tcPr>
            <w:tcW w:type="dxa" w:w="9972"/>
            <w:shd w:val="clear" w:color="auto" w:fill="F0F4FF"/>
          </w:tcPr>
          <w:p>
            <w:r>
              <w:rPr>
                <w:b/>
                <w:i w:val="0"/>
                <w:color w:val="007A87"/>
                <w:sz w:val="20"/>
              </w:rPr>
              <w:t xml:space="preserve">Rationale: </w:t>
            </w:r>
            <w:r>
              <w:rPr>
                <w:b w:val="0"/>
                <w:i w:val="0"/>
                <w:color w:val="404040"/>
                <w:sz w:val="20"/>
              </w:rPr>
              <w:t>Commodity forward price = Spot × e^(r + storage − convenience)×T. High convenience yield → backwardation (F &lt; S). Normal carry → contango (F &gt; S). This explains oil market structure changes during supply shocks vs oversupply periods.</w:t>
            </w:r>
          </w:p>
        </w:tc>
      </w:tr>
    </w:tbl>
    <w:p/>
    <w:p>
      <w:r>
        <w:rPr>
          <w:b/>
          <w:i w:val="0"/>
          <w:color w:val="F0A800"/>
          <w:sz w:val="22"/>
        </w:rPr>
        <w:t>Q36.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Nifty 50 Futures</w:t>
            </w:r>
          </w:p>
        </w:tc>
        <w:tc>
          <w:tcPr>
            <w:tcW w:type="dxa" w:w="3324"/>
          </w:tcPr>
          <w:p>
            <w:r>
              <w:rPr>
                <w:b w:val="0"/>
                <w:i w:val="0"/>
                <w:sz w:val="20"/>
              </w:rPr>
              <w:t>NSE — cash settled, lot 25, global benchmark</w:t>
            </w:r>
          </w:p>
        </w:tc>
        <w:tc>
          <w:tcPr>
            <w:tcW w:type="dxa" w:w="3324"/>
            <w:shd w:val="clear" w:color="auto" w:fill="E8F5E9"/>
          </w:tcPr>
          <w:p>
            <w:r>
              <w:rPr>
                <w:b/>
                <w:i w:val="0"/>
                <w:color w:val="1B5E20"/>
                <w:sz w:val="20"/>
              </w:rPr>
              <w:t>Nifty → NSE, lot 25, cash-settled</w:t>
            </w:r>
          </w:p>
        </w:tc>
      </w:tr>
      <w:tr>
        <w:tc>
          <w:tcPr>
            <w:tcW w:type="dxa" w:w="3324"/>
          </w:tcPr>
          <w:p>
            <w:r>
              <w:rPr>
                <w:b w:val="0"/>
                <w:i w:val="0"/>
                <w:sz w:val="20"/>
              </w:rPr>
              <w:t>MCX Gold Futures</w:t>
            </w:r>
          </w:p>
        </w:tc>
        <w:tc>
          <w:tcPr>
            <w:tcW w:type="dxa" w:w="3324"/>
          </w:tcPr>
          <w:p>
            <w:r>
              <w:rPr>
                <w:b w:val="0"/>
                <w:i w:val="0"/>
                <w:sz w:val="20"/>
              </w:rPr>
              <w:t>MCX — physical delivery possible, lot 1 kg</w:t>
            </w:r>
          </w:p>
        </w:tc>
        <w:tc>
          <w:tcPr>
            <w:tcW w:type="dxa" w:w="3324"/>
            <w:shd w:val="clear" w:color="auto" w:fill="E8F5E9"/>
          </w:tcPr>
          <w:p>
            <w:r>
              <w:rPr>
                <w:b/>
                <w:i w:val="0"/>
                <w:color w:val="1B5E20"/>
                <w:sz w:val="20"/>
              </w:rPr>
              <w:t>MCX Gold → MCX, lot 1 kg, physical possible</w:t>
            </w:r>
          </w:p>
        </w:tc>
      </w:tr>
      <w:tr>
        <w:tc>
          <w:tcPr>
            <w:tcW w:type="dxa" w:w="3324"/>
          </w:tcPr>
          <w:p>
            <w:r>
              <w:rPr>
                <w:b w:val="0"/>
                <w:i w:val="0"/>
                <w:sz w:val="20"/>
              </w:rPr>
              <w:t>NCDEX Soybean</w:t>
            </w:r>
          </w:p>
        </w:tc>
        <w:tc>
          <w:tcPr>
            <w:tcW w:type="dxa" w:w="3324"/>
          </w:tcPr>
          <w:p>
            <w:r>
              <w:rPr>
                <w:b w:val="0"/>
                <w:i w:val="0"/>
                <w:sz w:val="20"/>
              </w:rPr>
              <w:t>NCDEX — physical delivery, lot 10 MT, agri</w:t>
            </w:r>
          </w:p>
        </w:tc>
        <w:tc>
          <w:tcPr>
            <w:tcW w:type="dxa" w:w="3324"/>
            <w:shd w:val="clear" w:color="auto" w:fill="E8F5E9"/>
          </w:tcPr>
          <w:p>
            <w:r>
              <w:rPr>
                <w:b/>
                <w:i w:val="0"/>
                <w:color w:val="1B5E20"/>
                <w:sz w:val="20"/>
              </w:rPr>
              <w:t>Soybean → NCDEX, agricultural, 10 MT</w:t>
            </w:r>
          </w:p>
        </w:tc>
      </w:tr>
      <w:tr>
        <w:tc>
          <w:tcPr>
            <w:tcW w:type="dxa" w:w="3324"/>
          </w:tcPr>
          <w:p>
            <w:r>
              <w:rPr>
                <w:b w:val="0"/>
                <w:i w:val="0"/>
                <w:sz w:val="20"/>
              </w:rPr>
              <w:t>USD/INR Futures</w:t>
            </w:r>
          </w:p>
        </w:tc>
        <w:tc>
          <w:tcPr>
            <w:tcW w:type="dxa" w:w="3324"/>
          </w:tcPr>
          <w:p>
            <w:r>
              <w:rPr>
                <w:b w:val="0"/>
                <w:i w:val="0"/>
                <w:sz w:val="20"/>
              </w:rPr>
              <w:t>NSE — cash settled, lot USD 1,000, FEMA governed</w:t>
            </w:r>
          </w:p>
        </w:tc>
        <w:tc>
          <w:tcPr>
            <w:tcW w:type="dxa" w:w="3324"/>
            <w:shd w:val="clear" w:color="auto" w:fill="E8F5E9"/>
          </w:tcPr>
          <w:p>
            <w:r>
              <w:rPr>
                <w:b/>
                <w:i w:val="0"/>
                <w:color w:val="1B5E20"/>
                <w:sz w:val="20"/>
              </w:rPr>
              <w:t>USD/INR → NSE, lot USD 1,000, RBI/SEBI regulated</w:t>
            </w:r>
          </w:p>
        </w:tc>
      </w:tr>
      <w:tr>
        <w:tc>
          <w:tcPr>
            <w:tcW w:type="dxa" w:w="9972"/>
            <w:gridSpan w:val="3"/>
            <w:shd w:val="clear" w:color="auto" w:fill="F0F4FF"/>
          </w:tcPr>
          <w:p>
            <w:r>
              <w:rPr>
                <w:b/>
                <w:i w:val="0"/>
                <w:color w:val="007A87"/>
                <w:sz w:val="20"/>
              </w:rPr>
              <w:t xml:space="preserve">Rationale: </w:t>
            </w:r>
            <w:r>
              <w:rPr>
                <w:b w:val="0"/>
                <w:i w:val="0"/>
                <w:color w:val="404040"/>
                <w:sz w:val="20"/>
              </w:rPr>
              <w:t>India's futures landscape: NSE for financial (equity + currency), MCX for metals/energy, NCDEX for agricultural commodities. Each exchange serves specific industry hedging needs.</w:t>
            </w:r>
          </w:p>
        </w:tc>
      </w:tr>
    </w:tbl>
    <w:p/>
    <w:p>
      <w:r>
        <w:br w:type="page"/>
      </w:r>
    </w:p>
    <w:p>
      <w:pPr>
        <w:jc w:val="left"/>
      </w:pPr>
      <w:r>
        <w:rPr>
          <w:b/>
          <w:i w:val="0"/>
          <w:color w:val="101C4F"/>
          <w:sz w:val="28"/>
        </w:rPr>
        <w:t>UOR: D6.10  |  Introduction to Options and Derivatives Risk &amp; Regulation</w:t>
      </w:r>
    </w:p>
    <w:p/>
    <w:p>
      <w:r>
        <w:rPr>
          <w:b w:val="0"/>
          <w:i/>
          <w:color w:val="007A87"/>
          <w:sz w:val="20"/>
        </w:rPr>
        <w:t xml:space="preserve">  Video 1 of 3  |  EAR: Explain</w:t>
      </w:r>
    </w:p>
    <w:p>
      <w:r>
        <w:rPr>
          <w:b/>
          <w:i w:val="0"/>
          <w:color w:val="F0A800"/>
          <w:sz w:val="22"/>
        </w:rPr>
        <w:t>Q37. [MCQ Inline]</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A Nifty 22,500 call option is trading at ₹350. Nifty spot is 22,800. What are the intrinsic value and time value of this option?</w:t>
            </w:r>
          </w:p>
        </w:tc>
      </w:tr>
      <w:tr>
        <w:tc>
          <w:tcPr>
            <w:tcW w:type="dxa" w:w="9972"/>
            <w:shd w:val="clear" w:color="auto" w:fill="FFFFFF"/>
          </w:tcPr>
          <w:p>
            <w:r>
              <w:rPr>
                <w:b w:val="0"/>
                <w:i w:val="0"/>
                <w:color w:val="404040"/>
                <w:sz w:val="22"/>
              </w:rPr>
              <w:t>A. Intrinsic Value = ₹350, Time Value = ₹0</w:t>
            </w:r>
          </w:p>
        </w:tc>
      </w:tr>
      <w:tr>
        <w:tc>
          <w:tcPr>
            <w:tcW w:type="dxa" w:w="9972"/>
            <w:shd w:val="clear" w:color="auto" w:fill="E8F5E9"/>
          </w:tcPr>
          <w:p>
            <w:r>
              <w:rPr>
                <w:b/>
                <w:i w:val="0"/>
                <w:color w:val="1B5E20"/>
                <w:sz w:val="22"/>
              </w:rPr>
              <w:t>B. Intrinsic Value = ₹300, Time Value = ₹50</w:t>
            </w:r>
          </w:p>
        </w:tc>
      </w:tr>
      <w:tr>
        <w:tc>
          <w:tcPr>
            <w:tcW w:type="dxa" w:w="9972"/>
            <w:shd w:val="clear" w:color="auto" w:fill="FFFFFF"/>
          </w:tcPr>
          <w:p>
            <w:r>
              <w:rPr>
                <w:b w:val="0"/>
                <w:i w:val="0"/>
                <w:color w:val="404040"/>
                <w:sz w:val="22"/>
              </w:rPr>
              <w:t>C. Intrinsic Value = ₹0, Time Value = ₹350</w:t>
            </w:r>
          </w:p>
        </w:tc>
      </w:tr>
      <w:tr>
        <w:tc>
          <w:tcPr>
            <w:tcW w:type="dxa" w:w="9972"/>
            <w:shd w:val="clear" w:color="auto" w:fill="FFFFFF"/>
          </w:tcPr>
          <w:p>
            <w:r>
              <w:rPr>
                <w:b w:val="0"/>
                <w:i w:val="0"/>
                <w:color w:val="404040"/>
                <w:sz w:val="22"/>
              </w:rPr>
              <w:t>D. Intrinsic Value = ₹50, Time Value = ₹300</w:t>
            </w:r>
          </w:p>
        </w:tc>
      </w:tr>
      <w:tr>
        <w:tc>
          <w:tcPr>
            <w:tcW w:type="dxa" w:w="9972"/>
            <w:shd w:val="clear" w:color="auto" w:fill="F0F4FF"/>
          </w:tcPr>
          <w:p>
            <w:r>
              <w:rPr>
                <w:b/>
                <w:i w:val="0"/>
                <w:color w:val="007A87"/>
                <w:sz w:val="20"/>
              </w:rPr>
              <w:t xml:space="preserve">Rationale: </w:t>
            </w:r>
            <w:r>
              <w:rPr>
                <w:b w:val="0"/>
                <w:i w:val="0"/>
                <w:color w:val="404040"/>
                <w:sz w:val="20"/>
              </w:rPr>
              <w:t>Intrinsic Value = max(Spot − Strike, 0) = max(22,800 − 22,500, 0) = ₹300. Time Value = Premium − IV = ₹350 − ₹300 = ₹50. The option is In-the-Money (IV &gt; 0); time value represents the remaining optionality.</w:t>
            </w:r>
          </w:p>
        </w:tc>
      </w:tr>
    </w:tbl>
    <w:p/>
    <w:p>
      <w:r>
        <w:rPr>
          <w:b w:val="0"/>
          <w:i/>
          <w:color w:val="007A87"/>
          <w:sz w:val="20"/>
        </w:rPr>
        <w:t xml:space="preserve">  Video 2 of 3  |  EAR: Apply</w:t>
      </w:r>
    </w:p>
    <w:p>
      <w:r>
        <w:rPr>
          <w:b/>
          <w:i w:val="0"/>
          <w:color w:val="F0A800"/>
          <w:sz w:val="22"/>
        </w:rPr>
        <w:t>Q38. [True/False Multi]</w:t>
      </w:r>
    </w:p>
    <w:tbl>
      <w:tblPr>
        <w:tblStyle w:val="TableGrid"/>
        <w:tblW w:type="auto" w:w="0"/>
        <w:tblLook w:firstColumn="1" w:firstRow="1" w:lastColumn="0" w:lastRow="0" w:noHBand="0" w:noVBand="1" w:val="04A0"/>
      </w:tblPr>
      <w:tblGrid>
        <w:gridCol w:w="2493"/>
        <w:gridCol w:w="2493"/>
        <w:gridCol w:w="2493"/>
        <w:gridCol w:w="2493"/>
      </w:tblGrid>
      <w:tr>
        <w:tc>
          <w:tcPr>
            <w:tcW w:type="dxa" w:w="2493"/>
            <w:shd w:val="clear" w:color="auto" w:fill="007A87"/>
          </w:tcPr>
          <w:p>
            <w:r>
              <w:rPr>
                <w:b/>
                <w:i w:val="0"/>
                <w:color w:val="FFFFFF"/>
                <w:sz w:val="20"/>
              </w:rPr>
              <w:t>#</w:t>
            </w:r>
          </w:p>
        </w:tc>
        <w:tc>
          <w:tcPr>
            <w:tcW w:type="dxa" w:w="2493"/>
            <w:shd w:val="clear" w:color="auto" w:fill="007A87"/>
          </w:tcPr>
          <w:p>
            <w:r>
              <w:rPr>
                <w:b/>
                <w:i w:val="0"/>
                <w:color w:val="FFFFFF"/>
                <w:sz w:val="20"/>
              </w:rPr>
              <w:t>Statement</w:t>
            </w:r>
          </w:p>
        </w:tc>
        <w:tc>
          <w:tcPr>
            <w:tcW w:type="dxa" w:w="2493"/>
            <w:shd w:val="clear" w:color="auto" w:fill="007A87"/>
          </w:tcPr>
          <w:p>
            <w:r>
              <w:rPr>
                <w:b/>
                <w:i w:val="0"/>
                <w:color w:val="FFFFFF"/>
                <w:sz w:val="20"/>
              </w:rPr>
              <w:t>Answer</w:t>
            </w:r>
          </w:p>
        </w:tc>
        <w:tc>
          <w:tcPr>
            <w:tcW w:type="dxa" w:w="2493"/>
            <w:shd w:val="clear" w:color="auto" w:fill="007A87"/>
          </w:tcPr>
          <w:p>
            <w:r>
              <w:rPr>
                <w:b/>
                <w:i w:val="0"/>
                <w:color w:val="FFFFFF"/>
                <w:sz w:val="20"/>
              </w:rPr>
              <w:t>Rationale</w:t>
            </w:r>
          </w:p>
        </w:tc>
      </w:tr>
      <w:tr>
        <w:tc>
          <w:tcPr>
            <w:tcW w:type="dxa" w:w="2493"/>
          </w:tcPr>
          <w:p>
            <w:r>
              <w:rPr>
                <w:b w:val="0"/>
                <w:i w:val="0"/>
                <w:sz w:val="20"/>
              </w:rPr>
              <w:t>1</w:t>
            </w:r>
          </w:p>
        </w:tc>
        <w:tc>
          <w:tcPr>
            <w:tcW w:type="dxa" w:w="2493"/>
          </w:tcPr>
          <w:p>
            <w:r>
              <w:rPr>
                <w:b w:val="0"/>
                <w:i w:val="0"/>
                <w:sz w:val="20"/>
              </w:rPr>
              <w:t>A call option buyer's maximum loss is limited to the premium paid, while potential profit is theoretically unlimited.</w:t>
            </w:r>
          </w:p>
        </w:tc>
        <w:tc>
          <w:tcPr>
            <w:tcW w:type="dxa" w:w="2493"/>
            <w:shd w:val="clear" w:color="auto" w:fill="E8F5E9"/>
          </w:tcPr>
          <w:p>
            <w:r>
              <w:rPr>
                <w:b/>
                <w:i w:val="0"/>
                <w:color w:val="1B5E20"/>
                <w:sz w:val="20"/>
              </w:rPr>
              <w:t>TRUE</w:t>
            </w:r>
          </w:p>
        </w:tc>
        <w:tc>
          <w:tcPr>
            <w:tcW w:type="dxa" w:w="2493"/>
          </w:tcPr>
          <w:p>
            <w:r>
              <w:rPr>
                <w:b w:val="0"/>
                <w:i w:val="0"/>
                <w:color w:val="404040"/>
                <w:sz w:val="18"/>
              </w:rPr>
              <w:t>Call buyer: pays premium upfront. If the underlying falls below the strike, the option expires worthless — max loss = premium. If the underlying rises, profit = (Spot − Strike − Premium) × lot size, theoretically unlimited.</w:t>
            </w:r>
          </w:p>
        </w:tc>
      </w:tr>
      <w:tr>
        <w:tc>
          <w:tcPr>
            <w:tcW w:type="dxa" w:w="2493"/>
          </w:tcPr>
          <w:p>
            <w:r>
              <w:rPr>
                <w:b w:val="0"/>
                <w:i w:val="0"/>
                <w:sz w:val="20"/>
              </w:rPr>
              <w:t>2</w:t>
            </w:r>
          </w:p>
        </w:tc>
        <w:tc>
          <w:tcPr>
            <w:tcW w:type="dxa" w:w="2493"/>
          </w:tcPr>
          <w:p>
            <w:r>
              <w:rPr>
                <w:b w:val="0"/>
                <w:i w:val="0"/>
                <w:sz w:val="20"/>
              </w:rPr>
              <w:t>An Out-of-the-Money (OTM) option has positive intrinsic value.</w:t>
            </w:r>
          </w:p>
        </w:tc>
        <w:tc>
          <w:tcPr>
            <w:tcW w:type="dxa" w:w="2493"/>
            <w:shd w:val="clear" w:color="auto" w:fill="FFEBEE"/>
          </w:tcPr>
          <w:p>
            <w:r>
              <w:rPr>
                <w:b/>
                <w:i w:val="0"/>
                <w:color w:val="B71C1C"/>
                <w:sz w:val="20"/>
              </w:rPr>
              <w:t>FALSE</w:t>
            </w:r>
          </w:p>
        </w:tc>
        <w:tc>
          <w:tcPr>
            <w:tcW w:type="dxa" w:w="2493"/>
          </w:tcPr>
          <w:p>
            <w:r>
              <w:rPr>
                <w:b w:val="0"/>
                <w:i w:val="0"/>
                <w:color w:val="404040"/>
                <w:sz w:val="18"/>
              </w:rPr>
              <w:t>OTM option: for a call, spot &lt; strike; for a put, spot &gt; strike. Intrinsic value = 0. OTM options have only time value, no intrinsic value. They expire worthless if the underlying doesn't move past the strike.</w:t>
            </w:r>
          </w:p>
        </w:tc>
      </w:tr>
      <w:tr>
        <w:tc>
          <w:tcPr>
            <w:tcW w:type="dxa" w:w="2493"/>
          </w:tcPr>
          <w:p>
            <w:r>
              <w:rPr>
                <w:b w:val="0"/>
                <w:i w:val="0"/>
                <w:sz w:val="20"/>
              </w:rPr>
              <w:t>3</w:t>
            </w:r>
          </w:p>
        </w:tc>
        <w:tc>
          <w:tcPr>
            <w:tcW w:type="dxa" w:w="2493"/>
          </w:tcPr>
          <w:p>
            <w:r>
              <w:rPr>
                <w:b w:val="0"/>
                <w:i w:val="0"/>
                <w:sz w:val="20"/>
              </w:rPr>
              <w:t>Options and futures have identical risk profiles for the buyer.</w:t>
            </w:r>
          </w:p>
        </w:tc>
        <w:tc>
          <w:tcPr>
            <w:tcW w:type="dxa" w:w="2493"/>
            <w:shd w:val="clear" w:color="auto" w:fill="FFEBEE"/>
          </w:tcPr>
          <w:p>
            <w:r>
              <w:rPr>
                <w:b/>
                <w:i w:val="0"/>
                <w:color w:val="B71C1C"/>
                <w:sz w:val="20"/>
              </w:rPr>
              <w:t>FALSE</w:t>
            </w:r>
          </w:p>
        </w:tc>
        <w:tc>
          <w:tcPr>
            <w:tcW w:type="dxa" w:w="2493"/>
          </w:tcPr>
          <w:p>
            <w:r>
              <w:rPr>
                <w:b w:val="0"/>
                <w:i w:val="0"/>
                <w:color w:val="404040"/>
                <w:sz w:val="18"/>
              </w:rPr>
              <w:t>Futures: obligation to buy/sell; unlimited gain and loss; no upfront payment. Options: right but not obligation; buyer's loss limited to premium; seller has unlimited risk.</w:t>
            </w:r>
          </w:p>
        </w:tc>
      </w:tr>
      <w:tr>
        <w:tc>
          <w:tcPr>
            <w:tcW w:type="dxa" w:w="2493"/>
          </w:tcPr>
          <w:p>
            <w:r>
              <w:rPr>
                <w:b w:val="0"/>
                <w:i w:val="0"/>
                <w:sz w:val="20"/>
              </w:rPr>
              <w:t>4</w:t>
            </w:r>
          </w:p>
        </w:tc>
        <w:tc>
          <w:tcPr>
            <w:tcW w:type="dxa" w:w="2493"/>
          </w:tcPr>
          <w:p>
            <w:r>
              <w:rPr>
                <w:b w:val="0"/>
                <w:i w:val="0"/>
                <w:sz w:val="20"/>
              </w:rPr>
              <w:t>Theta decay means that, all else equal, an option loses value as expiry approaches.</w:t>
            </w:r>
          </w:p>
        </w:tc>
        <w:tc>
          <w:tcPr>
            <w:tcW w:type="dxa" w:w="2493"/>
            <w:shd w:val="clear" w:color="auto" w:fill="E8F5E9"/>
          </w:tcPr>
          <w:p>
            <w:r>
              <w:rPr>
                <w:b/>
                <w:i w:val="0"/>
                <w:color w:val="1B5E20"/>
                <w:sz w:val="20"/>
              </w:rPr>
              <w:t>TRUE</w:t>
            </w:r>
          </w:p>
        </w:tc>
        <w:tc>
          <w:tcPr>
            <w:tcW w:type="dxa" w:w="2493"/>
          </w:tcPr>
          <w:p>
            <w:r>
              <w:rPr>
                <w:b w:val="0"/>
                <w:i w:val="0"/>
                <w:color w:val="404040"/>
                <w:sz w:val="18"/>
              </w:rPr>
              <w:t>Theta is the daily decay of time value. As expiry approaches, the probability of a large move before expiry decreases, so time value falls to zero at expiry. ATM options have the highest theta decay rate.</w:t>
            </w:r>
          </w:p>
        </w:tc>
      </w:tr>
    </w:tbl>
    <w:p/>
    <w:p>
      <w:r>
        <w:rPr>
          <w:b w:val="0"/>
          <w:i/>
          <w:color w:val="007A87"/>
          <w:sz w:val="20"/>
        </w:rPr>
        <w:t xml:space="preserve">  Video 3 of 3  |  EAR: Relate</w:t>
      </w:r>
    </w:p>
    <w:p>
      <w:r>
        <w:rPr>
          <w:b/>
          <w:i w:val="0"/>
          <w:color w:val="F0A800"/>
          <w:sz w:val="22"/>
        </w:rPr>
        <w:t>Q39. [Gap Fill Dropdown]</w:t>
      </w:r>
    </w:p>
    <w:tbl>
      <w:tblPr>
        <w:tblStyle w:val="TableGrid"/>
        <w:tblW w:type="auto" w:w="0"/>
        <w:tblLook w:firstColumn="1" w:firstRow="1" w:lastColumn="0" w:lastRow="0" w:noHBand="0" w:noVBand="1" w:val="04A0"/>
      </w:tblPr>
      <w:tblGrid>
        <w:gridCol w:w="9972"/>
      </w:tblGrid>
      <w:tr>
        <w:tc>
          <w:tcPr>
            <w:tcW w:type="dxa" w:w="9972"/>
            <w:shd w:val="clear" w:color="auto" w:fill="101C4F"/>
          </w:tcPr>
          <w:p>
            <w:r>
              <w:rPr>
                <w:b/>
                <w:i w:val="0"/>
                <w:color w:val="FFFFFF"/>
                <w:sz w:val="22"/>
              </w:rPr>
              <w:t>Complete the sentence:</w:t>
            </w:r>
          </w:p>
        </w:tc>
      </w:tr>
      <w:tr>
        <w:tc>
          <w:tcPr>
            <w:tcW w:type="dxa" w:w="9972"/>
          </w:tcPr>
          <w:p>
            <w:r>
              <w:rPr>
                <w:b w:val="0"/>
                <w:i/>
                <w:color w:val="404040"/>
                <w:sz w:val="22"/>
              </w:rPr>
              <w:t>SEBI mitigates derivatives market risk through [BLANK1] (SPAN-calculated collateral), daily [BLANK2] settlement (preventing loss accumulation), position [BLANK3] (preventing single-participant dominance), and circuit breakers (halting trading during extreme moves).</w:t>
            </w:r>
          </w:p>
        </w:tc>
      </w:tr>
      <w:tr>
        <w:tc>
          <w:tcPr>
            <w:tcW w:type="dxa" w:w="9972"/>
            <w:shd w:val="clear" w:color="auto" w:fill="F5F5F5"/>
          </w:tcPr>
          <w:p>
            <w:r>
              <w:rPr>
                <w:b w:val="0"/>
                <w:i w:val="0"/>
                <w:color w:val="007A87"/>
                <w:sz w:val="20"/>
              </w:rPr>
              <w:t>Options: margin requirements / capital requirements / leverage limits  |  mark-to-market / coupon / dividend  |  limits / reporting / netting</w:t>
            </w:r>
          </w:p>
        </w:tc>
      </w:tr>
      <w:tr>
        <w:tc>
          <w:tcPr>
            <w:tcW w:type="dxa" w:w="9972"/>
            <w:shd w:val="clear" w:color="auto" w:fill="E8F5E9"/>
          </w:tcPr>
          <w:p>
            <w:r>
              <w:rPr>
                <w:b/>
                <w:i w:val="0"/>
                <w:color w:val="1B5E20"/>
                <w:sz w:val="20"/>
              </w:rPr>
              <w:t>Answers: BLANK1 → margin requirements  |  BLANK2 → mark-to-market  |  BLANK3 → limits</w:t>
            </w:r>
          </w:p>
        </w:tc>
      </w:tr>
      <w:tr>
        <w:tc>
          <w:tcPr>
            <w:tcW w:type="dxa" w:w="9972"/>
            <w:shd w:val="clear" w:color="auto" w:fill="F0F4FF"/>
          </w:tcPr>
          <w:p>
            <w:r>
              <w:rPr>
                <w:b/>
                <w:i w:val="0"/>
                <w:color w:val="007A87"/>
                <w:sz w:val="20"/>
              </w:rPr>
              <w:t xml:space="preserve">Rationale: </w:t>
            </w:r>
            <w:r>
              <w:rPr>
                <w:b w:val="0"/>
                <w:i w:val="0"/>
                <w:color w:val="404040"/>
                <w:sz w:val="20"/>
              </w:rPr>
              <w:t>SEBI's risk framework: SPAN margins (cover worst-case daily loss), daily MTM (no loss accumulation), position limits (prevent manipulation), circuit breakers (market stability). Together these make India's derivatives market one of the safest globally.</w:t>
            </w:r>
          </w:p>
        </w:tc>
      </w:tr>
    </w:tbl>
    <w:p/>
    <w:p>
      <w:r>
        <w:rPr>
          <w:b/>
          <w:i w:val="0"/>
          <w:color w:val="F0A800"/>
          <w:sz w:val="22"/>
        </w:rPr>
        <w:t>Q40. [Matching Pairs]</w:t>
      </w:r>
    </w:p>
    <w:tbl>
      <w:tblPr>
        <w:tblStyle w:val="TableGrid"/>
        <w:tblW w:type="auto" w:w="0"/>
        <w:tblLook w:firstColumn="1" w:firstRow="1" w:lastColumn="0" w:lastRow="0" w:noHBand="0" w:noVBand="1" w:val="04A0"/>
      </w:tblPr>
      <w:tblGrid>
        <w:gridCol w:w="3324"/>
        <w:gridCol w:w="3324"/>
        <w:gridCol w:w="3324"/>
      </w:tblGrid>
      <w:tr>
        <w:tc>
          <w:tcPr>
            <w:tcW w:type="dxa" w:w="3324"/>
            <w:shd w:val="clear" w:color="auto" w:fill="101C4F"/>
          </w:tcPr>
          <w:p>
            <w:r>
              <w:rPr>
                <w:b/>
                <w:i w:val="0"/>
                <w:color w:val="FFFFFF"/>
                <w:sz w:val="20"/>
              </w:rPr>
              <w:t>Left</w:t>
            </w:r>
          </w:p>
        </w:tc>
        <w:tc>
          <w:tcPr>
            <w:tcW w:type="dxa" w:w="3324"/>
            <w:shd w:val="clear" w:color="auto" w:fill="101C4F"/>
          </w:tcPr>
          <w:p>
            <w:r>
              <w:rPr>
                <w:b/>
                <w:i w:val="0"/>
                <w:color w:val="FFFFFF"/>
                <w:sz w:val="20"/>
              </w:rPr>
              <w:t>Right</w:t>
            </w:r>
          </w:p>
        </w:tc>
        <w:tc>
          <w:tcPr>
            <w:tcW w:type="dxa" w:w="3324"/>
            <w:shd w:val="clear" w:color="auto" w:fill="101C4F"/>
          </w:tcPr>
          <w:p>
            <w:r>
              <w:rPr>
                <w:b/>
                <w:i w:val="0"/>
                <w:color w:val="FFFFFF"/>
                <w:sz w:val="20"/>
              </w:rPr>
              <w:t>Correct Match</w:t>
            </w:r>
          </w:p>
        </w:tc>
      </w:tr>
      <w:tr>
        <w:tc>
          <w:tcPr>
            <w:tcW w:type="dxa" w:w="3324"/>
          </w:tcPr>
          <w:p>
            <w:r>
              <w:rPr>
                <w:b w:val="0"/>
                <w:i w:val="0"/>
                <w:sz w:val="20"/>
              </w:rPr>
              <w:t>Market Risk</w:t>
            </w:r>
          </w:p>
        </w:tc>
        <w:tc>
          <w:tcPr>
            <w:tcW w:type="dxa" w:w="3324"/>
          </w:tcPr>
          <w:p>
            <w:r>
              <w:rPr>
                <w:b w:val="0"/>
                <w:i w:val="0"/>
                <w:sz w:val="20"/>
              </w:rPr>
              <w:t>SPAN margins and daily MTM settlement</w:t>
            </w:r>
          </w:p>
        </w:tc>
        <w:tc>
          <w:tcPr>
            <w:tcW w:type="dxa" w:w="3324"/>
            <w:shd w:val="clear" w:color="auto" w:fill="E8F5E9"/>
          </w:tcPr>
          <w:p>
            <w:r>
              <w:rPr>
                <w:b/>
                <w:i w:val="0"/>
                <w:color w:val="1B5E20"/>
                <w:sz w:val="20"/>
              </w:rPr>
              <w:t>Market Risk → Margins + daily MTM</w:t>
            </w:r>
          </w:p>
        </w:tc>
      </w:tr>
      <w:tr>
        <w:tc>
          <w:tcPr>
            <w:tcW w:type="dxa" w:w="3324"/>
          </w:tcPr>
          <w:p>
            <w:r>
              <w:rPr>
                <w:b w:val="0"/>
                <w:i w:val="0"/>
                <w:sz w:val="20"/>
              </w:rPr>
              <w:t>Counterparty Risk</w:t>
            </w:r>
          </w:p>
        </w:tc>
        <w:tc>
          <w:tcPr>
            <w:tcW w:type="dxa" w:w="3324"/>
          </w:tcPr>
          <w:p>
            <w:r>
              <w:rPr>
                <w:b w:val="0"/>
                <w:i w:val="0"/>
                <w:sz w:val="20"/>
              </w:rPr>
              <w:t>Central counterparty clearing (NSCCL/ICCL)</w:t>
            </w:r>
          </w:p>
        </w:tc>
        <w:tc>
          <w:tcPr>
            <w:tcW w:type="dxa" w:w="3324"/>
            <w:shd w:val="clear" w:color="auto" w:fill="E8F5E9"/>
          </w:tcPr>
          <w:p>
            <w:r>
              <w:rPr>
                <w:b/>
                <w:i w:val="0"/>
                <w:color w:val="1B5E20"/>
                <w:sz w:val="20"/>
              </w:rPr>
              <w:t>Counterparty Risk → CCP clearing (novation)</w:t>
            </w:r>
          </w:p>
        </w:tc>
      </w:tr>
      <w:tr>
        <w:tc>
          <w:tcPr>
            <w:tcW w:type="dxa" w:w="3324"/>
          </w:tcPr>
          <w:p>
            <w:r>
              <w:rPr>
                <w:b w:val="0"/>
                <w:i w:val="0"/>
                <w:sz w:val="20"/>
              </w:rPr>
              <w:t>Operational Risk</w:t>
            </w:r>
          </w:p>
        </w:tc>
        <w:tc>
          <w:tcPr>
            <w:tcW w:type="dxa" w:w="3324"/>
          </w:tcPr>
          <w:p>
            <w:r>
              <w:rPr>
                <w:b w:val="0"/>
                <w:i w:val="0"/>
                <w:sz w:val="20"/>
              </w:rPr>
              <w:t>STP systems, dual controls, trade confirmation</w:t>
            </w:r>
          </w:p>
        </w:tc>
        <w:tc>
          <w:tcPr>
            <w:tcW w:type="dxa" w:w="3324"/>
            <w:shd w:val="clear" w:color="auto" w:fill="E8F5E9"/>
          </w:tcPr>
          <w:p>
            <w:r>
              <w:rPr>
                <w:b/>
                <w:i w:val="0"/>
                <w:color w:val="1B5E20"/>
                <w:sz w:val="20"/>
              </w:rPr>
              <w:t>Operational Risk → Process controls + automation</w:t>
            </w:r>
          </w:p>
        </w:tc>
      </w:tr>
      <w:tr>
        <w:tc>
          <w:tcPr>
            <w:tcW w:type="dxa" w:w="3324"/>
          </w:tcPr>
          <w:p>
            <w:r>
              <w:rPr>
                <w:b w:val="0"/>
                <w:i w:val="0"/>
                <w:sz w:val="20"/>
              </w:rPr>
              <w:t>Regulatory Risk</w:t>
            </w:r>
          </w:p>
        </w:tc>
        <w:tc>
          <w:tcPr>
            <w:tcW w:type="dxa" w:w="3324"/>
          </w:tcPr>
          <w:p>
            <w:r>
              <w:rPr>
                <w:b w:val="0"/>
                <w:i w:val="0"/>
                <w:sz w:val="20"/>
              </w:rPr>
              <w:t>SEBI/RBI compliance, documentation, reporting</w:t>
            </w:r>
          </w:p>
        </w:tc>
        <w:tc>
          <w:tcPr>
            <w:tcW w:type="dxa" w:w="3324"/>
            <w:shd w:val="clear" w:color="auto" w:fill="E8F5E9"/>
          </w:tcPr>
          <w:p>
            <w:r>
              <w:rPr>
                <w:b/>
                <w:i w:val="0"/>
                <w:color w:val="1B5E20"/>
                <w:sz w:val="20"/>
              </w:rPr>
              <w:t>Regulatory Risk → Compliance framework</w:t>
            </w:r>
          </w:p>
        </w:tc>
      </w:tr>
      <w:tr>
        <w:tc>
          <w:tcPr>
            <w:tcW w:type="dxa" w:w="9972"/>
            <w:gridSpan w:val="3"/>
            <w:shd w:val="clear" w:color="auto" w:fill="F0F4FF"/>
          </w:tcPr>
          <w:p>
            <w:r>
              <w:rPr>
                <w:b/>
                <w:i w:val="0"/>
                <w:color w:val="007A87"/>
                <w:sz w:val="20"/>
              </w:rPr>
              <w:t xml:space="preserve">Rationale: </w:t>
            </w:r>
            <w:r>
              <w:rPr>
                <w:b w:val="0"/>
                <w:i w:val="0"/>
                <w:color w:val="404040"/>
                <w:sz w:val="20"/>
              </w:rPr>
              <w:t>Derivatives risk management: market risk via margins, counterparty risk via CCP clearing, operational risk via process controls, regulatory risk via compliance. Operations professionals must manage all four dimensions daily.</w:t>
            </w:r>
          </w:p>
        </w:tc>
      </w:tr>
    </w:tbl>
    <w:p/>
    <w:p>
      <w:r>
        <w:br w:type="page"/>
      </w:r>
    </w:p>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