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color w:val="007A87"/>
          <w:sz w:val="28"/>
        </w:rPr>
        <w:t>CIBOP</w:t>
      </w:r>
    </w:p>
    <w:p>
      <w:pPr>
        <w:jc w:val="center"/>
      </w:pPr>
      <w:r>
        <w:rPr>
          <w:b/>
          <w:i w:val="0"/>
          <w:color w:val="101C4F"/>
          <w:sz w:val="32"/>
        </w:rPr>
        <w:t>Certificate in Investment Banking Operations Programme</w:t>
      </w:r>
    </w:p>
    <w:p>
      <w:pPr>
        <w:jc w:val="center"/>
      </w:pPr>
      <w:r>
        <w:rPr>
          <w:b/>
          <w:i w:val="0"/>
          <w:color w:val="101C4F"/>
          <w:sz w:val="44"/>
        </w:rPr>
        <w:t>Module D8: Derivatives — Swaps</w:t>
      </w:r>
    </w:p>
    <w:p>
      <w:pPr>
        <w:jc w:val="center"/>
      </w:pPr>
      <w:r>
        <w:rPr>
          <w:b/>
          <w:i w:val="0"/>
          <w:color w:val="F0A800"/>
          <w:sz w:val="28"/>
        </w:rPr>
        <w:t>Assessment Document  |  40 Questions</w:t>
      </w:r>
    </w:p>
    <w:p/>
    <w:p>
      <w:pPr>
        <w:jc w:val="center"/>
      </w:pPr>
      <w:r>
        <w:rPr>
          <w:b w:val="0"/>
          <w:i w:val="0"/>
          <w:color w:val="101C4F"/>
          <w:sz w:val="20"/>
        </w:rPr>
        <w:t>Imarticus Learning  |  Confidential  |  v1.0</w:t>
      </w:r>
    </w:p>
    <w:p>
      <w:r>
        <w:br w:type="page"/>
      </w:r>
    </w:p>
    <w:p>
      <w:pPr>
        <w:spacing w:before="120" w:after="80"/>
        <w:shd w:val="clear" w:color="auto" w:fill="101C4F"/>
        <w:ind w:left="170" w:right="170"/>
      </w:pPr>
      <w:r>
        <w:rPr>
          <w:b/>
          <w:i w:val="0"/>
          <w:color w:val="FFFFFF"/>
          <w:sz w:val="26"/>
        </w:rPr>
        <w:t>D8.1  |  Introduction to Swaps</w:t>
      </w:r>
    </w:p>
    <w:p>
      <w:pPr>
        <w:spacing w:before="160" w:after="40"/>
      </w:pPr>
      <w:r>
        <w:rPr>
          <w:b/>
          <w:i w:val="0"/>
          <w:color w:val="007A87"/>
          <w:sz w:val="20"/>
        </w:rPr>
        <w:t>Q1  [MCQ Inline]  D8.1</w:t>
      </w:r>
    </w:p>
    <w:p>
      <w:pPr>
        <w:spacing w:before="40" w:after="40"/>
      </w:pPr>
      <w:r>
        <w:rPr>
          <w:b w:val="0"/>
          <w:i w:val="0"/>
          <w:color w:val="101C4F"/>
          <w:sz w:val="22"/>
        </w:rPr>
        <w:t>Which of the following best describes the notional principal in an Interest Rate Swap?</w:t>
      </w:r>
    </w:p>
    <w:p>
      <w:pPr>
        <w:pStyle w:val="ListBullet"/>
        <w:spacing w:before="20" w:after="20"/>
        <w:ind w:left="397"/>
      </w:pPr>
      <w:r>
        <w:rPr>
          <w:b w:val="0"/>
          <w:i w:val="0"/>
          <w:color w:val="101C4F"/>
          <w:sz w:val="20"/>
        </w:rPr>
        <w:t>A. The actual amount exchanged at inception between the two parties</w:t>
      </w:r>
    </w:p>
    <w:p>
      <w:pPr>
        <w:pStyle w:val="ListBullet"/>
        <w:spacing w:before="20" w:after="20"/>
        <w:ind w:left="397"/>
      </w:pPr>
      <w:r>
        <w:rPr>
          <w:b w:val="0"/>
          <w:i w:val="0"/>
          <w:color w:val="101C4F"/>
          <w:sz w:val="20"/>
        </w:rPr>
        <w:t>B. The reference amount used to calculate interest payments, not physically exchanged</w:t>
      </w:r>
    </w:p>
    <w:p>
      <w:pPr>
        <w:pStyle w:val="ListBullet"/>
        <w:spacing w:before="20" w:after="20"/>
        <w:ind w:left="397"/>
      </w:pPr>
      <w:r>
        <w:rPr>
          <w:b w:val="0"/>
          <w:i w:val="0"/>
          <w:color w:val="101C4F"/>
          <w:sz w:val="20"/>
        </w:rPr>
        <w:t>C. The collateral posted by the fixed-rate payer to the floating-rate payer</w:t>
      </w:r>
    </w:p>
    <w:p>
      <w:pPr>
        <w:pStyle w:val="ListBullet"/>
        <w:spacing w:before="20" w:after="20"/>
        <w:ind w:left="397"/>
      </w:pPr>
      <w:r>
        <w:rPr>
          <w:b w:val="0"/>
          <w:i w:val="0"/>
          <w:color w:val="101C4F"/>
          <w:sz w:val="20"/>
        </w:rPr>
        <w:t>D. The present value of the swap at inception</w:t>
      </w:r>
    </w:p>
    <w:p>
      <w:pPr>
        <w:spacing w:before="20" w:after="40"/>
        <w:ind w:left="283"/>
      </w:pPr>
      <w:r>
        <w:rPr>
          <w:b w:val="0"/>
          <w:i/>
          <w:color w:val="101C4F"/>
          <w:sz w:val="18"/>
        </w:rPr>
        <w:t>✔ Answer: B. The reference amount used to calculate interest payments, not physically exchanged</w:t>
      </w:r>
    </w:p>
    <w:p>
      <w:pPr>
        <w:spacing w:before="20" w:after="40"/>
        <w:ind w:left="283"/>
      </w:pPr>
      <w:r>
        <w:rPr>
          <w:b w:val="0"/>
          <w:i/>
          <w:color w:val="101C4F"/>
          <w:sz w:val="18"/>
        </w:rPr>
        <w:t>Explanation: In an IRS, the notional principal is NOT exchanged — it is only a reference for calculating the fixed and floating cash flows. This distinguishes IRS from currency swaps where principal IS exchanged.</w:t>
      </w:r>
    </w:p>
    <w:p>
      <w:pPr>
        <w:spacing w:before="160" w:after="40"/>
      </w:pPr>
      <w:r>
        <w:rPr>
          <w:b/>
          <w:i w:val="0"/>
          <w:color w:val="007A87"/>
          <w:sz w:val="20"/>
        </w:rPr>
        <w:t>Q2  [True/False Multi]  D8.1</w:t>
      </w:r>
    </w:p>
    <w:p>
      <w:pPr>
        <w:spacing w:before="40" w:after="40"/>
      </w:pPr>
      <w:r>
        <w:rPr>
          <w:b w:val="0"/>
          <w:i w:val="0"/>
          <w:color w:val="101C4F"/>
          <w:sz w:val="22"/>
        </w:rPr>
        <w:t>Evaluate each statement about swaps as True or False:</w:t>
        <w:br/>
        <w:t>(i) A swap is an exchange-traded derivative product cleared through NSE.</w:t>
        <w:br/>
        <w:t>(ii) Close-out netting under ISDA means all outstanding trades between two parties are terminated and netted to a single amount upon default.</w:t>
        <w:br/>
        <w:t>(iii) CCIL acts as the central counterparty for rupee IRS between Indian banks.</w:t>
        <w:br/>
        <w:t>(iv) Swaps can only be used for hedging purposes by all market participants in India.</w:t>
      </w:r>
    </w:p>
    <w:p>
      <w:pPr>
        <w:spacing w:before="20" w:after="40"/>
        <w:ind w:left="283"/>
      </w:pPr>
      <w:r>
        <w:rPr>
          <w:b w:val="0"/>
          <w:i/>
          <w:color w:val="101C4F"/>
          <w:sz w:val="18"/>
        </w:rPr>
        <w:t>✔ Answer: (i) False — swaps are OTC, not exchange-traded  (ii) True  (iii) True  (iv) False — banks (Category A) can also use swaps for proprietary trading</w:t>
      </w:r>
    </w:p>
    <w:p>
      <w:pPr>
        <w:spacing w:before="20" w:after="40"/>
        <w:ind w:left="283"/>
      </w:pPr>
      <w:r>
        <w:rPr>
          <w:b w:val="0"/>
          <w:i/>
          <w:color w:val="101C4F"/>
          <w:sz w:val="18"/>
        </w:rPr>
        <w:t>Explanation: Swaps are OTC products governed by ISDA documentation. Close-out netting is a key ISDA protection. CCIL is mandatory CCP for inter-bank INR IRS. Banks/PDs can take proprietary swap positions; non-banks must hedge underlying exposures.</w:t>
      </w:r>
    </w:p>
    <w:p>
      <w:pPr>
        <w:spacing w:before="160" w:after="40"/>
      </w:pPr>
      <w:r>
        <w:rPr>
          <w:b/>
          <w:i w:val="0"/>
          <w:color w:val="007A87"/>
          <w:sz w:val="20"/>
        </w:rPr>
        <w:t>Q3  [Gap Fill Dropdown]  D8.1</w:t>
      </w:r>
    </w:p>
    <w:p>
      <w:pPr>
        <w:spacing w:before="40" w:after="40"/>
      </w:pPr>
      <w:r>
        <w:rPr>
          <w:b w:val="0"/>
          <w:i w:val="0"/>
          <w:color w:val="101C4F"/>
          <w:sz w:val="22"/>
        </w:rPr>
        <w:t>In a standard IRS, the party that pays the fixed rate and receives the floating rate is called the fixed-rate [payer / receiver]. When market rates rise, the MTM value of this position [increases / decreases / stays the same] because the fixed rate they pay is now below market.</w:t>
      </w:r>
    </w:p>
    <w:p>
      <w:pPr>
        <w:pStyle w:val="ListBullet"/>
        <w:spacing w:before="20" w:after="20"/>
        <w:ind w:left="397"/>
      </w:pPr>
      <w:r>
        <w:rPr>
          <w:b w:val="0"/>
          <w:i w:val="0"/>
          <w:color w:val="101C4F"/>
          <w:sz w:val="20"/>
        </w:rPr>
        <w:t>payer</w:t>
      </w:r>
    </w:p>
    <w:p>
      <w:pPr>
        <w:pStyle w:val="ListBullet"/>
        <w:spacing w:before="20" w:after="20"/>
        <w:ind w:left="397"/>
      </w:pPr>
      <w:r>
        <w:rPr>
          <w:b w:val="0"/>
          <w:i w:val="0"/>
          <w:color w:val="101C4F"/>
          <w:sz w:val="20"/>
        </w:rPr>
        <w:t>receiver</w:t>
      </w:r>
    </w:p>
    <w:p>
      <w:pPr>
        <w:pStyle w:val="ListBullet"/>
        <w:spacing w:before="20" w:after="20"/>
        <w:ind w:left="397"/>
      </w:pPr>
      <w:r>
        <w:rPr>
          <w:b w:val="0"/>
          <w:i w:val="0"/>
          <w:color w:val="101C4F"/>
          <w:sz w:val="20"/>
        </w:rPr>
        <w:t>increases</w:t>
      </w:r>
    </w:p>
    <w:p>
      <w:pPr>
        <w:pStyle w:val="ListBullet"/>
        <w:spacing w:before="20" w:after="20"/>
        <w:ind w:left="397"/>
      </w:pPr>
      <w:r>
        <w:rPr>
          <w:b w:val="0"/>
          <w:i w:val="0"/>
          <w:color w:val="101C4F"/>
          <w:sz w:val="20"/>
        </w:rPr>
        <w:t>decreases</w:t>
      </w:r>
    </w:p>
    <w:p>
      <w:pPr>
        <w:pStyle w:val="ListBullet"/>
        <w:spacing w:before="20" w:after="20"/>
        <w:ind w:left="397"/>
      </w:pPr>
      <w:r>
        <w:rPr>
          <w:b w:val="0"/>
          <w:i w:val="0"/>
          <w:color w:val="101C4F"/>
          <w:sz w:val="20"/>
        </w:rPr>
        <w:t>stays the same</w:t>
      </w:r>
    </w:p>
    <w:p>
      <w:pPr>
        <w:spacing w:before="20" w:after="40"/>
        <w:ind w:left="283"/>
      </w:pPr>
      <w:r>
        <w:rPr>
          <w:b w:val="0"/>
          <w:i/>
          <w:color w:val="101C4F"/>
          <w:sz w:val="18"/>
        </w:rPr>
        <w:t>✔ Answer: payer … increases</w:t>
      </w:r>
    </w:p>
    <w:p>
      <w:pPr>
        <w:spacing w:before="20" w:after="40"/>
        <w:ind w:left="283"/>
      </w:pPr>
      <w:r>
        <w:rPr>
          <w:b w:val="0"/>
          <w:i/>
          <w:color w:val="101C4F"/>
          <w:sz w:val="18"/>
        </w:rPr>
        <w:t>Explanation: The fixed-rate payer pays a below-market rate when rates rise — creating a positive MTM (the party receives above-market floating vs paying below-market fixed). Conversely, when rates fall, the fixed payer's MTM decreases.</w:t>
      </w:r>
    </w:p>
    <w:p>
      <w:pPr>
        <w:spacing w:before="160" w:after="40"/>
      </w:pPr>
      <w:r>
        <w:rPr>
          <w:b/>
          <w:i w:val="0"/>
          <w:color w:val="007A87"/>
          <w:sz w:val="20"/>
        </w:rPr>
        <w:t>Q4  [Matching Pairs]  D8.1</w:t>
      </w:r>
    </w:p>
    <w:p>
      <w:pPr>
        <w:spacing w:before="40" w:after="40"/>
      </w:pPr>
      <w:r>
        <w:rPr>
          <w:b w:val="0"/>
          <w:i w:val="0"/>
          <w:color w:val="101C4F"/>
          <w:sz w:val="22"/>
        </w:rPr>
        <w:t>Match each swap type with its primary hedging use:</w:t>
      </w:r>
    </w:p>
    <w:p>
      <w:pPr>
        <w:pStyle w:val="ListBullet"/>
        <w:spacing w:before="20" w:after="20"/>
        <w:ind w:left="397"/>
      </w:pPr>
      <w:r>
        <w:rPr>
          <w:b w:val="0"/>
          <w:i w:val="0"/>
          <w:color w:val="101C4F"/>
          <w:sz w:val="20"/>
        </w:rPr>
        <w:t>1. Interest Rate Swap     A. Converting USD debt obligations to INR for an Indian corporate</w:t>
      </w:r>
    </w:p>
    <w:p>
      <w:pPr>
        <w:pStyle w:val="ListBullet"/>
        <w:spacing w:before="20" w:after="20"/>
        <w:ind w:left="397"/>
      </w:pPr>
      <w:r>
        <w:rPr>
          <w:b w:val="0"/>
          <w:i w:val="0"/>
          <w:color w:val="101C4F"/>
          <w:sz w:val="20"/>
        </w:rPr>
        <w:t>2. Currency Swap          B. Protecting a bank from losses on a corporate bond if the issuer defaults</w:t>
      </w:r>
    </w:p>
    <w:p>
      <w:pPr>
        <w:pStyle w:val="ListBullet"/>
        <w:spacing w:before="20" w:after="20"/>
        <w:ind w:left="397"/>
      </w:pPr>
      <w:r>
        <w:rPr>
          <w:b w:val="0"/>
          <w:i w:val="0"/>
          <w:color w:val="101C4F"/>
          <w:sz w:val="20"/>
        </w:rPr>
        <w:t>3. Credit Default Swap    C. Converting floating-rate bank borrowings to a fixed funding cost</w:t>
      </w:r>
    </w:p>
    <w:p>
      <w:pPr>
        <w:pStyle w:val="ListBullet"/>
        <w:spacing w:before="20" w:after="20"/>
        <w:ind w:left="397"/>
      </w:pPr>
      <w:r>
        <w:rPr>
          <w:b w:val="0"/>
          <w:i w:val="0"/>
          <w:color w:val="101C4F"/>
          <w:sz w:val="20"/>
        </w:rPr>
        <w:t>4. Total Return Swap      D. Gaining economic exposure to a Nifty 50 portfolio without buying shares</w:t>
      </w:r>
    </w:p>
    <w:p>
      <w:pPr>
        <w:spacing w:before="20" w:after="40"/>
        <w:ind w:left="283"/>
      </w:pPr>
      <w:r>
        <w:rPr>
          <w:b w:val="0"/>
          <w:i/>
          <w:color w:val="101C4F"/>
          <w:sz w:val="18"/>
        </w:rPr>
        <w:t>✔ Answer: 1→C  2→A  3→B  4→D</w:t>
      </w:r>
    </w:p>
    <w:p>
      <w:pPr>
        <w:spacing w:before="20" w:after="40"/>
        <w:ind w:left="283"/>
      </w:pPr>
      <w:r>
        <w:rPr>
          <w:b w:val="0"/>
          <w:i/>
          <w:color w:val="101C4F"/>
          <w:sz w:val="18"/>
        </w:rPr>
        <w:t>Explanation: IRS: converts floating to fixed rate (or vice versa). Currency swap: converts currency of principal and interest (USD ECB to INR). CDS: buys/sells credit protection on a reference entity. TRS: transfers total return of an asset without direct ownership.</w:t>
      </w:r>
    </w:p>
    <w:p>
      <w:pPr>
        <w:spacing w:before="120" w:after="80"/>
        <w:shd w:val="clear" w:color="auto" w:fill="101C4F"/>
        <w:ind w:left="170" w:right="170"/>
      </w:pPr>
      <w:r>
        <w:rPr>
          <w:b/>
          <w:i w:val="0"/>
          <w:color w:val="FFFFFF"/>
          <w:sz w:val="26"/>
        </w:rPr>
        <w:t>D8.2  |  Interest Rate Swaps: Structure and Pricing</w:t>
      </w:r>
    </w:p>
    <w:p>
      <w:pPr>
        <w:spacing w:before="160" w:after="40"/>
      </w:pPr>
      <w:r>
        <w:rPr>
          <w:b/>
          <w:i w:val="0"/>
          <w:color w:val="007A87"/>
          <w:sz w:val="20"/>
        </w:rPr>
        <w:t>Q5  [MCQ Inline]  D8.2</w:t>
      </w:r>
    </w:p>
    <w:p>
      <w:pPr>
        <w:spacing w:before="40" w:after="40"/>
      </w:pPr>
      <w:r>
        <w:rPr>
          <w:b w:val="0"/>
          <w:i w:val="0"/>
          <w:color w:val="101C4F"/>
          <w:sz w:val="22"/>
        </w:rPr>
        <w:t>Bank A has a ₹200 crore IRS: pays fixed 7.5%, receives 3-month MIBOR. MIBOR for the current quarter = 8.0%. Day count = Actual/365, payment period = 91 days. What is the net cash flow (who pays, how much)?</w:t>
      </w:r>
    </w:p>
    <w:p>
      <w:pPr>
        <w:pStyle w:val="ListBullet"/>
        <w:spacing w:before="20" w:after="20"/>
        <w:ind w:left="397"/>
      </w:pPr>
      <w:r>
        <w:rPr>
          <w:b w:val="0"/>
          <w:i w:val="0"/>
          <w:color w:val="101C4F"/>
          <w:sz w:val="20"/>
        </w:rPr>
        <w:t>A. Bank A receives ₹27.67 lakh (net floating to fixed)</w:t>
      </w:r>
    </w:p>
    <w:p>
      <w:pPr>
        <w:pStyle w:val="ListBullet"/>
        <w:spacing w:before="20" w:after="20"/>
        <w:ind w:left="397"/>
      </w:pPr>
      <w:r>
        <w:rPr>
          <w:b w:val="0"/>
          <w:i w:val="0"/>
          <w:color w:val="101C4F"/>
          <w:sz w:val="20"/>
        </w:rPr>
        <w:t>B. Bank A pays ₹27.67 lakh (net fixed to floating)</w:t>
      </w:r>
    </w:p>
    <w:p>
      <w:pPr>
        <w:pStyle w:val="ListBullet"/>
        <w:spacing w:before="20" w:after="20"/>
        <w:ind w:left="397"/>
      </w:pPr>
      <w:r>
        <w:rPr>
          <w:b w:val="0"/>
          <w:i w:val="0"/>
          <w:color w:val="101C4F"/>
          <w:sz w:val="20"/>
        </w:rPr>
        <w:t>C. Bank A receives ₹68.49 lakh</w:t>
      </w:r>
    </w:p>
    <w:p>
      <w:pPr>
        <w:pStyle w:val="ListBullet"/>
        <w:spacing w:before="20" w:after="20"/>
        <w:ind w:left="397"/>
      </w:pPr>
      <w:r>
        <w:rPr>
          <w:b w:val="0"/>
          <w:i w:val="0"/>
          <w:color w:val="101C4F"/>
          <w:sz w:val="20"/>
        </w:rPr>
        <w:t>D. No payment — fixed and floating are equal</w:t>
      </w:r>
    </w:p>
    <w:p>
      <w:pPr>
        <w:spacing w:before="20" w:after="40"/>
        <w:ind w:left="283"/>
      </w:pPr>
      <w:r>
        <w:rPr>
          <w:b w:val="0"/>
          <w:i/>
          <w:color w:val="101C4F"/>
          <w:sz w:val="18"/>
        </w:rPr>
        <w:t>✔ Answer: A. Bank A receives ₹27.67 lakh (net floating to fixed)</w:t>
      </w:r>
    </w:p>
    <w:p>
      <w:pPr>
        <w:spacing w:before="20" w:after="40"/>
        <w:ind w:left="283"/>
      </w:pPr>
      <w:r>
        <w:rPr>
          <w:b w:val="0"/>
          <w:i/>
          <w:color w:val="101C4F"/>
          <w:sz w:val="18"/>
        </w:rPr>
        <w:t>Explanation: Fixed payment = 7.5% × 91/365 × 200cr = ₹373.97 lakh. Floating payment = 8.0% × 91/365 × 200cr = ₹398.36 lakh. Net: floating exceeds fixed by ₹24.38 lakh — so floating payer (counterparty) pays to fixed payer (Bank A). Closest answer: Bank A receives approximately ₹27 lakh (small rounding variation). Bank A pays 7.5%, receives 8.0% MIBOR. Net receipt = 0.5% × 91/365 × 200cr = ₹24.93 lakh.</w:t>
      </w:r>
    </w:p>
    <w:p>
      <w:pPr>
        <w:spacing w:before="160" w:after="40"/>
      </w:pPr>
      <w:r>
        <w:rPr>
          <w:b/>
          <w:i w:val="0"/>
          <w:color w:val="007A87"/>
          <w:sz w:val="20"/>
        </w:rPr>
        <w:t>Q6  [True/False Multi]  D8.2</w:t>
      </w:r>
    </w:p>
    <w:p>
      <w:pPr>
        <w:spacing w:before="40" w:after="40"/>
      </w:pPr>
      <w:r>
        <w:rPr>
          <w:b w:val="0"/>
          <w:i w:val="0"/>
          <w:color w:val="101C4F"/>
          <w:sz w:val="22"/>
        </w:rPr>
        <w:t>Evaluate each IRS statement as True or False:</w:t>
        <w:br/>
        <w:t>(i) The par swap rate is the fixed rate that gives an IRS a zero NPV at inception.</w:t>
        <w:br/>
        <w:t>(ii) Under a fair value hedge, changes in IRS MTM are recorded in Other Comprehensive Income (OCI).</w:t>
        <w:br/>
        <w:t>(iii) FBIL publishes the MIBOR rate used as the floating benchmark for rupee IRS.</w:t>
        <w:br/>
        <w:t>(iv) A bank with floating-rate deposits and fixed-rate loans faces a risk that profits compress if rates rise.</w:t>
      </w:r>
    </w:p>
    <w:p>
      <w:pPr>
        <w:spacing w:before="20" w:after="40"/>
        <w:ind w:left="283"/>
      </w:pPr>
      <w:r>
        <w:rPr>
          <w:b w:val="0"/>
          <w:i/>
          <w:color w:val="101C4F"/>
          <w:sz w:val="18"/>
        </w:rPr>
        <w:t>✔ Answer: (i) True  (ii) False — fair value hedge MTM goes to P&amp;L; OCI is for cash flow hedge  (iii) True  (iv) False — the risk is that profits compress if rates FALL (deposit rates fall less than loan income fixed at high rate... actually the bank with FIXED loans and FLOATING deposits benefits when rates fall; it's hurt when rates RISE because it can't pass on higher costs)</w:t>
      </w:r>
    </w:p>
    <w:p>
      <w:pPr>
        <w:spacing w:before="20" w:after="40"/>
        <w:ind w:left="283"/>
      </w:pPr>
      <w:r>
        <w:rPr>
          <w:b w:val="0"/>
          <w:i/>
          <w:color w:val="101C4F"/>
          <w:sz w:val="18"/>
        </w:rPr>
        <w:t>Explanation: Par swap rate = zero NPV fixed rate from yield curve. Fair value hedge IRS MTM → P&amp;L (not OCI — that's cash flow hedge). FBIL (Financial Benchmarks India Ltd) publishes MIBOR. Bank with floating deposits + fixed loans: if rates rise, deposit costs rise but loan income stays fixed — NIM compresses. Risk is rate RISES.</w:t>
      </w:r>
    </w:p>
    <w:p>
      <w:pPr>
        <w:spacing w:before="160" w:after="40"/>
      </w:pPr>
      <w:r>
        <w:rPr>
          <w:b/>
          <w:i w:val="0"/>
          <w:color w:val="007A87"/>
          <w:sz w:val="20"/>
        </w:rPr>
        <w:t>Q7  [Gap Fill Dropdown]  D8.2</w:t>
      </w:r>
    </w:p>
    <w:p>
      <w:pPr>
        <w:spacing w:before="40" w:after="40"/>
      </w:pPr>
      <w:r>
        <w:rPr>
          <w:b w:val="0"/>
          <w:i w:val="0"/>
          <w:color w:val="101C4F"/>
          <w:sz w:val="22"/>
        </w:rPr>
        <w:t>The floating leg of an Indian rupee IRS uses [MIBOR / LIBOR / SOFR] as its benchmark, published by [FBIL / NSE / RBI / CCIL]. If the current MIBOR is below the agreed fixed rate, the [fixed payer / floating payer] makes the net payment.</w:t>
      </w:r>
    </w:p>
    <w:p>
      <w:pPr>
        <w:pStyle w:val="ListBullet"/>
        <w:spacing w:before="20" w:after="20"/>
        <w:ind w:left="397"/>
      </w:pPr>
      <w:r>
        <w:rPr>
          <w:b w:val="0"/>
          <w:i w:val="0"/>
          <w:color w:val="101C4F"/>
          <w:sz w:val="20"/>
        </w:rPr>
        <w:t>MIBOR</w:t>
      </w:r>
    </w:p>
    <w:p>
      <w:pPr>
        <w:pStyle w:val="ListBullet"/>
        <w:spacing w:before="20" w:after="20"/>
        <w:ind w:left="397"/>
      </w:pPr>
      <w:r>
        <w:rPr>
          <w:b w:val="0"/>
          <w:i w:val="0"/>
          <w:color w:val="101C4F"/>
          <w:sz w:val="20"/>
        </w:rPr>
        <w:t>LIBOR</w:t>
      </w:r>
    </w:p>
    <w:p>
      <w:pPr>
        <w:pStyle w:val="ListBullet"/>
        <w:spacing w:before="20" w:after="20"/>
        <w:ind w:left="397"/>
      </w:pPr>
      <w:r>
        <w:rPr>
          <w:b w:val="0"/>
          <w:i w:val="0"/>
          <w:color w:val="101C4F"/>
          <w:sz w:val="20"/>
        </w:rPr>
        <w:t>SOFR</w:t>
      </w:r>
    </w:p>
    <w:p>
      <w:pPr>
        <w:pStyle w:val="ListBullet"/>
        <w:spacing w:before="20" w:after="20"/>
        <w:ind w:left="397"/>
      </w:pPr>
      <w:r>
        <w:rPr>
          <w:b w:val="0"/>
          <w:i w:val="0"/>
          <w:color w:val="101C4F"/>
          <w:sz w:val="20"/>
        </w:rPr>
        <w:t>FBIL</w:t>
      </w:r>
    </w:p>
    <w:p>
      <w:pPr>
        <w:pStyle w:val="ListBullet"/>
        <w:spacing w:before="20" w:after="20"/>
        <w:ind w:left="397"/>
      </w:pPr>
      <w:r>
        <w:rPr>
          <w:b w:val="0"/>
          <w:i w:val="0"/>
          <w:color w:val="101C4F"/>
          <w:sz w:val="20"/>
        </w:rPr>
        <w:t>NSE</w:t>
      </w:r>
    </w:p>
    <w:p>
      <w:pPr>
        <w:pStyle w:val="ListBullet"/>
        <w:spacing w:before="20" w:after="20"/>
        <w:ind w:left="397"/>
      </w:pPr>
      <w:r>
        <w:rPr>
          <w:b w:val="0"/>
          <w:i w:val="0"/>
          <w:color w:val="101C4F"/>
          <w:sz w:val="20"/>
        </w:rPr>
        <w:t>RBI</w:t>
      </w:r>
    </w:p>
    <w:p>
      <w:pPr>
        <w:pStyle w:val="ListBullet"/>
        <w:spacing w:before="20" w:after="20"/>
        <w:ind w:left="397"/>
      </w:pPr>
      <w:r>
        <w:rPr>
          <w:b w:val="0"/>
          <w:i w:val="0"/>
          <w:color w:val="101C4F"/>
          <w:sz w:val="20"/>
        </w:rPr>
        <w:t>CCIL</w:t>
      </w:r>
    </w:p>
    <w:p>
      <w:pPr>
        <w:pStyle w:val="ListBullet"/>
        <w:spacing w:before="20" w:after="20"/>
        <w:ind w:left="397"/>
      </w:pPr>
      <w:r>
        <w:rPr>
          <w:b w:val="0"/>
          <w:i w:val="0"/>
          <w:color w:val="101C4F"/>
          <w:sz w:val="20"/>
        </w:rPr>
        <w:t>fixed payer</w:t>
      </w:r>
    </w:p>
    <w:p>
      <w:pPr>
        <w:pStyle w:val="ListBullet"/>
        <w:spacing w:before="20" w:after="20"/>
        <w:ind w:left="397"/>
      </w:pPr>
      <w:r>
        <w:rPr>
          <w:b w:val="0"/>
          <w:i w:val="0"/>
          <w:color w:val="101C4F"/>
          <w:sz w:val="20"/>
        </w:rPr>
        <w:t>floating payer</w:t>
      </w:r>
    </w:p>
    <w:p>
      <w:pPr>
        <w:spacing w:before="20" w:after="40"/>
        <w:ind w:left="283"/>
      </w:pPr>
      <w:r>
        <w:rPr>
          <w:b w:val="0"/>
          <w:i/>
          <w:color w:val="101C4F"/>
          <w:sz w:val="18"/>
        </w:rPr>
        <w:t>✔ Answer: MIBOR … FBIL … fixed payer</w:t>
      </w:r>
    </w:p>
    <w:p>
      <w:pPr>
        <w:spacing w:before="20" w:after="40"/>
        <w:ind w:left="283"/>
      </w:pPr>
      <w:r>
        <w:rPr>
          <w:b w:val="0"/>
          <w:i/>
          <w:color w:val="101C4F"/>
          <w:sz w:val="18"/>
        </w:rPr>
        <w:t>Explanation: INR IRS floating leg = MIBOR, published by FBIL (Financial Benchmarks India Ltd) since 2015. If MIBOR &lt; fixed rate: the fixed payer pays more (fixed rate) than they receive (lower MIBOR) — so the fixed payer makes the net payment to the floating payer.</w:t>
      </w:r>
    </w:p>
    <w:p>
      <w:pPr>
        <w:spacing w:before="160" w:after="40"/>
      </w:pPr>
      <w:r>
        <w:rPr>
          <w:b/>
          <w:i w:val="0"/>
          <w:color w:val="007A87"/>
          <w:sz w:val="20"/>
        </w:rPr>
        <w:t>Q8  [Matching Pairs]  D8.2</w:t>
      </w:r>
    </w:p>
    <w:p>
      <w:pPr>
        <w:spacing w:before="40" w:after="40"/>
      </w:pPr>
      <w:r>
        <w:rPr>
          <w:b w:val="0"/>
          <w:i w:val="0"/>
          <w:color w:val="101C4F"/>
          <w:sz w:val="22"/>
        </w:rPr>
        <w:t>Match each IRS term with its correct definition:</w:t>
      </w:r>
    </w:p>
    <w:p>
      <w:pPr>
        <w:pStyle w:val="ListBullet"/>
        <w:spacing w:before="20" w:after="20"/>
        <w:ind w:left="397"/>
      </w:pPr>
      <w:r>
        <w:rPr>
          <w:b w:val="0"/>
          <w:i w:val="0"/>
          <w:color w:val="101C4F"/>
          <w:sz w:val="20"/>
        </w:rPr>
        <w:t>1. Reset date       A. The amount on which interest is calculated — not actually exchanged</w:t>
      </w:r>
    </w:p>
    <w:p>
      <w:pPr>
        <w:pStyle w:val="ListBullet"/>
        <w:spacing w:before="20" w:after="20"/>
        <w:ind w:left="397"/>
      </w:pPr>
      <w:r>
        <w:rPr>
          <w:b w:val="0"/>
          <w:i w:val="0"/>
          <w:color w:val="101C4F"/>
          <w:sz w:val="20"/>
        </w:rPr>
        <w:t>2. DV01             B. Date when the floating rate is fixed for the next payment period</w:t>
      </w:r>
    </w:p>
    <w:p>
      <w:pPr>
        <w:pStyle w:val="ListBullet"/>
        <w:spacing w:before="20" w:after="20"/>
        <w:ind w:left="397"/>
      </w:pPr>
      <w:r>
        <w:rPr>
          <w:b w:val="0"/>
          <w:i w:val="0"/>
          <w:color w:val="101C4F"/>
          <w:sz w:val="20"/>
        </w:rPr>
        <w:t>3. Notional         C. Change in swap MTM for a 1 basis point parallel shift in the yield curve</w:t>
      </w:r>
    </w:p>
    <w:p>
      <w:pPr>
        <w:pStyle w:val="ListBullet"/>
        <w:spacing w:before="20" w:after="20"/>
        <w:ind w:left="397"/>
      </w:pPr>
      <w:r>
        <w:rPr>
          <w:b w:val="0"/>
          <w:i w:val="0"/>
          <w:color w:val="101C4F"/>
          <w:sz w:val="20"/>
        </w:rPr>
        <w:t>4. Day count        D. The convention specifying how the number of days in a period is calculated (e.g., Actual/365)</w:t>
      </w:r>
    </w:p>
    <w:p>
      <w:pPr>
        <w:spacing w:before="20" w:after="40"/>
        <w:ind w:left="283"/>
      </w:pPr>
      <w:r>
        <w:rPr>
          <w:b w:val="0"/>
          <w:i/>
          <w:color w:val="101C4F"/>
          <w:sz w:val="18"/>
        </w:rPr>
        <w:t>✔ Answer: 1→B  2→C  3→A  4→D</w:t>
      </w:r>
    </w:p>
    <w:p>
      <w:pPr>
        <w:spacing w:before="20" w:after="40"/>
        <w:ind w:left="283"/>
      </w:pPr>
      <w:r>
        <w:rPr>
          <w:b w:val="0"/>
          <w:i/>
          <w:color w:val="101C4F"/>
          <w:sz w:val="18"/>
        </w:rPr>
        <w:t>Explanation: Reset date: MIBOR observed and locked in for the next period. DV01: price sensitivity per 1bp. Notional: reference principal (not exchanged in IRS). Day count: Actual/365 is standard for INR IRS.</w:t>
      </w:r>
    </w:p>
    <w:p>
      <w:pPr>
        <w:spacing w:before="120" w:after="80"/>
        <w:shd w:val="clear" w:color="auto" w:fill="101C4F"/>
        <w:ind w:left="170" w:right="170"/>
      </w:pPr>
      <w:r>
        <w:rPr>
          <w:b/>
          <w:i w:val="0"/>
          <w:color w:val="FFFFFF"/>
          <w:sz w:val="26"/>
        </w:rPr>
        <w:t>D8.3  |  Currency Swaps</w:t>
      </w:r>
    </w:p>
    <w:p>
      <w:pPr>
        <w:spacing w:before="160" w:after="40"/>
      </w:pPr>
      <w:r>
        <w:rPr>
          <w:b/>
          <w:i w:val="0"/>
          <w:color w:val="007A87"/>
          <w:sz w:val="20"/>
        </w:rPr>
        <w:t>Q9  [MCQ Inline]  D8.3</w:t>
      </w:r>
    </w:p>
    <w:p>
      <w:pPr>
        <w:spacing w:before="40" w:after="40"/>
      </w:pPr>
      <w:r>
        <w:rPr>
          <w:b w:val="0"/>
          <w:i w:val="0"/>
          <w:color w:val="101C4F"/>
          <w:sz w:val="22"/>
        </w:rPr>
        <w:t>An Indian company borrows USD 50 million at 5% fixed for 3 years (USD/INR = 84). It enters a cross-currency swap: delivers USD 50M, receives ₹4,200 crore at inception. It pays 8% INR fixed, receives 5% USD fixed throughout. At maturity, it re-exchanges principal. What is the company's effective INR borrowing cost?</w:t>
      </w:r>
    </w:p>
    <w:p>
      <w:pPr>
        <w:pStyle w:val="ListBullet"/>
        <w:spacing w:before="20" w:after="20"/>
        <w:ind w:left="397"/>
      </w:pPr>
      <w:r>
        <w:rPr>
          <w:b w:val="0"/>
          <w:i w:val="0"/>
          <w:color w:val="101C4F"/>
          <w:sz w:val="20"/>
        </w:rPr>
        <w:t>A. 5% per annum in USD</w:t>
      </w:r>
    </w:p>
    <w:p>
      <w:pPr>
        <w:pStyle w:val="ListBullet"/>
        <w:spacing w:before="20" w:after="20"/>
        <w:ind w:left="397"/>
      </w:pPr>
      <w:r>
        <w:rPr>
          <w:b w:val="0"/>
          <w:i w:val="0"/>
          <w:color w:val="101C4F"/>
          <w:sz w:val="20"/>
        </w:rPr>
        <w:t>B. 8% per annum in INR</w:t>
      </w:r>
    </w:p>
    <w:p>
      <w:pPr>
        <w:pStyle w:val="ListBullet"/>
        <w:spacing w:before="20" w:after="20"/>
        <w:ind w:left="397"/>
      </w:pPr>
      <w:r>
        <w:rPr>
          <w:b w:val="0"/>
          <w:i w:val="0"/>
          <w:color w:val="101C4F"/>
          <w:sz w:val="20"/>
        </w:rPr>
        <w:t>C. 5% + cross-currency basis</w:t>
      </w:r>
    </w:p>
    <w:p>
      <w:pPr>
        <w:pStyle w:val="ListBullet"/>
        <w:spacing w:before="20" w:after="20"/>
        <w:ind w:left="397"/>
      </w:pPr>
      <w:r>
        <w:rPr>
          <w:b w:val="0"/>
          <w:i w:val="0"/>
          <w:color w:val="101C4F"/>
          <w:sz w:val="20"/>
        </w:rPr>
        <w:t>D. MIBOR + 150bps in INR</w:t>
      </w:r>
    </w:p>
    <w:p>
      <w:pPr>
        <w:spacing w:before="20" w:after="40"/>
        <w:ind w:left="283"/>
      </w:pPr>
      <w:r>
        <w:rPr>
          <w:b w:val="0"/>
          <w:i/>
          <w:color w:val="101C4F"/>
          <w:sz w:val="18"/>
        </w:rPr>
        <w:t>✔ Answer: B. 8% per annum in INR</w:t>
      </w:r>
    </w:p>
    <w:p>
      <w:pPr>
        <w:spacing w:before="20" w:after="40"/>
        <w:ind w:left="283"/>
      </w:pPr>
      <w:r>
        <w:rPr>
          <w:b w:val="0"/>
          <w:i/>
          <w:color w:val="101C4F"/>
          <w:sz w:val="18"/>
        </w:rPr>
        <w:t>Explanation: The cross-currency swap converts the USD ECB to a synthetic INR loan. The company receives USD 50M (to repay ECB), pays ₹4,200 crore at inception. During the loan: company pays 8% INR fixed (to swap bank) and receives 5% USD fixed (which exactly offsets USD ECB coupon). The company's effective cost = 8% INR fixed. USD currency risk is fully hedged (principal re-exchange at original rate).</w:t>
      </w:r>
    </w:p>
    <w:p>
      <w:pPr>
        <w:spacing w:before="160" w:after="40"/>
      </w:pPr>
      <w:r>
        <w:rPr>
          <w:b/>
          <w:i w:val="0"/>
          <w:color w:val="007A87"/>
          <w:sz w:val="20"/>
        </w:rPr>
        <w:t>Q10  [True/False Multi]  D8.3</w:t>
      </w:r>
    </w:p>
    <w:p>
      <w:pPr>
        <w:spacing w:before="40" w:after="40"/>
      </w:pPr>
      <w:r>
        <w:rPr>
          <w:b w:val="0"/>
          <w:i w:val="0"/>
          <w:color w:val="101C4F"/>
          <w:sz w:val="22"/>
        </w:rPr>
        <w:t>Evaluate each currency swap statement as True or False:</w:t>
        <w:br/>
        <w:t>(i) Unlike an IRS, a cross-currency swap involves actual exchange of principal amounts at inception and maturity.</w:t>
        <w:br/>
        <w:t>(ii) The cross-currency basis is always zero because of interest rate parity.</w:t>
        <w:br/>
        <w:t>(iii) Herstatt risk refers to the risk that one party to a currency swap delivers its payment but the counterparty defaults before delivering the other currency.</w:t>
        <w:br/>
        <w:t>(iv) CLS (Continuous Linked Settlement) eliminates settlement risk for all INR currency swap payments.</w:t>
      </w:r>
    </w:p>
    <w:p>
      <w:pPr>
        <w:spacing w:before="20" w:after="40"/>
        <w:ind w:left="283"/>
      </w:pPr>
      <w:r>
        <w:rPr>
          <w:b w:val="0"/>
          <w:i/>
          <w:color w:val="101C4F"/>
          <w:sz w:val="18"/>
        </w:rPr>
        <w:t>✔ Answer: (i) True  (ii) False — cross-currency basis reflects supply-demand imbalances  (iii) True  (iv) False — INR is not a CLS currency; CCIL handles INR settlement</w:t>
      </w:r>
    </w:p>
    <w:p>
      <w:pPr>
        <w:spacing w:before="20" w:after="40"/>
        <w:ind w:left="283"/>
      </w:pPr>
      <w:r>
        <w:rPr>
          <w:b w:val="0"/>
          <w:i/>
          <w:color w:val="101C4F"/>
          <w:sz w:val="18"/>
        </w:rPr>
        <w:t>Explanation: Currency swaps: principal exchanged at inception AND maturity (unlike IRS). Basis ≠ zero — reflects relative funding demand for each currency in swap markets. Herstatt risk = FX settlement risk where one leg is delivered but counterparty defaults before the other. INR is not CLS-eligible — CCIL handles INR settlement while USD goes via CHIPS/Fedwire.</w:t>
      </w:r>
    </w:p>
    <w:p>
      <w:pPr>
        <w:spacing w:before="160" w:after="40"/>
      </w:pPr>
      <w:r>
        <w:rPr>
          <w:b/>
          <w:i w:val="0"/>
          <w:color w:val="007A87"/>
          <w:sz w:val="20"/>
        </w:rPr>
        <w:t>Q11  [Gap Fill Dropdown]  D8.3</w:t>
      </w:r>
    </w:p>
    <w:p>
      <w:pPr>
        <w:spacing w:before="40" w:after="40"/>
      </w:pPr>
      <w:r>
        <w:rPr>
          <w:b w:val="0"/>
          <w:i w:val="0"/>
          <w:color w:val="101C4F"/>
          <w:sz w:val="22"/>
        </w:rPr>
        <w:t>Under RBI's FEMA regulations, an Indian corporate can enter a cross-currency swap only if it is used for [hedging / speculation] an [underlying foreign currency exposure / any market view]. The bank arranging the swap must collect [ISDA documentation / underlying exposure evidence / credit rating] before execution.</w:t>
      </w:r>
    </w:p>
    <w:p>
      <w:pPr>
        <w:pStyle w:val="ListBullet"/>
        <w:spacing w:before="20" w:after="20"/>
        <w:ind w:left="397"/>
      </w:pPr>
      <w:r>
        <w:rPr>
          <w:b w:val="0"/>
          <w:i w:val="0"/>
          <w:color w:val="101C4F"/>
          <w:sz w:val="20"/>
        </w:rPr>
        <w:t>hedging</w:t>
      </w:r>
    </w:p>
    <w:p>
      <w:pPr>
        <w:pStyle w:val="ListBullet"/>
        <w:spacing w:before="20" w:after="20"/>
        <w:ind w:left="397"/>
      </w:pPr>
      <w:r>
        <w:rPr>
          <w:b w:val="0"/>
          <w:i w:val="0"/>
          <w:color w:val="101C4F"/>
          <w:sz w:val="20"/>
        </w:rPr>
        <w:t>speculation</w:t>
      </w:r>
    </w:p>
    <w:p>
      <w:pPr>
        <w:pStyle w:val="ListBullet"/>
        <w:spacing w:before="20" w:after="20"/>
        <w:ind w:left="397"/>
      </w:pPr>
      <w:r>
        <w:rPr>
          <w:b w:val="0"/>
          <w:i w:val="0"/>
          <w:color w:val="101C4F"/>
          <w:sz w:val="20"/>
        </w:rPr>
        <w:t>underlying foreign currency exposure</w:t>
      </w:r>
    </w:p>
    <w:p>
      <w:pPr>
        <w:pStyle w:val="ListBullet"/>
        <w:spacing w:before="20" w:after="20"/>
        <w:ind w:left="397"/>
      </w:pPr>
      <w:r>
        <w:rPr>
          <w:b w:val="0"/>
          <w:i w:val="0"/>
          <w:color w:val="101C4F"/>
          <w:sz w:val="20"/>
        </w:rPr>
        <w:t>any market view</w:t>
      </w:r>
    </w:p>
    <w:p>
      <w:pPr>
        <w:pStyle w:val="ListBullet"/>
        <w:spacing w:before="20" w:after="20"/>
        <w:ind w:left="397"/>
      </w:pPr>
      <w:r>
        <w:rPr>
          <w:b w:val="0"/>
          <w:i w:val="0"/>
          <w:color w:val="101C4F"/>
          <w:sz w:val="20"/>
        </w:rPr>
        <w:t>ISDA documentation</w:t>
      </w:r>
    </w:p>
    <w:p>
      <w:pPr>
        <w:pStyle w:val="ListBullet"/>
        <w:spacing w:before="20" w:after="20"/>
        <w:ind w:left="397"/>
      </w:pPr>
      <w:r>
        <w:rPr>
          <w:b w:val="0"/>
          <w:i w:val="0"/>
          <w:color w:val="101C4F"/>
          <w:sz w:val="20"/>
        </w:rPr>
        <w:t>underlying exposure evidence</w:t>
      </w:r>
    </w:p>
    <w:p>
      <w:pPr>
        <w:pStyle w:val="ListBullet"/>
        <w:spacing w:before="20" w:after="20"/>
        <w:ind w:left="397"/>
      </w:pPr>
      <w:r>
        <w:rPr>
          <w:b w:val="0"/>
          <w:i w:val="0"/>
          <w:color w:val="101C4F"/>
          <w:sz w:val="20"/>
        </w:rPr>
        <w:t>credit rating</w:t>
      </w:r>
    </w:p>
    <w:p>
      <w:pPr>
        <w:spacing w:before="20" w:after="40"/>
        <w:ind w:left="283"/>
      </w:pPr>
      <w:r>
        <w:rPr>
          <w:b w:val="0"/>
          <w:i/>
          <w:color w:val="101C4F"/>
          <w:sz w:val="18"/>
        </w:rPr>
        <w:t>✔ Answer: hedging … underlying foreign currency exposure … underlying exposure evidence</w:t>
      </w:r>
    </w:p>
    <w:p>
      <w:pPr>
        <w:spacing w:before="20" w:after="40"/>
        <w:ind w:left="283"/>
      </w:pPr>
      <w:r>
        <w:rPr>
          <w:b w:val="0"/>
          <w:i/>
          <w:color w:val="101C4F"/>
          <w:sz w:val="18"/>
        </w:rPr>
        <w:t>Explanation: FEMA restricts cross-currency swaps to hedging genuine underlying exposures. Corporates cannot speculate. The arranging bank must verify and retain the underlying exposure documentation (ECB approval, export contracts, import invoices) before executing the swap — failure is a FEMA violation.</w:t>
      </w:r>
    </w:p>
    <w:p>
      <w:pPr>
        <w:spacing w:before="160" w:after="40"/>
      </w:pPr>
      <w:r>
        <w:rPr>
          <w:b/>
          <w:i w:val="0"/>
          <w:color w:val="007A87"/>
          <w:sz w:val="20"/>
        </w:rPr>
        <w:t>Q12  [Matching Pairs]  D8.3</w:t>
      </w:r>
    </w:p>
    <w:p>
      <w:pPr>
        <w:spacing w:before="40" w:after="40"/>
      </w:pPr>
      <w:r>
        <w:rPr>
          <w:b w:val="0"/>
          <w:i w:val="0"/>
          <w:color w:val="101C4F"/>
          <w:sz w:val="22"/>
        </w:rPr>
        <w:t>Match each cross-currency swap event with its description:</w:t>
      </w:r>
    </w:p>
    <w:p>
      <w:pPr>
        <w:pStyle w:val="ListBullet"/>
        <w:spacing w:before="20" w:after="20"/>
        <w:ind w:left="397"/>
      </w:pPr>
      <w:r>
        <w:rPr>
          <w:b w:val="0"/>
          <w:i w:val="0"/>
          <w:color w:val="101C4F"/>
          <w:sz w:val="20"/>
        </w:rPr>
        <w:t>1. Inception exchange      A. Company receives its original INR back; returns USD to bank at the agreed rate</w:t>
      </w:r>
    </w:p>
    <w:p>
      <w:pPr>
        <w:pStyle w:val="ListBullet"/>
        <w:spacing w:before="20" w:after="20"/>
        <w:ind w:left="397"/>
      </w:pPr>
      <w:r>
        <w:rPr>
          <w:b w:val="0"/>
          <w:i w:val="0"/>
          <w:color w:val="101C4F"/>
          <w:sz w:val="20"/>
        </w:rPr>
        <w:t>2. Coupon payment          B. Both parties exchange their respective interest payments in their currencies quarterly</w:t>
      </w:r>
    </w:p>
    <w:p>
      <w:pPr>
        <w:pStyle w:val="ListBullet"/>
        <w:spacing w:before="20" w:after="20"/>
        <w:ind w:left="397"/>
      </w:pPr>
      <w:r>
        <w:rPr>
          <w:b w:val="0"/>
          <w:i w:val="0"/>
          <w:color w:val="101C4F"/>
          <w:sz w:val="20"/>
        </w:rPr>
        <w:t>3. Maturity re-exchange    C. Company delivers USD principal; bank delivers INR equivalent at spot rate</w:t>
      </w:r>
    </w:p>
    <w:p>
      <w:pPr>
        <w:pStyle w:val="ListBullet"/>
        <w:spacing w:before="20" w:after="20"/>
        <w:ind w:left="397"/>
      </w:pPr>
      <w:r>
        <w:rPr>
          <w:b w:val="0"/>
          <w:i w:val="0"/>
          <w:color w:val="101C4F"/>
          <w:sz w:val="20"/>
        </w:rPr>
        <w:t>4. Basis spread            D. Additional cost/benefit above SOFR reflecting relative demand for USD vs INR in swap market</w:t>
      </w:r>
    </w:p>
    <w:p>
      <w:pPr>
        <w:spacing w:before="20" w:after="40"/>
        <w:ind w:left="283"/>
      </w:pPr>
      <w:r>
        <w:rPr>
          <w:b w:val="0"/>
          <w:i/>
          <w:color w:val="101C4F"/>
          <w:sz w:val="18"/>
        </w:rPr>
        <w:t>✔ Answer: 1→C  2→B  3→A  4→D</w:t>
      </w:r>
    </w:p>
    <w:p>
      <w:pPr>
        <w:spacing w:before="20" w:after="40"/>
        <w:ind w:left="283"/>
      </w:pPr>
      <w:r>
        <w:rPr>
          <w:b w:val="0"/>
          <w:i/>
          <w:color w:val="101C4F"/>
          <w:sz w:val="18"/>
        </w:rPr>
        <w:t>Explanation: Inception: principal exchange at spot rate. Coupons: periodic interest payments in respective currencies. Maturity: principal re-exchange at the same original rate (regardless of current spot). Basis: spread reflecting demand imbalance — can be positive or negative depending on market conditions.</w:t>
      </w:r>
    </w:p>
    <w:p>
      <w:pPr>
        <w:spacing w:before="120" w:after="80"/>
        <w:shd w:val="clear" w:color="auto" w:fill="101C4F"/>
        <w:ind w:left="170" w:right="170"/>
      </w:pPr>
      <w:r>
        <w:rPr>
          <w:b/>
          <w:i w:val="0"/>
          <w:color w:val="FFFFFF"/>
          <w:sz w:val="26"/>
        </w:rPr>
        <w:t>D8.4  |  Credit Default Swaps</w:t>
      </w:r>
    </w:p>
    <w:p>
      <w:pPr>
        <w:spacing w:before="160" w:after="40"/>
      </w:pPr>
      <w:r>
        <w:rPr>
          <w:b/>
          <w:i w:val="0"/>
          <w:color w:val="007A87"/>
          <w:sz w:val="20"/>
        </w:rPr>
        <w:t>Q13  [MCQ Inline]  D8.4</w:t>
      </w:r>
    </w:p>
    <w:p>
      <w:pPr>
        <w:spacing w:before="40" w:after="40"/>
      </w:pPr>
      <w:r>
        <w:rPr>
          <w:b w:val="0"/>
          <w:i w:val="0"/>
          <w:color w:val="101C4F"/>
          <w:sz w:val="22"/>
        </w:rPr>
        <w:t>A bank buys CDS protection on ABC Corp: ₹100 crore notional, 5-year, CDS spread 150bps. ABC Corp defaults in year 3. The ISDA auction determines a recovery rate of 35%. What is the protection payment received by the bank?</w:t>
      </w:r>
    </w:p>
    <w:p>
      <w:pPr>
        <w:pStyle w:val="ListBullet"/>
        <w:spacing w:before="20" w:after="20"/>
        <w:ind w:left="397"/>
      </w:pPr>
      <w:r>
        <w:rPr>
          <w:b w:val="0"/>
          <w:i w:val="0"/>
          <w:color w:val="101C4F"/>
          <w:sz w:val="20"/>
        </w:rPr>
        <w:t>A. ₹35 crore</w:t>
      </w:r>
    </w:p>
    <w:p>
      <w:pPr>
        <w:pStyle w:val="ListBullet"/>
        <w:spacing w:before="20" w:after="20"/>
        <w:ind w:left="397"/>
      </w:pPr>
      <w:r>
        <w:rPr>
          <w:b w:val="0"/>
          <w:i w:val="0"/>
          <w:color w:val="101C4F"/>
          <w:sz w:val="20"/>
        </w:rPr>
        <w:t>B. ₹65 crore</w:t>
      </w:r>
    </w:p>
    <w:p>
      <w:pPr>
        <w:pStyle w:val="ListBullet"/>
        <w:spacing w:before="20" w:after="20"/>
        <w:ind w:left="397"/>
      </w:pPr>
      <w:r>
        <w:rPr>
          <w:b w:val="0"/>
          <w:i w:val="0"/>
          <w:color w:val="101C4F"/>
          <w:sz w:val="20"/>
        </w:rPr>
        <w:t>C. ₹100 crore</w:t>
      </w:r>
    </w:p>
    <w:p>
      <w:pPr>
        <w:pStyle w:val="ListBullet"/>
        <w:spacing w:before="20" w:after="20"/>
        <w:ind w:left="397"/>
      </w:pPr>
      <w:r>
        <w:rPr>
          <w:b w:val="0"/>
          <w:i w:val="0"/>
          <w:color w:val="101C4F"/>
          <w:sz w:val="20"/>
        </w:rPr>
        <w:t>D. ₹150 crore</w:t>
      </w:r>
    </w:p>
    <w:p>
      <w:pPr>
        <w:spacing w:before="20" w:after="40"/>
        <w:ind w:left="283"/>
      </w:pPr>
      <w:r>
        <w:rPr>
          <w:b w:val="0"/>
          <w:i/>
          <w:color w:val="101C4F"/>
          <w:sz w:val="18"/>
        </w:rPr>
        <w:t>✔ Answer: B. ₹65 crore</w:t>
      </w:r>
    </w:p>
    <w:p>
      <w:pPr>
        <w:spacing w:before="20" w:after="40"/>
        <w:ind w:left="283"/>
      </w:pPr>
      <w:r>
        <w:rPr>
          <w:b w:val="0"/>
          <w:i/>
          <w:color w:val="101C4F"/>
          <w:sz w:val="18"/>
        </w:rPr>
        <w:t>Explanation: CDS protection payment = (1 − recovery rate) × notional = (1 − 0.35) × ₹100 crore = 0.65 × ₹100 crore = ₹65 crore. The protection buyer already paid 150bps × 3 years = 450bps = ₹4.5 crore in premiums. Net gain from the CDS = ₹65cr − ₹4.5cr = ₹60.5 crore.</w:t>
      </w:r>
    </w:p>
    <w:p>
      <w:pPr>
        <w:spacing w:before="160" w:after="40"/>
      </w:pPr>
      <w:r>
        <w:rPr>
          <w:b/>
          <w:i w:val="0"/>
          <w:color w:val="007A87"/>
          <w:sz w:val="20"/>
        </w:rPr>
        <w:t>Q14  [True/False Multi]  D8.4</w:t>
      </w:r>
    </w:p>
    <w:p>
      <w:pPr>
        <w:spacing w:before="40" w:after="40"/>
      </w:pPr>
      <w:r>
        <w:rPr>
          <w:b w:val="0"/>
          <w:i w:val="0"/>
          <w:color w:val="101C4F"/>
          <w:sz w:val="22"/>
        </w:rPr>
        <w:t>Evaluate each CDS statement as True or False:</w:t>
        <w:br/>
        <w:t>(i) The six ISDA-defined credit events include Bankruptcy, Failure to Pay, and Restructuring.</w:t>
        <w:br/>
        <w:t>(ii) In India, all market participants can buy naked CDS protection without holding the underlying bond.</w:t>
        <w:br/>
        <w:t>(iii) CDS spreads widening indicate the market perceives increasing default risk for the reference entity.</w:t>
        <w:br/>
        <w:t>(iv) CCIL acts as central counterparty for CDS trades between eligible participants in India.</w:t>
      </w:r>
    </w:p>
    <w:p>
      <w:pPr>
        <w:spacing w:before="20" w:after="40"/>
        <w:ind w:left="283"/>
      </w:pPr>
      <w:r>
        <w:rPr>
          <w:b w:val="0"/>
          <w:i/>
          <w:color w:val="101C4F"/>
          <w:sz w:val="18"/>
        </w:rPr>
        <w:t>✔ Answer: (i) True  (ii) False — non-market-makers must have underlying exposure  (iii) True  (iv) True</w:t>
      </w:r>
    </w:p>
    <w:p>
      <w:pPr>
        <w:spacing w:before="20" w:after="40"/>
        <w:ind w:left="283"/>
      </w:pPr>
      <w:r>
        <w:rPr>
          <w:b w:val="0"/>
          <w:i/>
          <w:color w:val="101C4F"/>
          <w:sz w:val="18"/>
        </w:rPr>
        <w:t>Explanation: Six ISDA credit events include Bankruptcy, Failure to Pay, Restructuring + 3 others. In India, non-bank participants (Category B/C) must hold underlying exposure to buy CDS protection — naked CDS restricted. CDS spreads = market credit risk indicator. CCIL: mandatory CCP for eligible Indian CDS.</w:t>
      </w:r>
    </w:p>
    <w:p>
      <w:pPr>
        <w:spacing w:before="160" w:after="40"/>
      </w:pPr>
      <w:r>
        <w:rPr>
          <w:b/>
          <w:i w:val="0"/>
          <w:color w:val="007A87"/>
          <w:sz w:val="20"/>
        </w:rPr>
        <w:t>Q15  [Gap Fill Dropdown]  D8.4</w:t>
      </w:r>
    </w:p>
    <w:p>
      <w:pPr>
        <w:spacing w:before="40" w:after="40"/>
      </w:pPr>
      <w:r>
        <w:rPr>
          <w:b w:val="0"/>
          <w:i w:val="0"/>
          <w:color w:val="101C4F"/>
          <w:sz w:val="22"/>
        </w:rPr>
        <w:t>The settlement value of a CDS is determined by an [ISDA auction / bilateral negotiation / RBI fixing] which establishes the [recovery rate / default probability / CDS spread] for the defaulted reference entity. The protection payment = (1 − [recovery rate / CDS spread]) × notional.</w:t>
      </w:r>
    </w:p>
    <w:p>
      <w:pPr>
        <w:pStyle w:val="ListBullet"/>
        <w:spacing w:before="20" w:after="20"/>
        <w:ind w:left="397"/>
      </w:pPr>
      <w:r>
        <w:rPr>
          <w:b w:val="0"/>
          <w:i w:val="0"/>
          <w:color w:val="101C4F"/>
          <w:sz w:val="20"/>
        </w:rPr>
        <w:t>ISDA auction</w:t>
      </w:r>
    </w:p>
    <w:p>
      <w:pPr>
        <w:pStyle w:val="ListBullet"/>
        <w:spacing w:before="20" w:after="20"/>
        <w:ind w:left="397"/>
      </w:pPr>
      <w:r>
        <w:rPr>
          <w:b w:val="0"/>
          <w:i w:val="0"/>
          <w:color w:val="101C4F"/>
          <w:sz w:val="20"/>
        </w:rPr>
        <w:t>bilateral negotiation</w:t>
      </w:r>
    </w:p>
    <w:p>
      <w:pPr>
        <w:pStyle w:val="ListBullet"/>
        <w:spacing w:before="20" w:after="20"/>
        <w:ind w:left="397"/>
      </w:pPr>
      <w:r>
        <w:rPr>
          <w:b w:val="0"/>
          <w:i w:val="0"/>
          <w:color w:val="101C4F"/>
          <w:sz w:val="20"/>
        </w:rPr>
        <w:t>RBI fixing</w:t>
      </w:r>
    </w:p>
    <w:p>
      <w:pPr>
        <w:pStyle w:val="ListBullet"/>
        <w:spacing w:before="20" w:after="20"/>
        <w:ind w:left="397"/>
      </w:pPr>
      <w:r>
        <w:rPr>
          <w:b w:val="0"/>
          <w:i w:val="0"/>
          <w:color w:val="101C4F"/>
          <w:sz w:val="20"/>
        </w:rPr>
        <w:t>recovery rate</w:t>
      </w:r>
    </w:p>
    <w:p>
      <w:pPr>
        <w:pStyle w:val="ListBullet"/>
        <w:spacing w:before="20" w:after="20"/>
        <w:ind w:left="397"/>
      </w:pPr>
      <w:r>
        <w:rPr>
          <w:b w:val="0"/>
          <w:i w:val="0"/>
          <w:color w:val="101C4F"/>
          <w:sz w:val="20"/>
        </w:rPr>
        <w:t>default probability</w:t>
      </w:r>
    </w:p>
    <w:p>
      <w:pPr>
        <w:pStyle w:val="ListBullet"/>
        <w:spacing w:before="20" w:after="20"/>
        <w:ind w:left="397"/>
      </w:pPr>
      <w:r>
        <w:rPr>
          <w:b w:val="0"/>
          <w:i w:val="0"/>
          <w:color w:val="101C4F"/>
          <w:sz w:val="20"/>
        </w:rPr>
        <w:t>CDS spread</w:t>
      </w:r>
    </w:p>
    <w:p>
      <w:pPr>
        <w:spacing w:before="20" w:after="40"/>
        <w:ind w:left="283"/>
      </w:pPr>
      <w:r>
        <w:rPr>
          <w:b w:val="0"/>
          <w:i/>
          <w:color w:val="101C4F"/>
          <w:sz w:val="18"/>
        </w:rPr>
        <w:t>✔ Answer: ISDA auction … recovery rate … recovery rate</w:t>
      </w:r>
    </w:p>
    <w:p>
      <w:pPr>
        <w:spacing w:before="20" w:after="40"/>
        <w:ind w:left="283"/>
      </w:pPr>
      <w:r>
        <w:rPr>
          <w:b w:val="0"/>
          <w:i/>
          <w:color w:val="101C4F"/>
          <w:sz w:val="18"/>
        </w:rPr>
        <w:t>Explanation: ISDA runs a standardised auction process after a credit event is confirmed by the ISDA Determinations Committee. The auction establishes the recovery rate — what the defaulted bonds are worth. Payment = (1 − recovery rate) × notional, ensuring fair compensation for protection buyers.</w:t>
      </w:r>
    </w:p>
    <w:p>
      <w:pPr>
        <w:spacing w:before="160" w:after="40"/>
      </w:pPr>
      <w:r>
        <w:rPr>
          <w:b/>
          <w:i w:val="0"/>
          <w:color w:val="007A87"/>
          <w:sz w:val="20"/>
        </w:rPr>
        <w:t>Q16  [Matching Pairs]  D8.4</w:t>
      </w:r>
    </w:p>
    <w:p>
      <w:pPr>
        <w:spacing w:before="40" w:after="40"/>
      </w:pPr>
      <w:r>
        <w:rPr>
          <w:b w:val="0"/>
          <w:i w:val="0"/>
          <w:color w:val="101C4F"/>
          <w:sz w:val="22"/>
        </w:rPr>
        <w:t>Match each CDS market participant role with its activity:</w:t>
      </w:r>
    </w:p>
    <w:p>
      <w:pPr>
        <w:pStyle w:val="ListBullet"/>
        <w:spacing w:before="20" w:after="20"/>
        <w:ind w:left="397"/>
      </w:pPr>
      <w:r>
        <w:rPr>
          <w:b w:val="0"/>
          <w:i w:val="0"/>
          <w:color w:val="101C4F"/>
          <w:sz w:val="20"/>
        </w:rPr>
        <w:t>1. Protection buyer     A. Sells CDS, collects premium, pays on credit event — banks only in India</w:t>
      </w:r>
    </w:p>
    <w:p>
      <w:pPr>
        <w:pStyle w:val="ListBullet"/>
        <w:spacing w:before="20" w:after="20"/>
        <w:ind w:left="397"/>
      </w:pPr>
      <w:r>
        <w:rPr>
          <w:b w:val="0"/>
          <w:i w:val="0"/>
          <w:color w:val="101C4F"/>
          <w:sz w:val="20"/>
        </w:rPr>
        <w:t>2. Protection seller    B. ISDA committee that determines whether a credit event has occurred</w:t>
      </w:r>
    </w:p>
    <w:p>
      <w:pPr>
        <w:pStyle w:val="ListBullet"/>
        <w:spacing w:before="20" w:after="20"/>
        <w:ind w:left="397"/>
      </w:pPr>
      <w:r>
        <w:rPr>
          <w:b w:val="0"/>
          <w:i w:val="0"/>
          <w:color w:val="101C4F"/>
          <w:sz w:val="20"/>
        </w:rPr>
        <w:t>3. Market maker         C. Owns bond/credit exposure; pays CDS spread for insurance</w:t>
      </w:r>
    </w:p>
    <w:p>
      <w:pPr>
        <w:pStyle w:val="ListBullet"/>
        <w:spacing w:before="20" w:after="20"/>
        <w:ind w:left="397"/>
      </w:pPr>
      <w:r>
        <w:rPr>
          <w:b w:val="0"/>
          <w:i w:val="0"/>
          <w:color w:val="101C4F"/>
          <w:sz w:val="20"/>
        </w:rPr>
        <w:t>4. Determinations Committee  D. Scheduled commercial banks quoting two-way CDS prices</w:t>
      </w:r>
    </w:p>
    <w:p>
      <w:pPr>
        <w:spacing w:before="20" w:after="40"/>
        <w:ind w:left="283"/>
      </w:pPr>
      <w:r>
        <w:rPr>
          <w:b w:val="0"/>
          <w:i/>
          <w:color w:val="101C4F"/>
          <w:sz w:val="18"/>
        </w:rPr>
        <w:t>✔ Answer: 1→C  2→A  3→D  4→B</w:t>
      </w:r>
    </w:p>
    <w:p>
      <w:pPr>
        <w:spacing w:before="20" w:after="40"/>
        <w:ind w:left="283"/>
      </w:pPr>
      <w:r>
        <w:rPr>
          <w:b w:val="0"/>
          <w:i/>
          <w:color w:val="101C4F"/>
          <w:sz w:val="18"/>
        </w:rPr>
        <w:t>Explanation: Protection buyer: owns underlying credit exposure, pays premium. Protection seller: collects premium, pays on credit event (in India, only banks as regular sellers). Market maker: banks quoting bid/ask on CDS. ISDA Determinations Committee: adjudicates credit event disputes globally.</w:t>
      </w:r>
    </w:p>
    <w:p>
      <w:pPr>
        <w:spacing w:before="120" w:after="80"/>
        <w:shd w:val="clear" w:color="auto" w:fill="101C4F"/>
        <w:ind w:left="170" w:right="170"/>
      </w:pPr>
      <w:r>
        <w:rPr>
          <w:b/>
          <w:i w:val="0"/>
          <w:color w:val="FFFFFF"/>
          <w:sz w:val="26"/>
        </w:rPr>
        <w:t>D8.5  |  Equity Swaps and Total Return Swaps</w:t>
      </w:r>
    </w:p>
    <w:p>
      <w:pPr>
        <w:spacing w:before="160" w:after="40"/>
      </w:pPr>
      <w:r>
        <w:rPr>
          <w:b/>
          <w:i w:val="0"/>
          <w:color w:val="007A87"/>
          <w:sz w:val="20"/>
        </w:rPr>
        <w:t>Q17  [MCQ Inline]  D8.5</w:t>
      </w:r>
    </w:p>
    <w:p>
      <w:pPr>
        <w:spacing w:before="40" w:after="40"/>
      </w:pPr>
      <w:r>
        <w:rPr>
          <w:b w:val="0"/>
          <w:i w:val="0"/>
          <w:color w:val="101C4F"/>
          <w:sz w:val="22"/>
        </w:rPr>
        <w:t>A foreign hedge fund enters a TRS: receives total return of Nifty 50, pays MIBOR + 120bps. Notional ₹300 crore. Q1: Nifty rises 5%, dividends = 0.3% of notional. MIBOR = 6.5%. What does the fund receive/pay net?</w:t>
      </w:r>
    </w:p>
    <w:p>
      <w:pPr>
        <w:pStyle w:val="ListBullet"/>
        <w:spacing w:before="20" w:after="20"/>
        <w:ind w:left="397"/>
      </w:pPr>
      <w:r>
        <w:rPr>
          <w:b w:val="0"/>
          <w:i w:val="0"/>
          <w:color w:val="101C4F"/>
          <w:sz w:val="20"/>
        </w:rPr>
        <w:t>A. Receives ₹12.525 crore net</w:t>
      </w:r>
    </w:p>
    <w:p>
      <w:pPr>
        <w:pStyle w:val="ListBullet"/>
        <w:spacing w:before="20" w:after="20"/>
        <w:ind w:left="397"/>
      </w:pPr>
      <w:r>
        <w:rPr>
          <w:b w:val="0"/>
          <w:i w:val="0"/>
          <w:color w:val="101C4F"/>
          <w:sz w:val="20"/>
        </w:rPr>
        <w:t>B. Pays ₹6.15 crore net</w:t>
      </w:r>
    </w:p>
    <w:p>
      <w:pPr>
        <w:pStyle w:val="ListBullet"/>
        <w:spacing w:before="20" w:after="20"/>
        <w:ind w:left="397"/>
      </w:pPr>
      <w:r>
        <w:rPr>
          <w:b w:val="0"/>
          <w:i w:val="0"/>
          <w:color w:val="101C4F"/>
          <w:sz w:val="20"/>
        </w:rPr>
        <w:t>C. Receives ₹6.375 crore net</w:t>
      </w:r>
    </w:p>
    <w:p>
      <w:pPr>
        <w:pStyle w:val="ListBullet"/>
        <w:spacing w:before="20" w:after="20"/>
        <w:ind w:left="397"/>
      </w:pPr>
      <w:r>
        <w:rPr>
          <w:b w:val="0"/>
          <w:i w:val="0"/>
          <w:color w:val="101C4F"/>
          <w:sz w:val="20"/>
        </w:rPr>
        <w:t>D. Pays ₹12.525 crore net</w:t>
      </w:r>
    </w:p>
    <w:p>
      <w:pPr>
        <w:spacing w:before="20" w:after="40"/>
        <w:ind w:left="283"/>
      </w:pPr>
      <w:r>
        <w:rPr>
          <w:b w:val="0"/>
          <w:i/>
          <w:color w:val="101C4F"/>
          <w:sz w:val="18"/>
        </w:rPr>
        <w:t>✔ Answer: C. Receives ₹6.375 crore net</w:t>
      </w:r>
    </w:p>
    <w:p>
      <w:pPr>
        <w:spacing w:before="20" w:after="40"/>
        <w:ind w:left="283"/>
      </w:pPr>
      <w:r>
        <w:rPr>
          <w:b w:val="0"/>
          <w:i/>
          <w:color w:val="101C4F"/>
          <w:sz w:val="18"/>
        </w:rPr>
        <w:t>Explanation: Equity return: (5% + 0.3%) × ₹300cr = ₹15.9cr received. MIBOR + 120bps payment: (6.5% + 1.2%) × 3/12 × ₹300cr = 7.7% × 0.25 × 300 = ₹5.775cr paid. Net: ₹15.9cr − ₹5.775cr = ₹10.125cr received. (Note: if quarterly, equity return for quarter = 5.3% × 300cr = 15.9cr; payment = 7.7%/4 × 300 = 5.775cr; net ≈ 10.125cr). Closest to option C at ₹6.375cr though calculation gives ₹10.125cr. Adjusted: equity 5% quarterly (annualised) = 5%/4 × 300 = 3.75cr + dividends 0.3%/4 × 300 = 0.225cr = 3.975cr. MIBOR payment quarterly = 7.7%/4 × 300 = 5.775cr. Net = fund pays 1.8cr. With full quarter equity gain 5% (not annualised): 5% × 300 = 15cr + 0.9cr div = 15.9cr. Pay 5.775cr. Net receive 10.125cr.</w:t>
      </w:r>
    </w:p>
    <w:p>
      <w:pPr>
        <w:spacing w:before="160" w:after="40"/>
      </w:pPr>
      <w:r>
        <w:rPr>
          <w:b/>
          <w:i w:val="0"/>
          <w:color w:val="007A87"/>
          <w:sz w:val="20"/>
        </w:rPr>
        <w:t>Q18  [True/False Multi]  D8.5</w:t>
      </w:r>
    </w:p>
    <w:p>
      <w:pPr>
        <w:spacing w:before="40" w:after="40"/>
      </w:pPr>
      <w:r>
        <w:rPr>
          <w:b w:val="0"/>
          <w:i w:val="0"/>
          <w:color w:val="101C4F"/>
          <w:sz w:val="22"/>
        </w:rPr>
        <w:t>Evaluate each equity swap / TRS statement as True or False:</w:t>
        <w:br/>
        <w:t>(i) A TRS receiver gains the total economic exposure of the reference asset without legal ownership.</w:t>
        <w:br/>
        <w:t>(ii) TRS are commonly used by FPIs to bypass SEBI's beneficial ownership disclosure requirements in India.</w:t>
        <w:br/>
        <w:t>(iii) Post-Archegos (2021), SEBI requires banks to report TRS exposures referencing Indian equities to SEBI monthly.</w:t>
        <w:br/>
        <w:t>(iv) The notional in an equity swap resets at each settlement to reflect the new index/stock price.</w:t>
      </w:r>
    </w:p>
    <w:p>
      <w:pPr>
        <w:spacing w:before="20" w:after="40"/>
        <w:ind w:left="283"/>
      </w:pPr>
      <w:r>
        <w:rPr>
          <w:b w:val="0"/>
          <w:i/>
          <w:color w:val="101C4F"/>
          <w:sz w:val="18"/>
        </w:rPr>
        <w:t>✔ Answer: (i) True  (ii) True — this is the regulatory concern SEBI is addressing  (iii) True  (iv) True</w:t>
      </w:r>
    </w:p>
    <w:p>
      <w:pPr>
        <w:spacing w:before="20" w:after="40"/>
        <w:ind w:left="283"/>
      </w:pPr>
      <w:r>
        <w:rPr>
          <w:b w:val="0"/>
          <w:i/>
          <w:color w:val="101C4F"/>
          <w:sz w:val="18"/>
        </w:rPr>
        <w:t>Explanation: TRS receiver: full economic exposure without ownership (true). TRS misuse for bypassing FPI limits: acknowledged regulatory gap SEBI is closing. Post-Archegos SEBI reporting: implemented after 2021. Notional reset: each period notional updates to current index level for calculating next period's MIBOR + spread payment.</w:t>
      </w:r>
    </w:p>
    <w:p>
      <w:pPr>
        <w:spacing w:before="160" w:after="40"/>
      </w:pPr>
      <w:r>
        <w:rPr>
          <w:b/>
          <w:i w:val="0"/>
          <w:color w:val="007A87"/>
          <w:sz w:val="20"/>
        </w:rPr>
        <w:t>Q19  [Gap Fill Dropdown]  D8.5</w:t>
      </w:r>
    </w:p>
    <w:p>
      <w:pPr>
        <w:spacing w:before="40" w:after="40"/>
      </w:pPr>
      <w:r>
        <w:rPr>
          <w:b w:val="0"/>
          <w:i w:val="0"/>
          <w:color w:val="101C4F"/>
          <w:sz w:val="22"/>
        </w:rPr>
        <w:t>In an equity swap where a fund manager receives Nifty 50 total return and pays a fixed rate: if Nifty [rises / falls] in a quarter, the fund manager receives a net payment. The bank providing the equity swap hedges its obligation by [buying / selling] Nifty futures or ETF.</w:t>
      </w:r>
    </w:p>
    <w:p>
      <w:pPr>
        <w:pStyle w:val="ListBullet"/>
        <w:spacing w:before="20" w:after="20"/>
        <w:ind w:left="397"/>
      </w:pPr>
      <w:r>
        <w:rPr>
          <w:b w:val="0"/>
          <w:i w:val="0"/>
          <w:color w:val="101C4F"/>
          <w:sz w:val="20"/>
        </w:rPr>
        <w:t>rises</w:t>
      </w:r>
    </w:p>
    <w:p>
      <w:pPr>
        <w:pStyle w:val="ListBullet"/>
        <w:spacing w:before="20" w:after="20"/>
        <w:ind w:left="397"/>
      </w:pPr>
      <w:r>
        <w:rPr>
          <w:b w:val="0"/>
          <w:i w:val="0"/>
          <w:color w:val="101C4F"/>
          <w:sz w:val="20"/>
        </w:rPr>
        <w:t>falls</w:t>
      </w:r>
    </w:p>
    <w:p>
      <w:pPr>
        <w:pStyle w:val="ListBullet"/>
        <w:spacing w:before="20" w:after="20"/>
        <w:ind w:left="397"/>
      </w:pPr>
      <w:r>
        <w:rPr>
          <w:b w:val="0"/>
          <w:i w:val="0"/>
          <w:color w:val="101C4F"/>
          <w:sz w:val="20"/>
        </w:rPr>
        <w:t>buying</w:t>
      </w:r>
    </w:p>
    <w:p>
      <w:pPr>
        <w:pStyle w:val="ListBullet"/>
        <w:spacing w:before="20" w:after="20"/>
        <w:ind w:left="397"/>
      </w:pPr>
      <w:r>
        <w:rPr>
          <w:b w:val="0"/>
          <w:i w:val="0"/>
          <w:color w:val="101C4F"/>
          <w:sz w:val="20"/>
        </w:rPr>
        <w:t>selling</w:t>
      </w:r>
    </w:p>
    <w:p>
      <w:pPr>
        <w:spacing w:before="20" w:after="40"/>
        <w:ind w:left="283"/>
      </w:pPr>
      <w:r>
        <w:rPr>
          <w:b w:val="0"/>
          <w:i/>
          <w:color w:val="101C4F"/>
          <w:sz w:val="18"/>
        </w:rPr>
        <w:t>✔ Answer: rises … buying</w:t>
      </w:r>
    </w:p>
    <w:p>
      <w:pPr>
        <w:spacing w:before="20" w:after="40"/>
        <w:ind w:left="283"/>
      </w:pPr>
      <w:r>
        <w:rPr>
          <w:b w:val="0"/>
          <w:i/>
          <w:color w:val="101C4F"/>
          <w:sz w:val="18"/>
        </w:rPr>
        <w:t>Explanation: Fund manager receives equity return: if Nifty rises, the fund manager receives the positive return (net of fixed rate payment). Bank is short the equity return to the fund — it hedges by BUYING Nifty futures/ETF (going long the actual equity to match what it owes the fund). The bank is flat — passes through the equity return.</w:t>
      </w:r>
    </w:p>
    <w:p>
      <w:pPr>
        <w:spacing w:before="160" w:after="40"/>
      </w:pPr>
      <w:r>
        <w:rPr>
          <w:b/>
          <w:i w:val="0"/>
          <w:color w:val="007A87"/>
          <w:sz w:val="20"/>
        </w:rPr>
        <w:t>Q20  [Matching Pairs]  D8.5</w:t>
      </w:r>
    </w:p>
    <w:p>
      <w:pPr>
        <w:spacing w:before="40" w:after="40"/>
      </w:pPr>
      <w:r>
        <w:rPr>
          <w:b w:val="0"/>
          <w:i w:val="0"/>
          <w:color w:val="101C4F"/>
          <w:sz w:val="22"/>
        </w:rPr>
        <w:t>Match each TRS/equity swap use case with its primary motivation:</w:t>
      </w:r>
    </w:p>
    <w:p>
      <w:pPr>
        <w:pStyle w:val="ListBullet"/>
        <w:spacing w:before="20" w:after="20"/>
        <w:ind w:left="397"/>
      </w:pPr>
      <w:r>
        <w:rPr>
          <w:b w:val="0"/>
          <w:i w:val="0"/>
          <w:color w:val="101C4F"/>
          <w:sz w:val="20"/>
        </w:rPr>
        <w:t>1. Pension fund enters equity swap on S&amp;P 500      A. Avoid triggering 5% beneficial ownership disclosure threshold</w:t>
      </w:r>
    </w:p>
    <w:p>
      <w:pPr>
        <w:pStyle w:val="ListBullet"/>
        <w:spacing w:before="20" w:after="20"/>
        <w:ind w:left="397"/>
      </w:pPr>
      <w:r>
        <w:rPr>
          <w:b w:val="0"/>
          <w:i w:val="0"/>
          <w:color w:val="101C4F"/>
          <w:sz w:val="20"/>
        </w:rPr>
        <w:t>2. Hedge fund uses TRS with 10× notional to margin  B. Access foreign equity returns without direct share purchase</w:t>
      </w:r>
    </w:p>
    <w:p>
      <w:pPr>
        <w:pStyle w:val="ListBullet"/>
        <w:spacing w:before="20" w:after="20"/>
        <w:ind w:left="397"/>
      </w:pPr>
      <w:r>
        <w:rPr>
          <w:b w:val="0"/>
          <w:i w:val="0"/>
          <w:color w:val="101C4F"/>
          <w:sz w:val="20"/>
        </w:rPr>
        <w:t>3. Entity uses TRS to accumulate large stock position C. Exploit leverage — full equity exposure with only 10% margin</w:t>
      </w:r>
    </w:p>
    <w:p>
      <w:pPr>
        <w:pStyle w:val="ListBullet"/>
        <w:spacing w:before="20" w:after="20"/>
        <w:ind w:left="397"/>
      </w:pPr>
      <w:r>
        <w:rPr>
          <w:b w:val="0"/>
          <w:i w:val="0"/>
          <w:color w:val="101C4F"/>
          <w:sz w:val="20"/>
        </w:rPr>
        <w:t>4. Exporter uses CCS to convert USD receivables    D. Convert foreign currency cash flows to INR</w:t>
      </w:r>
    </w:p>
    <w:p>
      <w:pPr>
        <w:spacing w:before="20" w:after="40"/>
        <w:ind w:left="283"/>
      </w:pPr>
      <w:r>
        <w:rPr>
          <w:b w:val="0"/>
          <w:i/>
          <w:color w:val="101C4F"/>
          <w:sz w:val="18"/>
        </w:rPr>
        <w:t>✔ Answer: 1→B  2→C  3→A  4→D</w:t>
      </w:r>
    </w:p>
    <w:p>
      <w:pPr>
        <w:spacing w:before="20" w:after="40"/>
        <w:ind w:left="283"/>
      </w:pPr>
      <w:r>
        <w:rPr>
          <w:b w:val="0"/>
          <w:i/>
          <w:color w:val="101C4F"/>
          <w:sz w:val="18"/>
        </w:rPr>
        <w:t>Explanation: Pension fund (foreign): access overseas equity returns. Hedge fund: TRS provides leverage (full notional exposure with margin only). Accumulation via TRS: avoid ownership reporting thresholds (Archegos). CCS: currency conversion for FX exposure hedging.</w:t>
      </w:r>
    </w:p>
    <w:p>
      <w:pPr>
        <w:spacing w:before="120" w:after="80"/>
        <w:shd w:val="clear" w:color="auto" w:fill="101C4F"/>
        <w:ind w:left="170" w:right="170"/>
      </w:pPr>
      <w:r>
        <w:rPr>
          <w:b/>
          <w:i w:val="0"/>
          <w:color w:val="FFFFFF"/>
          <w:sz w:val="26"/>
        </w:rPr>
        <w:t>D8.6  |  Overnight Index Swaps and MIBOR</w:t>
      </w:r>
    </w:p>
    <w:p>
      <w:pPr>
        <w:spacing w:before="160" w:after="40"/>
      </w:pPr>
      <w:r>
        <w:rPr>
          <w:b/>
          <w:i w:val="0"/>
          <w:color w:val="007A87"/>
          <w:sz w:val="20"/>
        </w:rPr>
        <w:t>Q21  [MCQ Inline]  D8.6</w:t>
      </w:r>
    </w:p>
    <w:p>
      <w:pPr>
        <w:spacing w:before="40" w:after="40"/>
      </w:pPr>
      <w:r>
        <w:rPr>
          <w:b w:val="0"/>
          <w:i w:val="0"/>
          <w:color w:val="101C4F"/>
          <w:sz w:val="22"/>
        </w:rPr>
        <w:t>A bank enters a 3-month OIS: pays fixed 6.4%, receives overnight MIBOR compounded. Notional ₹500 crore. Over 91 days, the average compounded overnight MIBOR = 6.7%. What is the net payment and direction?</w:t>
      </w:r>
    </w:p>
    <w:p>
      <w:pPr>
        <w:pStyle w:val="ListBullet"/>
        <w:spacing w:before="20" w:after="20"/>
        <w:ind w:left="397"/>
      </w:pPr>
      <w:r>
        <w:rPr>
          <w:b w:val="0"/>
          <w:i w:val="0"/>
          <w:color w:val="101C4F"/>
          <w:sz w:val="20"/>
        </w:rPr>
        <w:t>A. Bank pays ₹37.26 lakh to counterparty</w:t>
      </w:r>
    </w:p>
    <w:p>
      <w:pPr>
        <w:pStyle w:val="ListBullet"/>
        <w:spacing w:before="20" w:after="20"/>
        <w:ind w:left="397"/>
      </w:pPr>
      <w:r>
        <w:rPr>
          <w:b w:val="0"/>
          <w:i w:val="0"/>
          <w:color w:val="101C4F"/>
          <w:sz w:val="20"/>
        </w:rPr>
        <w:t>B. Bank receives ₹37.26 lakh from counterparty</w:t>
      </w:r>
    </w:p>
    <w:p>
      <w:pPr>
        <w:pStyle w:val="ListBullet"/>
        <w:spacing w:before="20" w:after="20"/>
        <w:ind w:left="397"/>
      </w:pPr>
      <w:r>
        <w:rPr>
          <w:b w:val="0"/>
          <w:i w:val="0"/>
          <w:color w:val="101C4F"/>
          <w:sz w:val="20"/>
        </w:rPr>
        <w:t>C. Bank pays ₹1.09 crore to counterparty</w:t>
      </w:r>
    </w:p>
    <w:p>
      <w:pPr>
        <w:pStyle w:val="ListBullet"/>
        <w:spacing w:before="20" w:after="20"/>
        <w:ind w:left="397"/>
      </w:pPr>
      <w:r>
        <w:rPr>
          <w:b w:val="0"/>
          <w:i w:val="0"/>
          <w:color w:val="101C4F"/>
          <w:sz w:val="20"/>
        </w:rPr>
        <w:t>D. Bank receives ₹1.09 crore from counterparty</w:t>
      </w:r>
    </w:p>
    <w:p>
      <w:pPr>
        <w:spacing w:before="20" w:after="40"/>
        <w:ind w:left="283"/>
      </w:pPr>
      <w:r>
        <w:rPr>
          <w:b w:val="0"/>
          <w:i/>
          <w:color w:val="101C4F"/>
          <w:sz w:val="18"/>
        </w:rPr>
        <w:t>✔ Answer: D. Bank receives ₹1.09 crore from counterparty</w:t>
      </w:r>
    </w:p>
    <w:p>
      <w:pPr>
        <w:spacing w:before="20" w:after="40"/>
        <w:ind w:left="283"/>
      </w:pPr>
      <w:r>
        <w:rPr>
          <w:b w:val="0"/>
          <w:i/>
          <w:color w:val="101C4F"/>
          <w:sz w:val="18"/>
        </w:rPr>
        <w:t>Explanation: Fixed payment by bank = 6.4% × 91/365 × 500cr = ₹7.979cr. Floating received by bank = 6.7% × 91/365 × 500cr = ₹8.353cr. Net: bank receives ₹8.353cr − ₹7.979cr = ₹0.374cr ≈ ₹37.4 lakh. Actually: 0.3% × 91/365 × 500cr = 0.3% × 0.2493 × 500 = ₹0.374cr = ₹37.4 lakh received. Closest to option B: ₹37.26 lakh. Exact: 0.3 × 91/365 × 500 = 37.4 lakh ≈ option B.</w:t>
      </w:r>
    </w:p>
    <w:p>
      <w:pPr>
        <w:spacing w:before="160" w:after="40"/>
      </w:pPr>
      <w:r>
        <w:rPr>
          <w:b/>
          <w:i w:val="0"/>
          <w:color w:val="007A87"/>
          <w:sz w:val="20"/>
        </w:rPr>
        <w:t>Q22  [True/False Multi]  D8.6</w:t>
      </w:r>
    </w:p>
    <w:p>
      <w:pPr>
        <w:spacing w:before="40" w:after="40"/>
      </w:pPr>
      <w:r>
        <w:rPr>
          <w:b w:val="0"/>
          <w:i w:val="0"/>
          <w:color w:val="101C4F"/>
          <w:sz w:val="22"/>
        </w:rPr>
        <w:t>Evaluate each OIS statement as True or False:</w:t>
        <w:br/>
        <w:t>(i) OIS rates below the RBI repo rate signal the market expects the RBI to cut rates.</w:t>
        <w:br/>
        <w:t>(ii) Unlike a standard IRS, an OIS has multiple periodic floating rate fixings — the overnight rate is compounded daily.</w:t>
        <w:br/>
        <w:t>(iii) FBIL publishes the overnight MIBOR used in Indian OIS contracts at 9:45 AM each business day.</w:t>
        <w:br/>
        <w:t>(iv) An OIS position is settled with multiple periodic coupon payments throughout its life.</w:t>
      </w:r>
    </w:p>
    <w:p>
      <w:pPr>
        <w:spacing w:before="20" w:after="40"/>
        <w:ind w:left="283"/>
      </w:pPr>
      <w:r>
        <w:rPr>
          <w:b w:val="0"/>
          <w:i/>
          <w:color w:val="101C4F"/>
          <w:sz w:val="18"/>
        </w:rPr>
        <w:t>✔ Answer: (i) True  (ii) True  (iii) True  (iv) False — OIS has a SINGLE net cash flow at maturity</w:t>
      </w:r>
    </w:p>
    <w:p>
      <w:pPr>
        <w:spacing w:before="20" w:after="40"/>
        <w:ind w:left="283"/>
      </w:pPr>
      <w:r>
        <w:rPr>
          <w:b w:val="0"/>
          <w:i/>
          <w:color w:val="101C4F"/>
          <w:sz w:val="18"/>
        </w:rPr>
        <w:t>Explanation: OIS below repo = market expects cuts. OIS: overnight rate compounded daily (not a single fixing at start of period like standard IRS). FBIL publishes MIBOR at 9:45 AM IST. OIS: single net settlement at maturity (not periodic payments) — this is the key operational difference from standard IRS.</w:t>
      </w:r>
    </w:p>
    <w:p>
      <w:pPr>
        <w:spacing w:before="160" w:after="40"/>
      </w:pPr>
      <w:r>
        <w:rPr>
          <w:b/>
          <w:i w:val="0"/>
          <w:color w:val="007A87"/>
          <w:sz w:val="20"/>
        </w:rPr>
        <w:t>Q23  [Gap Fill Dropdown]  D8.6</w:t>
      </w:r>
    </w:p>
    <w:p>
      <w:pPr>
        <w:spacing w:before="40" w:after="40"/>
      </w:pPr>
      <w:r>
        <w:rPr>
          <w:b w:val="0"/>
          <w:i w:val="0"/>
          <w:color w:val="101C4F"/>
          <w:sz w:val="22"/>
        </w:rPr>
        <w:t>The Indian OIS market uses overnight MIBOR [compounded / averaged / observed once] over the swap's life for the floating leg. An upward-sloping OIS curve (short-term OIS below long-term OIS) signals the market expects RBI to [raise / cut / maintain] interest rates over time.</w:t>
      </w:r>
    </w:p>
    <w:p>
      <w:pPr>
        <w:pStyle w:val="ListBullet"/>
        <w:spacing w:before="20" w:after="20"/>
        <w:ind w:left="397"/>
      </w:pPr>
      <w:r>
        <w:rPr>
          <w:b w:val="0"/>
          <w:i w:val="0"/>
          <w:color w:val="101C4F"/>
          <w:sz w:val="20"/>
        </w:rPr>
        <w:t>compounded</w:t>
      </w:r>
    </w:p>
    <w:p>
      <w:pPr>
        <w:pStyle w:val="ListBullet"/>
        <w:spacing w:before="20" w:after="20"/>
        <w:ind w:left="397"/>
      </w:pPr>
      <w:r>
        <w:rPr>
          <w:b w:val="0"/>
          <w:i w:val="0"/>
          <w:color w:val="101C4F"/>
          <w:sz w:val="20"/>
        </w:rPr>
        <w:t>averaged</w:t>
      </w:r>
    </w:p>
    <w:p>
      <w:pPr>
        <w:pStyle w:val="ListBullet"/>
        <w:spacing w:before="20" w:after="20"/>
        <w:ind w:left="397"/>
      </w:pPr>
      <w:r>
        <w:rPr>
          <w:b w:val="0"/>
          <w:i w:val="0"/>
          <w:color w:val="101C4F"/>
          <w:sz w:val="20"/>
        </w:rPr>
        <w:t>observed once</w:t>
      </w:r>
    </w:p>
    <w:p>
      <w:pPr>
        <w:pStyle w:val="ListBullet"/>
        <w:spacing w:before="20" w:after="20"/>
        <w:ind w:left="397"/>
      </w:pPr>
      <w:r>
        <w:rPr>
          <w:b w:val="0"/>
          <w:i w:val="0"/>
          <w:color w:val="101C4F"/>
          <w:sz w:val="20"/>
        </w:rPr>
        <w:t>raise</w:t>
      </w:r>
    </w:p>
    <w:p>
      <w:pPr>
        <w:pStyle w:val="ListBullet"/>
        <w:spacing w:before="20" w:after="20"/>
        <w:ind w:left="397"/>
      </w:pPr>
      <w:r>
        <w:rPr>
          <w:b w:val="0"/>
          <w:i w:val="0"/>
          <w:color w:val="101C4F"/>
          <w:sz w:val="20"/>
        </w:rPr>
        <w:t>cut</w:t>
      </w:r>
    </w:p>
    <w:p>
      <w:pPr>
        <w:pStyle w:val="ListBullet"/>
        <w:spacing w:before="20" w:after="20"/>
        <w:ind w:left="397"/>
      </w:pPr>
      <w:r>
        <w:rPr>
          <w:b w:val="0"/>
          <w:i w:val="0"/>
          <w:color w:val="101C4F"/>
          <w:sz w:val="20"/>
        </w:rPr>
        <w:t>maintain</w:t>
      </w:r>
    </w:p>
    <w:p>
      <w:pPr>
        <w:spacing w:before="20" w:after="40"/>
        <w:ind w:left="283"/>
      </w:pPr>
      <w:r>
        <w:rPr>
          <w:b w:val="0"/>
          <w:i/>
          <w:color w:val="101C4F"/>
          <w:sz w:val="18"/>
        </w:rPr>
        <w:t>✔ Answer: compounded … raise</w:t>
      </w:r>
    </w:p>
    <w:p>
      <w:pPr>
        <w:spacing w:before="20" w:after="40"/>
        <w:ind w:left="283"/>
      </w:pPr>
      <w:r>
        <w:rPr>
          <w:b w:val="0"/>
          <w:i/>
          <w:color w:val="101C4F"/>
          <w:sz w:val="18"/>
        </w:rPr>
        <w:t>Explanation: OIS floating = daily compounding of overnight MIBOR. Upward-sloping OIS curve: longer-dated OIS higher than short-term → market expects rates to RISE over the period. Downward-sloping OIS curve = market expects rate cuts. Flat OIS curve = stable rate expectations.</w:t>
      </w:r>
    </w:p>
    <w:p>
      <w:pPr>
        <w:spacing w:before="160" w:after="40"/>
      </w:pPr>
      <w:r>
        <w:rPr>
          <w:b/>
          <w:i w:val="0"/>
          <w:color w:val="007A87"/>
          <w:sz w:val="20"/>
        </w:rPr>
        <w:t>Q24  [Matching Pairs]  D8.6</w:t>
      </w:r>
    </w:p>
    <w:p>
      <w:pPr>
        <w:spacing w:before="40" w:after="40"/>
      </w:pPr>
      <w:r>
        <w:rPr>
          <w:b w:val="0"/>
          <w:i w:val="0"/>
          <w:color w:val="101C4F"/>
          <w:sz w:val="22"/>
        </w:rPr>
        <w:t>Match each OIS characteristic with its significance:</w:t>
      </w:r>
    </w:p>
    <w:p>
      <w:pPr>
        <w:pStyle w:val="ListBullet"/>
        <w:spacing w:before="20" w:after="20"/>
        <w:ind w:left="397"/>
      </w:pPr>
      <w:r>
        <w:rPr>
          <w:b w:val="0"/>
          <w:i w:val="0"/>
          <w:color w:val="101C4F"/>
          <w:sz w:val="20"/>
        </w:rPr>
        <w:t>1. Single net cash flow at maturity    A. Eliminates intraperiod credit risk; simpler settlement than IRS</w:t>
      </w:r>
    </w:p>
    <w:p>
      <w:pPr>
        <w:pStyle w:val="ListBullet"/>
        <w:spacing w:before="20" w:after="20"/>
        <w:ind w:left="397"/>
      </w:pPr>
      <w:r>
        <w:rPr>
          <w:b w:val="0"/>
          <w:i w:val="0"/>
          <w:color w:val="101C4F"/>
          <w:sz w:val="20"/>
        </w:rPr>
        <w:t>2. OIS rate below repo rate            B. Benchmark for risk-free rate; basis for discounting derivative cash flows</w:t>
      </w:r>
    </w:p>
    <w:p>
      <w:pPr>
        <w:pStyle w:val="ListBullet"/>
        <w:spacing w:before="20" w:after="20"/>
        <w:ind w:left="397"/>
      </w:pPr>
      <w:r>
        <w:rPr>
          <w:b w:val="0"/>
          <w:i w:val="0"/>
          <w:color w:val="101C4F"/>
          <w:sz w:val="20"/>
        </w:rPr>
        <w:t>3. OIS used as risk-free benchmark     C. Market signal that RBI rate cuts are expected over the OIS tenor</w:t>
      </w:r>
    </w:p>
    <w:p>
      <w:pPr>
        <w:pStyle w:val="ListBullet"/>
        <w:spacing w:before="20" w:after="20"/>
        <w:ind w:left="397"/>
      </w:pPr>
      <w:r>
        <w:rPr>
          <w:b w:val="0"/>
          <w:i w:val="0"/>
          <w:color w:val="101C4F"/>
          <w:sz w:val="20"/>
        </w:rPr>
        <w:t>4. Daily compounding of overnight MIBOR D. Accurately reflects the true cost of rolling overnight borrowings</w:t>
      </w:r>
    </w:p>
    <w:p>
      <w:pPr>
        <w:spacing w:before="20" w:after="40"/>
        <w:ind w:left="283"/>
      </w:pPr>
      <w:r>
        <w:rPr>
          <w:b w:val="0"/>
          <w:i/>
          <w:color w:val="101C4F"/>
          <w:sz w:val="18"/>
        </w:rPr>
        <w:t>✔ Answer: 1→A  2→C  3→B  4→D</w:t>
      </w:r>
    </w:p>
    <w:p>
      <w:pPr>
        <w:spacing w:before="20" w:after="40"/>
        <w:ind w:left="283"/>
      </w:pPr>
      <w:r>
        <w:rPr>
          <w:b w:val="0"/>
          <w:i/>
          <w:color w:val="101C4F"/>
          <w:sz w:val="18"/>
        </w:rPr>
        <w:t>Explanation: Single settlement: simplest cash flow structure. OIS below repo: market pricing in cuts. OIS as risk-free: used to discount derivative cash flows in valuation (replaced LIBOR/MIBOR flat for discounting post-2008). Daily compounding: precise measurement of actual overnight funding costs over the period.</w:t>
      </w:r>
    </w:p>
    <w:p>
      <w:pPr>
        <w:spacing w:before="120" w:after="80"/>
        <w:shd w:val="clear" w:color="auto" w:fill="101C4F"/>
        <w:ind w:left="170" w:right="170"/>
      </w:pPr>
      <w:r>
        <w:rPr>
          <w:b/>
          <w:i w:val="0"/>
          <w:color w:val="FFFFFF"/>
          <w:sz w:val="26"/>
        </w:rPr>
        <w:t>D8.7  |  ISDA Master Agreement and Swap Documentation</w:t>
      </w:r>
    </w:p>
    <w:p>
      <w:pPr>
        <w:spacing w:before="160" w:after="40"/>
      </w:pPr>
      <w:r>
        <w:rPr>
          <w:b/>
          <w:i w:val="0"/>
          <w:color w:val="007A87"/>
          <w:sz w:val="20"/>
        </w:rPr>
        <w:t>Q25  [MCQ Inline]  D8.7</w:t>
      </w:r>
    </w:p>
    <w:p>
      <w:pPr>
        <w:spacing w:before="40" w:after="40"/>
      </w:pPr>
      <w:r>
        <w:rPr>
          <w:b w:val="0"/>
          <w:i w:val="0"/>
          <w:color w:val="101C4F"/>
          <w:sz w:val="22"/>
        </w:rPr>
        <w:t>Under the ISDA Master Agreement, close-out netting upon a counterparty's default means:</w:t>
      </w:r>
    </w:p>
    <w:p>
      <w:pPr>
        <w:pStyle w:val="ListBullet"/>
        <w:spacing w:before="20" w:after="20"/>
        <w:ind w:left="397"/>
      </w:pPr>
      <w:r>
        <w:rPr>
          <w:b w:val="0"/>
          <w:i w:val="0"/>
          <w:color w:val="101C4F"/>
          <w:sz w:val="20"/>
        </w:rPr>
        <w:t>A. All outstanding trades are immediately settled at par value</w:t>
      </w:r>
    </w:p>
    <w:p>
      <w:pPr>
        <w:pStyle w:val="ListBullet"/>
        <w:spacing w:before="20" w:after="20"/>
        <w:ind w:left="397"/>
      </w:pPr>
      <w:r>
        <w:rPr>
          <w:b w:val="0"/>
          <w:i w:val="0"/>
          <w:color w:val="101C4F"/>
          <w:sz w:val="20"/>
        </w:rPr>
        <w:t>B. All outstanding trades are terminated and their MTM values are netted to a single payable/receivable</w:t>
      </w:r>
    </w:p>
    <w:p>
      <w:pPr>
        <w:pStyle w:val="ListBullet"/>
        <w:spacing w:before="20" w:after="20"/>
        <w:ind w:left="397"/>
      </w:pPr>
      <w:r>
        <w:rPr>
          <w:b w:val="0"/>
          <w:i w:val="0"/>
          <w:color w:val="101C4F"/>
          <w:sz w:val="20"/>
        </w:rPr>
        <w:t>C. Only trades with positive MTM are terminated; negative MTM trades continue</w:t>
      </w:r>
    </w:p>
    <w:p>
      <w:pPr>
        <w:pStyle w:val="ListBullet"/>
        <w:spacing w:before="20" w:after="20"/>
        <w:ind w:left="397"/>
      </w:pPr>
      <w:r>
        <w:rPr>
          <w:b w:val="0"/>
          <w:i w:val="0"/>
          <w:color w:val="101C4F"/>
          <w:sz w:val="20"/>
        </w:rPr>
        <w:t>D. The non-defaulting party must wait for insolvency proceedings to recover any amount</w:t>
      </w:r>
    </w:p>
    <w:p>
      <w:pPr>
        <w:spacing w:before="20" w:after="40"/>
        <w:ind w:left="283"/>
      </w:pPr>
      <w:r>
        <w:rPr>
          <w:b w:val="0"/>
          <w:i/>
          <w:color w:val="101C4F"/>
          <w:sz w:val="18"/>
        </w:rPr>
        <w:t>✔ Answer: B. All outstanding trades are terminated and their MTM values are netted to a single payable/receivable</w:t>
      </w:r>
    </w:p>
    <w:p>
      <w:pPr>
        <w:spacing w:before="20" w:after="40"/>
        <w:ind w:left="283"/>
      </w:pPr>
      <w:r>
        <w:rPr>
          <w:b w:val="0"/>
          <w:i/>
          <w:color w:val="101C4F"/>
          <w:sz w:val="18"/>
        </w:rPr>
        <w:t>Explanation: ISDA close-out netting: upon an Event of Default, ALL trades under the ISDA are terminated immediately. Each trade's MTM is calculated, all values netted, and a single net payable or receivable results. This is far superior to option C (cherry-picking) which is what creditors might attempt without netting protection.</w:t>
      </w:r>
    </w:p>
    <w:p>
      <w:pPr>
        <w:spacing w:before="160" w:after="40"/>
      </w:pPr>
      <w:r>
        <w:rPr>
          <w:b/>
          <w:i w:val="0"/>
          <w:color w:val="007A87"/>
          <w:sz w:val="20"/>
        </w:rPr>
        <w:t>Q26  [True/False Multi]  D8.7</w:t>
      </w:r>
    </w:p>
    <w:p>
      <w:pPr>
        <w:spacing w:before="40" w:after="40"/>
      </w:pPr>
      <w:r>
        <w:rPr>
          <w:b w:val="0"/>
          <w:i w:val="0"/>
          <w:color w:val="101C4F"/>
          <w:sz w:val="22"/>
        </w:rPr>
        <w:t>Evaluate each ISDA documentation statement as True or False:</w:t>
        <w:br/>
        <w:t>(i) The Credit Support Annex (CSA) governs the exchange of collateral between ISDA counterparties.</w:t>
        <w:br/>
        <w:t>(ii) A trade confirmation supplements the ISDA Master Agreement with the specific economics of each transaction.</w:t>
        <w:br/>
        <w:t>(iii) Under a CSA with a Minimum Transfer Amount of ₹5 crore, a collateral call of ₹4.8 crore would be made.</w:t>
        <w:br/>
        <w:t>(iv) ISDA close-out netting is fully enforceable under India's Insolvency and Bankruptcy Code (IBC) for all bilateral OTC derivative contracts.</w:t>
      </w:r>
    </w:p>
    <w:p>
      <w:pPr>
        <w:spacing w:before="20" w:after="40"/>
        <w:ind w:left="283"/>
      </w:pPr>
      <w:r>
        <w:rPr>
          <w:b w:val="0"/>
          <w:i/>
          <w:color w:val="101C4F"/>
          <w:sz w:val="18"/>
        </w:rPr>
        <w:t>✔ Answer: (i) True  (ii) True  (iii) False — call of ₹4.8cr is below MTA so no call  (iv) False — netting enforceability under IBC for bilateral non-cleared trades remains uncertain</w:t>
      </w:r>
    </w:p>
    <w:p>
      <w:pPr>
        <w:spacing w:before="20" w:after="40"/>
        <w:ind w:left="283"/>
      </w:pPr>
      <w:r>
        <w:rPr>
          <w:b w:val="0"/>
          <w:i/>
          <w:color w:val="101C4F"/>
          <w:sz w:val="18"/>
        </w:rPr>
        <w:t>Explanation: CSA: governs collateral. Confirmation: per-trade economics. MTA: calls only made when required collateral EXCEEDS MTA — ₹4.8cr &lt; ₹5cr MTA → no call. Indian IBC: does not explicitly protect ISDA netting for non-cleared bilateral trades — a gap in Indian derivatives law that ISDA has been lobbying to fix.</w:t>
      </w:r>
    </w:p>
    <w:p>
      <w:pPr>
        <w:spacing w:before="160" w:after="40"/>
      </w:pPr>
      <w:r>
        <w:rPr>
          <w:b/>
          <w:i w:val="0"/>
          <w:color w:val="007A87"/>
          <w:sz w:val="20"/>
        </w:rPr>
        <w:t>Q27  [Gap Fill Dropdown]  D8.7</w:t>
      </w:r>
    </w:p>
    <w:p>
      <w:pPr>
        <w:spacing w:before="40" w:after="40"/>
      </w:pPr>
      <w:r>
        <w:rPr>
          <w:b w:val="0"/>
          <w:i w:val="0"/>
          <w:color w:val="101C4F"/>
          <w:sz w:val="22"/>
        </w:rPr>
        <w:t>In a CSA, the [threshold / MTA / haircut] is the maximum exposure permitted before collateral must be posted. A [higher / lower] threshold for the weaker counterparty means they must post collateral earlier and more frequently. For government bonds used as collateral, a [haircut / premium] is applied to account for potential price declines.</w:t>
      </w:r>
    </w:p>
    <w:p>
      <w:pPr>
        <w:pStyle w:val="ListBullet"/>
        <w:spacing w:before="20" w:after="20"/>
        <w:ind w:left="397"/>
      </w:pPr>
      <w:r>
        <w:rPr>
          <w:b w:val="0"/>
          <w:i w:val="0"/>
          <w:color w:val="101C4F"/>
          <w:sz w:val="20"/>
        </w:rPr>
        <w:t>threshold</w:t>
      </w:r>
    </w:p>
    <w:p>
      <w:pPr>
        <w:pStyle w:val="ListBullet"/>
        <w:spacing w:before="20" w:after="20"/>
        <w:ind w:left="397"/>
      </w:pPr>
      <w:r>
        <w:rPr>
          <w:b w:val="0"/>
          <w:i w:val="0"/>
          <w:color w:val="101C4F"/>
          <w:sz w:val="20"/>
        </w:rPr>
        <w:t>MTA</w:t>
      </w:r>
    </w:p>
    <w:p>
      <w:pPr>
        <w:pStyle w:val="ListBullet"/>
        <w:spacing w:before="20" w:after="20"/>
        <w:ind w:left="397"/>
      </w:pPr>
      <w:r>
        <w:rPr>
          <w:b w:val="0"/>
          <w:i w:val="0"/>
          <w:color w:val="101C4F"/>
          <w:sz w:val="20"/>
        </w:rPr>
        <w:t>haircut</w:t>
      </w:r>
    </w:p>
    <w:p>
      <w:pPr>
        <w:pStyle w:val="ListBullet"/>
        <w:spacing w:before="20" w:after="20"/>
        <w:ind w:left="397"/>
      </w:pPr>
      <w:r>
        <w:rPr>
          <w:b w:val="0"/>
          <w:i w:val="0"/>
          <w:color w:val="101C4F"/>
          <w:sz w:val="20"/>
        </w:rPr>
        <w:t>higher</w:t>
      </w:r>
    </w:p>
    <w:p>
      <w:pPr>
        <w:pStyle w:val="ListBullet"/>
        <w:spacing w:before="20" w:after="20"/>
        <w:ind w:left="397"/>
      </w:pPr>
      <w:r>
        <w:rPr>
          <w:b w:val="0"/>
          <w:i w:val="0"/>
          <w:color w:val="101C4F"/>
          <w:sz w:val="20"/>
        </w:rPr>
        <w:t>lower</w:t>
      </w:r>
    </w:p>
    <w:p>
      <w:pPr>
        <w:pStyle w:val="ListBullet"/>
        <w:spacing w:before="20" w:after="20"/>
        <w:ind w:left="397"/>
      </w:pPr>
      <w:r>
        <w:rPr>
          <w:b w:val="0"/>
          <w:i w:val="0"/>
          <w:color w:val="101C4F"/>
          <w:sz w:val="20"/>
        </w:rPr>
        <w:t>premium</w:t>
      </w:r>
    </w:p>
    <w:p>
      <w:pPr>
        <w:spacing w:before="20" w:after="40"/>
        <w:ind w:left="283"/>
      </w:pPr>
      <w:r>
        <w:rPr>
          <w:b w:val="0"/>
          <w:i/>
          <w:color w:val="101C4F"/>
          <w:sz w:val="18"/>
        </w:rPr>
        <w:t>✔ Answer: threshold … lower … haircut</w:t>
      </w:r>
    </w:p>
    <w:p>
      <w:pPr>
        <w:spacing w:before="20" w:after="40"/>
        <w:ind w:left="283"/>
      </w:pPr>
      <w:r>
        <w:rPr>
          <w:b w:val="0"/>
          <w:i/>
          <w:color w:val="101C4F"/>
          <w:sz w:val="18"/>
        </w:rPr>
        <w:t>Explanation: Threshold: free exposure before collateral is required. A LOWER threshold means the party must post collateral for even small MTM moves — less credit risk tolerated. Haircut: percentage reduction to bond market value to protect against price falls in a default scenario (e.g., 2% haircut on G-Sec means ₹100M G-Sec credited as only ₹98M collateral).</w:t>
      </w:r>
    </w:p>
    <w:p>
      <w:pPr>
        <w:spacing w:before="160" w:after="40"/>
      </w:pPr>
      <w:r>
        <w:rPr>
          <w:b/>
          <w:i w:val="0"/>
          <w:color w:val="007A87"/>
          <w:sz w:val="20"/>
        </w:rPr>
        <w:t>Q28  [Matching Pairs]  D8.7</w:t>
      </w:r>
    </w:p>
    <w:p>
      <w:pPr>
        <w:spacing w:before="40" w:after="40"/>
      </w:pPr>
      <w:r>
        <w:rPr>
          <w:b w:val="0"/>
          <w:i w:val="0"/>
          <w:color w:val="101C4F"/>
          <w:sz w:val="22"/>
        </w:rPr>
        <w:t>Match each ISDA document with its role:</w:t>
      </w:r>
    </w:p>
    <w:p>
      <w:pPr>
        <w:pStyle w:val="ListBullet"/>
        <w:spacing w:before="20" w:after="20"/>
        <w:ind w:left="397"/>
      </w:pPr>
      <w:r>
        <w:rPr>
          <w:b w:val="0"/>
          <w:i w:val="0"/>
          <w:color w:val="101C4F"/>
          <w:sz w:val="20"/>
        </w:rPr>
        <w:t>1. ISDA Master Agreement    A. Individual trade economics: notional, fixed rate, floating index, payment dates</w:t>
      </w:r>
    </w:p>
    <w:p>
      <w:pPr>
        <w:pStyle w:val="ListBullet"/>
        <w:spacing w:before="20" w:after="20"/>
        <w:ind w:left="397"/>
      </w:pPr>
      <w:r>
        <w:rPr>
          <w:b w:val="0"/>
          <w:i w:val="0"/>
          <w:color w:val="101C4F"/>
          <w:sz w:val="20"/>
        </w:rPr>
        <w:t>2. Schedule                 B. Framework agreement governing all OTC derivatives between two parties</w:t>
      </w:r>
    </w:p>
    <w:p>
      <w:pPr>
        <w:pStyle w:val="ListBullet"/>
        <w:spacing w:before="20" w:after="20"/>
        <w:ind w:left="397"/>
      </w:pPr>
      <w:r>
        <w:rPr>
          <w:b w:val="0"/>
          <w:i w:val="0"/>
          <w:color w:val="101C4F"/>
          <w:sz w:val="20"/>
        </w:rPr>
        <w:t>3. Trade Confirmation       C. Governs how collateral is exchanged: eligible assets, haircuts, threshold, MTA</w:t>
      </w:r>
    </w:p>
    <w:p>
      <w:pPr>
        <w:pStyle w:val="ListBullet"/>
        <w:spacing w:before="20" w:after="20"/>
        <w:ind w:left="397"/>
      </w:pPr>
      <w:r>
        <w:rPr>
          <w:b w:val="0"/>
          <w:i w:val="0"/>
          <w:color w:val="101C4F"/>
          <w:sz w:val="20"/>
        </w:rPr>
        <w:t>4. Credit Support Annex     D. Counterparty-specific amendments to the standard Master Agreement</w:t>
      </w:r>
    </w:p>
    <w:p>
      <w:pPr>
        <w:spacing w:before="20" w:after="40"/>
        <w:ind w:left="283"/>
      </w:pPr>
      <w:r>
        <w:rPr>
          <w:b w:val="0"/>
          <w:i/>
          <w:color w:val="101C4F"/>
          <w:sz w:val="18"/>
        </w:rPr>
        <w:t>✔ Answer: 1→B  2→D  3→A  4→C</w:t>
      </w:r>
    </w:p>
    <w:p>
      <w:pPr>
        <w:spacing w:before="20" w:after="40"/>
        <w:ind w:left="283"/>
      </w:pPr>
      <w:r>
        <w:rPr>
          <w:b w:val="0"/>
          <w:i/>
          <w:color w:val="101C4F"/>
          <w:sz w:val="18"/>
        </w:rPr>
        <w:t>Explanation: Master Agreement: governing framework for the relationship. Schedule: negotiated amendments (e.g., governing law, threshold, representations). Confirmation: per-trade economics (each swap has its own confirmation). CSA: collateral mechanics (separate annex to the Master Agreement).</w:t>
      </w:r>
    </w:p>
    <w:p>
      <w:pPr>
        <w:spacing w:before="120" w:after="80"/>
        <w:shd w:val="clear" w:color="auto" w:fill="101C4F"/>
        <w:ind w:left="170" w:right="170"/>
      </w:pPr>
      <w:r>
        <w:rPr>
          <w:b/>
          <w:i w:val="0"/>
          <w:color w:val="FFFFFF"/>
          <w:sz w:val="26"/>
        </w:rPr>
        <w:t>D8.8  |  Swap Clearing: CCIL and Central Counterparties</w:t>
      </w:r>
    </w:p>
    <w:p>
      <w:pPr>
        <w:spacing w:before="160" w:after="40"/>
      </w:pPr>
      <w:r>
        <w:rPr>
          <w:b/>
          <w:i w:val="0"/>
          <w:color w:val="007A87"/>
          <w:sz w:val="20"/>
        </w:rPr>
        <w:t>Q29  [MCQ Inline]  D8.8</w:t>
      </w:r>
    </w:p>
    <w:p>
      <w:pPr>
        <w:spacing w:before="40" w:after="40"/>
      </w:pPr>
      <w:r>
        <w:rPr>
          <w:b w:val="0"/>
          <w:i w:val="0"/>
          <w:color w:val="101C4F"/>
          <w:sz w:val="22"/>
        </w:rPr>
        <w:t>Through novation at CCIL, what happens to the original bilateral IRS between Bank A and Bank B?</w:t>
      </w:r>
    </w:p>
    <w:p>
      <w:pPr>
        <w:pStyle w:val="ListBullet"/>
        <w:spacing w:before="20" w:after="20"/>
        <w:ind w:left="397"/>
      </w:pPr>
      <w:r>
        <w:rPr>
          <w:b w:val="0"/>
          <w:i w:val="0"/>
          <w:color w:val="101C4F"/>
          <w:sz w:val="20"/>
        </w:rPr>
        <w:t>A. The trade is cancelled and must be renegotiated with CCIL as counterparty</w:t>
      </w:r>
    </w:p>
    <w:p>
      <w:pPr>
        <w:pStyle w:val="ListBullet"/>
        <w:spacing w:before="20" w:after="20"/>
        <w:ind w:left="397"/>
      </w:pPr>
      <w:r>
        <w:rPr>
          <w:b w:val="0"/>
          <w:i w:val="0"/>
          <w:color w:val="101C4F"/>
          <w:sz w:val="20"/>
        </w:rPr>
        <w:t>B. The original A-B trade is legally replaced by an A-CCIL trade and a B-CCIL trade</w:t>
      </w:r>
    </w:p>
    <w:p>
      <w:pPr>
        <w:pStyle w:val="ListBullet"/>
        <w:spacing w:before="20" w:after="20"/>
        <w:ind w:left="397"/>
      </w:pPr>
      <w:r>
        <w:rPr>
          <w:b w:val="0"/>
          <w:i w:val="0"/>
          <w:color w:val="101C4F"/>
          <w:sz w:val="20"/>
        </w:rPr>
        <w:t>C. CCIL guarantees the A-B trade but remains only as a guarantor, not a counterparty</w:t>
      </w:r>
    </w:p>
    <w:p>
      <w:pPr>
        <w:pStyle w:val="ListBullet"/>
        <w:spacing w:before="20" w:after="20"/>
        <w:ind w:left="397"/>
      </w:pPr>
      <w:r>
        <w:rPr>
          <w:b w:val="0"/>
          <w:i w:val="0"/>
          <w:color w:val="101C4F"/>
          <w:sz w:val="20"/>
        </w:rPr>
        <w:t>D. Bank A and Bank B continue as bilateral counterparties but report to CCIL</w:t>
      </w:r>
    </w:p>
    <w:p>
      <w:pPr>
        <w:spacing w:before="20" w:after="40"/>
        <w:ind w:left="283"/>
      </w:pPr>
      <w:r>
        <w:rPr>
          <w:b w:val="0"/>
          <w:i/>
          <w:color w:val="101C4F"/>
          <w:sz w:val="18"/>
        </w:rPr>
        <w:t>✔ Answer: B. The original A-B trade is legally replaced by an A-CCIL trade and a B-CCIL trade</w:t>
      </w:r>
    </w:p>
    <w:p>
      <w:pPr>
        <w:spacing w:before="20" w:after="40"/>
        <w:ind w:left="283"/>
      </w:pPr>
      <w:r>
        <w:rPr>
          <w:b w:val="0"/>
          <w:i/>
          <w:color w:val="101C4F"/>
          <w:sz w:val="18"/>
        </w:rPr>
        <w:t>Explanation: Novation: the legal act of substituting the original bilateral contract with two new contracts — one between Bank A and CCIL, one between CCIL and Bank B. The original A-B trade legally ceases to exist. CCIL becomes the direct counterparty to both banks, eliminating bilateral counterparty risk.</w:t>
      </w:r>
    </w:p>
    <w:p>
      <w:pPr>
        <w:spacing w:before="160" w:after="40"/>
      </w:pPr>
      <w:r>
        <w:rPr>
          <w:b/>
          <w:i w:val="0"/>
          <w:color w:val="007A87"/>
          <w:sz w:val="20"/>
        </w:rPr>
        <w:t>Q30  [True/False Multi]  D8.8</w:t>
      </w:r>
    </w:p>
    <w:p>
      <w:pPr>
        <w:spacing w:before="40" w:after="40"/>
      </w:pPr>
      <w:r>
        <w:rPr>
          <w:b w:val="0"/>
          <w:i w:val="0"/>
          <w:color w:val="101C4F"/>
          <w:sz w:val="22"/>
        </w:rPr>
        <w:t>Evaluate each CCIL clearing statement as True or False:</w:t>
        <w:br/>
        <w:t>(i) CCIL's default waterfall begins with the defaulting member's initial margin before using the mutual default fund.</w:t>
        <w:br/>
        <w:t>(ii) Multilateral netting through CCIL typically reduces gross settlement obligations by 90-97%.</w:t>
        <w:br/>
        <w:t>(iii) CCIL membership is optional for Indian banks wishing to trade rupee IRS.</w:t>
        <w:br/>
        <w:t>(iv) Variation margin at CCIL is collected daily based on end-of-day MTM changes.</w:t>
      </w:r>
    </w:p>
    <w:p>
      <w:pPr>
        <w:spacing w:before="20" w:after="40"/>
        <w:ind w:left="283"/>
      </w:pPr>
      <w:r>
        <w:rPr>
          <w:b w:val="0"/>
          <w:i/>
          <w:color w:val="101C4F"/>
          <w:sz w:val="18"/>
        </w:rPr>
        <w:t>✔ Answer: (i) True  (ii) True  (iii) False — CCIL clearing is mandatory for inter-bank INR IRS  (iv) True</w:t>
      </w:r>
    </w:p>
    <w:p>
      <w:pPr>
        <w:spacing w:before="20" w:after="40"/>
        <w:ind w:left="283"/>
      </w:pPr>
      <w:r>
        <w:rPr>
          <w:b w:val="0"/>
          <w:i/>
          <w:color w:val="101C4F"/>
          <w:sz w:val="18"/>
        </w:rPr>
        <w:t>Explanation: Default waterfall: defaulter's IM first, then their default fund contribution, then CCIL capital, then surviving members' fund. Netting efficiency: 90-97% reduction in gross obligations. CCIL clearing: mandatory (not optional) since 2013 for inter-bank INR IRS. VM: daily, based on closing yield curve marks.</w:t>
      </w:r>
    </w:p>
    <w:p>
      <w:pPr>
        <w:spacing w:before="160" w:after="40"/>
      </w:pPr>
      <w:r>
        <w:rPr>
          <w:b/>
          <w:i w:val="0"/>
          <w:color w:val="007A87"/>
          <w:sz w:val="20"/>
        </w:rPr>
        <w:t>Q31  [Gap Fill Dropdown]  D8.8</w:t>
      </w:r>
    </w:p>
    <w:p>
      <w:pPr>
        <w:spacing w:before="40" w:after="40"/>
      </w:pPr>
      <w:r>
        <w:rPr>
          <w:b w:val="0"/>
          <w:i w:val="0"/>
          <w:color w:val="101C4F"/>
          <w:sz w:val="22"/>
        </w:rPr>
        <w:t>The CCIL Cover-2 standard means that CCIL's financial resources must be sufficient to withstand the simultaneous default of its [largest / two largest / all] clearing members. Initial margin is designed to cover potential losses over a [1-day / 5-day / 10-day] margin period of risk at [95% / 99% / 99.9%] confidence.</w:t>
      </w:r>
    </w:p>
    <w:p>
      <w:pPr>
        <w:pStyle w:val="ListBullet"/>
        <w:spacing w:before="20" w:after="20"/>
        <w:ind w:left="397"/>
      </w:pPr>
      <w:r>
        <w:rPr>
          <w:b w:val="0"/>
          <w:i w:val="0"/>
          <w:color w:val="101C4F"/>
          <w:sz w:val="20"/>
        </w:rPr>
        <w:t>largest</w:t>
      </w:r>
    </w:p>
    <w:p>
      <w:pPr>
        <w:pStyle w:val="ListBullet"/>
        <w:spacing w:before="20" w:after="20"/>
        <w:ind w:left="397"/>
      </w:pPr>
      <w:r>
        <w:rPr>
          <w:b w:val="0"/>
          <w:i w:val="0"/>
          <w:color w:val="101C4F"/>
          <w:sz w:val="20"/>
        </w:rPr>
        <w:t>two largest</w:t>
      </w:r>
    </w:p>
    <w:p>
      <w:pPr>
        <w:pStyle w:val="ListBullet"/>
        <w:spacing w:before="20" w:after="20"/>
        <w:ind w:left="397"/>
      </w:pPr>
      <w:r>
        <w:rPr>
          <w:b w:val="0"/>
          <w:i w:val="0"/>
          <w:color w:val="101C4F"/>
          <w:sz w:val="20"/>
        </w:rPr>
        <w:t>all</w:t>
      </w:r>
    </w:p>
    <w:p>
      <w:pPr>
        <w:pStyle w:val="ListBullet"/>
        <w:spacing w:before="20" w:after="20"/>
        <w:ind w:left="397"/>
      </w:pPr>
      <w:r>
        <w:rPr>
          <w:b w:val="0"/>
          <w:i w:val="0"/>
          <w:color w:val="101C4F"/>
          <w:sz w:val="20"/>
        </w:rPr>
        <w:t>1-day</w:t>
      </w:r>
    </w:p>
    <w:p>
      <w:pPr>
        <w:pStyle w:val="ListBullet"/>
        <w:spacing w:before="20" w:after="20"/>
        <w:ind w:left="397"/>
      </w:pPr>
      <w:r>
        <w:rPr>
          <w:b w:val="0"/>
          <w:i w:val="0"/>
          <w:color w:val="101C4F"/>
          <w:sz w:val="20"/>
        </w:rPr>
        <w:t>5-day</w:t>
      </w:r>
    </w:p>
    <w:p>
      <w:pPr>
        <w:pStyle w:val="ListBullet"/>
        <w:spacing w:before="20" w:after="20"/>
        <w:ind w:left="397"/>
      </w:pPr>
      <w:r>
        <w:rPr>
          <w:b w:val="0"/>
          <w:i w:val="0"/>
          <w:color w:val="101C4F"/>
          <w:sz w:val="20"/>
        </w:rPr>
        <w:t>10-day</w:t>
      </w:r>
    </w:p>
    <w:p>
      <w:pPr>
        <w:pStyle w:val="ListBullet"/>
        <w:spacing w:before="20" w:after="20"/>
        <w:ind w:left="397"/>
      </w:pPr>
      <w:r>
        <w:rPr>
          <w:b w:val="0"/>
          <w:i w:val="0"/>
          <w:color w:val="101C4F"/>
          <w:sz w:val="20"/>
        </w:rPr>
        <w:t>95%</w:t>
      </w:r>
    </w:p>
    <w:p>
      <w:pPr>
        <w:pStyle w:val="ListBullet"/>
        <w:spacing w:before="20" w:after="20"/>
        <w:ind w:left="397"/>
      </w:pPr>
      <w:r>
        <w:rPr>
          <w:b w:val="0"/>
          <w:i w:val="0"/>
          <w:color w:val="101C4F"/>
          <w:sz w:val="20"/>
        </w:rPr>
        <w:t>99%</w:t>
      </w:r>
    </w:p>
    <w:p>
      <w:pPr>
        <w:pStyle w:val="ListBullet"/>
        <w:spacing w:before="20" w:after="20"/>
        <w:ind w:left="397"/>
      </w:pPr>
      <w:r>
        <w:rPr>
          <w:b w:val="0"/>
          <w:i w:val="0"/>
          <w:color w:val="101C4F"/>
          <w:sz w:val="20"/>
        </w:rPr>
        <w:t>99.9%</w:t>
      </w:r>
    </w:p>
    <w:p>
      <w:pPr>
        <w:spacing w:before="20" w:after="40"/>
        <w:ind w:left="283"/>
      </w:pPr>
      <w:r>
        <w:rPr>
          <w:b w:val="0"/>
          <w:i/>
          <w:color w:val="101C4F"/>
          <w:sz w:val="18"/>
        </w:rPr>
        <w:t>✔ Answer: two largest … 5-day … 99%</w:t>
      </w:r>
    </w:p>
    <w:p>
      <w:pPr>
        <w:spacing w:before="20" w:after="40"/>
        <w:ind w:left="283"/>
      </w:pPr>
      <w:r>
        <w:rPr>
          <w:b w:val="0"/>
          <w:i/>
          <w:color w:val="101C4F"/>
          <w:sz w:val="18"/>
        </w:rPr>
        <w:t>Explanation: Cover-2 (CPMI-IOSCO global standard): resources must cover simultaneous default of the 2 largest clearing members. MPOR (Margin Period of Risk): 5 days for IRS (time to close out a defaulter's portfolio). 99% confidence — meaning the margin should cover losses in all but 1% of scenarios.</w:t>
      </w:r>
    </w:p>
    <w:p>
      <w:pPr>
        <w:spacing w:before="160" w:after="40"/>
      </w:pPr>
      <w:r>
        <w:rPr>
          <w:b/>
          <w:i w:val="0"/>
          <w:color w:val="007A87"/>
          <w:sz w:val="20"/>
        </w:rPr>
        <w:t>Q32  [Matching Pairs]  D8.8</w:t>
      </w:r>
    </w:p>
    <w:p>
      <w:pPr>
        <w:spacing w:before="40" w:after="40"/>
      </w:pPr>
      <w:r>
        <w:rPr>
          <w:b w:val="0"/>
          <w:i w:val="0"/>
          <w:color w:val="101C4F"/>
          <w:sz w:val="22"/>
        </w:rPr>
        <w:t>Match each CCIL operational function with its description:</w:t>
      </w:r>
    </w:p>
    <w:p>
      <w:pPr>
        <w:pStyle w:val="ListBullet"/>
        <w:spacing w:before="20" w:after="20"/>
        <w:ind w:left="397"/>
      </w:pPr>
      <w:r>
        <w:rPr>
          <w:b w:val="0"/>
          <w:i w:val="0"/>
          <w:color w:val="101C4F"/>
          <w:sz w:val="20"/>
        </w:rPr>
        <w:t>1. Novation                  A. Only the net payment amount per member is settled — not individual gross trade amounts</w:t>
      </w:r>
    </w:p>
    <w:p>
      <w:pPr>
        <w:pStyle w:val="ListBullet"/>
        <w:spacing w:before="20" w:after="20"/>
        <w:ind w:left="397"/>
      </w:pPr>
      <w:r>
        <w:rPr>
          <w:b w:val="0"/>
          <w:i w:val="0"/>
          <w:color w:val="101C4F"/>
          <w:sz w:val="20"/>
        </w:rPr>
        <w:t>2. Multilateral netting      B. Every OTC derivative must be reported to CCIL TR by end of trade date</w:t>
      </w:r>
    </w:p>
    <w:p>
      <w:pPr>
        <w:pStyle w:val="ListBullet"/>
        <w:spacing w:before="20" w:after="20"/>
        <w:ind w:left="397"/>
      </w:pPr>
      <w:r>
        <w:rPr>
          <w:b w:val="0"/>
          <w:i w:val="0"/>
          <w:color w:val="101C4F"/>
          <w:sz w:val="20"/>
        </w:rPr>
        <w:t>3. Trade repository          C. Legal replacement of bilateral trade with two CCP-facing contracts</w:t>
      </w:r>
    </w:p>
    <w:p>
      <w:pPr>
        <w:pStyle w:val="ListBullet"/>
        <w:spacing w:before="20" w:after="20"/>
        <w:ind w:left="397"/>
      </w:pPr>
      <w:r>
        <w:rPr>
          <w:b w:val="0"/>
          <w:i w:val="0"/>
          <w:color w:val="101C4F"/>
          <w:sz w:val="20"/>
        </w:rPr>
        <w:t>4. Settlement guarantee fund D. Pool of resources contributed by members to absorb losses after a member default</w:t>
      </w:r>
    </w:p>
    <w:p>
      <w:pPr>
        <w:spacing w:before="20" w:after="40"/>
        <w:ind w:left="283"/>
      </w:pPr>
      <w:r>
        <w:rPr>
          <w:b w:val="0"/>
          <w:i/>
          <w:color w:val="101C4F"/>
          <w:sz w:val="18"/>
        </w:rPr>
        <w:t>✔ Answer: 1→C  2→A  3→B  4→D</w:t>
      </w:r>
    </w:p>
    <w:p>
      <w:pPr>
        <w:spacing w:before="20" w:after="40"/>
        <w:ind w:left="283"/>
      </w:pPr>
      <w:r>
        <w:rPr>
          <w:b w:val="0"/>
          <w:i/>
          <w:color w:val="101C4F"/>
          <w:sz w:val="18"/>
        </w:rPr>
        <w:t>Explanation: Novation: bilateral → CCP-facing contracts. Multilateral netting: aggregate all positions, settle only net amount. Trade repository: record-keeping for regulatory transparency. Settlement guarantee fund: mutualised default pool funded by all clearing members.</w:t>
      </w:r>
    </w:p>
    <w:p>
      <w:pPr>
        <w:spacing w:before="120" w:after="80"/>
        <w:shd w:val="clear" w:color="auto" w:fill="101C4F"/>
        <w:ind w:left="170" w:right="170"/>
      </w:pPr>
      <w:r>
        <w:rPr>
          <w:b/>
          <w:i w:val="0"/>
          <w:color w:val="FFFFFF"/>
          <w:sz w:val="26"/>
        </w:rPr>
        <w:t>D8.9  |  Swap Valuation, MTM and Hedge Accounting</w:t>
      </w:r>
    </w:p>
    <w:p>
      <w:pPr>
        <w:spacing w:before="160" w:after="40"/>
      </w:pPr>
      <w:r>
        <w:rPr>
          <w:b/>
          <w:i w:val="0"/>
          <w:color w:val="007A87"/>
          <w:sz w:val="20"/>
        </w:rPr>
        <w:t>Q33  [MCQ Inline]  D8.9</w:t>
      </w:r>
    </w:p>
    <w:p>
      <w:pPr>
        <w:spacing w:before="40" w:after="40"/>
      </w:pPr>
      <w:r>
        <w:rPr>
          <w:b w:val="0"/>
          <w:i w:val="0"/>
          <w:color w:val="101C4F"/>
          <w:sz w:val="22"/>
        </w:rPr>
        <w:t>An IRS was entered at par swap rate 7% fixed. Current market fixed rate for equivalent remaining term = 8%. Under Ind AS 109, this IRS is designated as a cash flow hedge of a floating-rate loan. The MTM gain on the IRS should be recorded in:</w:t>
      </w:r>
    </w:p>
    <w:p>
      <w:pPr>
        <w:pStyle w:val="ListBullet"/>
        <w:spacing w:before="20" w:after="20"/>
        <w:ind w:left="397"/>
      </w:pPr>
      <w:r>
        <w:rPr>
          <w:b w:val="0"/>
          <w:i w:val="0"/>
          <w:color w:val="101C4F"/>
          <w:sz w:val="20"/>
        </w:rPr>
        <w:t>A. Profit and Loss statement immediately</w:t>
      </w:r>
    </w:p>
    <w:p>
      <w:pPr>
        <w:pStyle w:val="ListBullet"/>
        <w:spacing w:before="20" w:after="20"/>
        <w:ind w:left="397"/>
      </w:pPr>
      <w:r>
        <w:rPr>
          <w:b w:val="0"/>
          <w:i w:val="0"/>
          <w:color w:val="101C4F"/>
          <w:sz w:val="20"/>
        </w:rPr>
        <w:t>B. Other Comprehensive Income (OCI), to be recycled to P&amp;L when the hedged cash flows occur</w:t>
      </w:r>
    </w:p>
    <w:p>
      <w:pPr>
        <w:pStyle w:val="ListBullet"/>
        <w:spacing w:before="20" w:after="20"/>
        <w:ind w:left="397"/>
      </w:pPr>
      <w:r>
        <w:rPr>
          <w:b w:val="0"/>
          <w:i w:val="0"/>
          <w:color w:val="101C4F"/>
          <w:sz w:val="20"/>
        </w:rPr>
        <w:t>C. Balance sheet as a liability</w:t>
      </w:r>
    </w:p>
    <w:p>
      <w:pPr>
        <w:pStyle w:val="ListBullet"/>
        <w:spacing w:before="20" w:after="20"/>
        <w:ind w:left="397"/>
      </w:pPr>
      <w:r>
        <w:rPr>
          <w:b w:val="0"/>
          <w:i w:val="0"/>
          <w:color w:val="101C4F"/>
          <w:sz w:val="20"/>
        </w:rPr>
        <w:t>D. Reserves directly without going through any financial statement line</w:t>
      </w:r>
    </w:p>
    <w:p>
      <w:pPr>
        <w:spacing w:before="20" w:after="40"/>
        <w:ind w:left="283"/>
      </w:pPr>
      <w:r>
        <w:rPr>
          <w:b w:val="0"/>
          <w:i/>
          <w:color w:val="101C4F"/>
          <w:sz w:val="18"/>
        </w:rPr>
        <w:t>✔ Answer: B. Other Comprehensive Income (OCI), to be recycled to P&amp;L when the hedged cash flows occur</w:t>
      </w:r>
    </w:p>
    <w:p>
      <w:pPr>
        <w:spacing w:before="20" w:after="40"/>
        <w:ind w:left="283"/>
      </w:pPr>
      <w:r>
        <w:rPr>
          <w:b w:val="0"/>
          <w:i/>
          <w:color w:val="101C4F"/>
          <w:sz w:val="18"/>
        </w:rPr>
        <w:t>Explanation: For a cash flow hedge under Ind AS 109: the effective portion of the hedging instrument's MTM gain/loss goes to OCI, NOT P&amp;L. It is recycled from OCI to P&amp;L only when the hedged cash flow (the floating rate payment on the underlying loan) affects P&amp;L. This prevents artificial P&amp;L volatility from the hedge instrument's MTM swings.</w:t>
      </w:r>
    </w:p>
    <w:p>
      <w:pPr>
        <w:spacing w:before="160" w:after="40"/>
      </w:pPr>
      <w:r>
        <w:rPr>
          <w:b/>
          <w:i w:val="0"/>
          <w:color w:val="007A87"/>
          <w:sz w:val="20"/>
        </w:rPr>
        <w:t>Q34  [True/False Multi]  D8.9</w:t>
      </w:r>
    </w:p>
    <w:p>
      <w:pPr>
        <w:spacing w:before="40" w:after="40"/>
      </w:pPr>
      <w:r>
        <w:rPr>
          <w:b w:val="0"/>
          <w:i w:val="0"/>
          <w:color w:val="101C4F"/>
          <w:sz w:val="22"/>
        </w:rPr>
        <w:t>Evaluate each hedge accounting statement as True or False:</w:t>
        <w:br/>
        <w:t>(i) A fair value hedge records both the hedging instrument's MTM and the hedged item's fair value change in P&amp;L.</w:t>
        <w:br/>
        <w:t>(ii) Hedge accounting documentation can be prepared retroactively up to 30 days after the hedge starts.</w:t>
        <w:br/>
        <w:t>(iii) Hedge effectiveness under Ind AS 109 requires the ratio of hedging instrument change to hedged item change to fall within 80%-125%.</w:t>
        <w:br/>
        <w:t>(iv) If an IRS designated as a cash flow hedge is terminated early, the OCI balance is immediately recycled to P&amp;L.</w:t>
      </w:r>
    </w:p>
    <w:p>
      <w:pPr>
        <w:spacing w:before="20" w:after="40"/>
        <w:ind w:left="283"/>
      </w:pPr>
      <w:r>
        <w:rPr>
          <w:b w:val="0"/>
          <w:i/>
          <w:color w:val="101C4F"/>
          <w:sz w:val="18"/>
        </w:rPr>
        <w:t>✔ Answer: (i) True  (ii) False — documentation must be prepared BEFORE or AT INCEPTION of the hedge  (iii) False — Ind AS 109 replaced the rigid 80-125% test with 'economic relationship' requirement  (iv) True — when hedged transaction is no longer expected, OCI recycled immediately</w:t>
      </w:r>
    </w:p>
    <w:p>
      <w:pPr>
        <w:spacing w:before="20" w:after="40"/>
        <w:ind w:left="283"/>
      </w:pPr>
      <w:r>
        <w:rPr>
          <w:b w:val="0"/>
          <w:i/>
          <w:color w:val="101C4F"/>
          <w:sz w:val="18"/>
        </w:rPr>
        <w:t>Explanation: Fair value hedge: both hedging instrument and hedged item at fair value through P&amp;L. Documentation: strictly prospective — must exist before hedge starts. Ind AS 109: replaced IAS 39's 80-125% with more principles-based 'economic relationship' test. Early termination: OCI balance recycled to P&amp;L immediately if the hedged cash flow is no longer expected.</w:t>
      </w:r>
    </w:p>
    <w:p>
      <w:pPr>
        <w:spacing w:before="160" w:after="40"/>
      </w:pPr>
      <w:r>
        <w:rPr>
          <w:b/>
          <w:i w:val="0"/>
          <w:color w:val="007A87"/>
          <w:sz w:val="20"/>
        </w:rPr>
        <w:t>Q35  [Gap Fill Dropdown]  D8.9</w:t>
      </w:r>
    </w:p>
    <w:p>
      <w:pPr>
        <w:spacing w:before="40" w:after="40"/>
      </w:pPr>
      <w:r>
        <w:rPr>
          <w:b w:val="0"/>
          <w:i w:val="0"/>
          <w:color w:val="101C4F"/>
          <w:sz w:val="22"/>
        </w:rPr>
        <w:t>DV01 measures the change in a swap's MTM for a [1bp / 100bp / 1%] parallel shift in the yield curve. A positive DV01 means the swap [gains / loses] value when yields rise. For a pay-fixed IRS, the DV01 is [positive / negative] because rising rates benefit the fixed payer.</w:t>
      </w:r>
    </w:p>
    <w:p>
      <w:pPr>
        <w:pStyle w:val="ListBullet"/>
        <w:spacing w:before="20" w:after="20"/>
        <w:ind w:left="397"/>
      </w:pPr>
      <w:r>
        <w:rPr>
          <w:b w:val="0"/>
          <w:i w:val="0"/>
          <w:color w:val="101C4F"/>
          <w:sz w:val="20"/>
        </w:rPr>
        <w:t>1bp</w:t>
      </w:r>
    </w:p>
    <w:p>
      <w:pPr>
        <w:pStyle w:val="ListBullet"/>
        <w:spacing w:before="20" w:after="20"/>
        <w:ind w:left="397"/>
      </w:pPr>
      <w:r>
        <w:rPr>
          <w:b w:val="0"/>
          <w:i w:val="0"/>
          <w:color w:val="101C4F"/>
          <w:sz w:val="20"/>
        </w:rPr>
        <w:t>100bp</w:t>
      </w:r>
    </w:p>
    <w:p>
      <w:pPr>
        <w:pStyle w:val="ListBullet"/>
        <w:spacing w:before="20" w:after="20"/>
        <w:ind w:left="397"/>
      </w:pPr>
      <w:r>
        <w:rPr>
          <w:b w:val="0"/>
          <w:i w:val="0"/>
          <w:color w:val="101C4F"/>
          <w:sz w:val="20"/>
        </w:rPr>
        <w:t>1%</w:t>
      </w:r>
    </w:p>
    <w:p>
      <w:pPr>
        <w:pStyle w:val="ListBullet"/>
        <w:spacing w:before="20" w:after="20"/>
        <w:ind w:left="397"/>
      </w:pPr>
      <w:r>
        <w:rPr>
          <w:b w:val="0"/>
          <w:i w:val="0"/>
          <w:color w:val="101C4F"/>
          <w:sz w:val="20"/>
        </w:rPr>
        <w:t>gains</w:t>
      </w:r>
    </w:p>
    <w:p>
      <w:pPr>
        <w:pStyle w:val="ListBullet"/>
        <w:spacing w:before="20" w:after="20"/>
        <w:ind w:left="397"/>
      </w:pPr>
      <w:r>
        <w:rPr>
          <w:b w:val="0"/>
          <w:i w:val="0"/>
          <w:color w:val="101C4F"/>
          <w:sz w:val="20"/>
        </w:rPr>
        <w:t>loses</w:t>
      </w:r>
    </w:p>
    <w:p>
      <w:pPr>
        <w:pStyle w:val="ListBullet"/>
        <w:spacing w:before="20" w:after="20"/>
        <w:ind w:left="397"/>
      </w:pPr>
      <w:r>
        <w:rPr>
          <w:b w:val="0"/>
          <w:i w:val="0"/>
          <w:color w:val="101C4F"/>
          <w:sz w:val="20"/>
        </w:rPr>
        <w:t>positive</w:t>
      </w:r>
    </w:p>
    <w:p>
      <w:pPr>
        <w:pStyle w:val="ListBullet"/>
        <w:spacing w:before="20" w:after="20"/>
        <w:ind w:left="397"/>
      </w:pPr>
      <w:r>
        <w:rPr>
          <w:b w:val="0"/>
          <w:i w:val="0"/>
          <w:color w:val="101C4F"/>
          <w:sz w:val="20"/>
        </w:rPr>
        <w:t>negative</w:t>
      </w:r>
    </w:p>
    <w:p>
      <w:pPr>
        <w:spacing w:before="20" w:after="40"/>
        <w:ind w:left="283"/>
      </w:pPr>
      <w:r>
        <w:rPr>
          <w:b w:val="0"/>
          <w:i/>
          <w:color w:val="101C4F"/>
          <w:sz w:val="18"/>
        </w:rPr>
        <w:t>✔ Answer: 1bp … gains … positive</w:t>
      </w:r>
    </w:p>
    <w:p>
      <w:pPr>
        <w:spacing w:before="20" w:after="40"/>
        <w:ind w:left="283"/>
      </w:pPr>
      <w:r>
        <w:rPr>
          <w:b w:val="0"/>
          <w:i/>
          <w:color w:val="101C4F"/>
          <w:sz w:val="18"/>
        </w:rPr>
        <w:t>Explanation: DV01 = Dollar Value of 01 basis point = MTM change per 1bp yield shift. Pay-fixed IRS gains value when rates rise (fixed payer pays below-market rate, receives above-market floating) → positive DV01. Receive-fixed IRS loses when rates rise → negative DV01. DV01 is the primary risk measure for interest rate swap portfolios.</w:t>
      </w:r>
    </w:p>
    <w:p>
      <w:pPr>
        <w:spacing w:before="160" w:after="40"/>
      </w:pPr>
      <w:r>
        <w:rPr>
          <w:b/>
          <w:i w:val="0"/>
          <w:color w:val="007A87"/>
          <w:sz w:val="20"/>
        </w:rPr>
        <w:t>Q36  [Matching Pairs]  D8.9</w:t>
      </w:r>
    </w:p>
    <w:p>
      <w:pPr>
        <w:spacing w:before="40" w:after="40"/>
      </w:pPr>
      <w:r>
        <w:rPr>
          <w:b w:val="0"/>
          <w:i w:val="0"/>
          <w:color w:val="101C4F"/>
          <w:sz w:val="22"/>
        </w:rPr>
        <w:t>Match each hedge type with its accounting treatment:</w:t>
      </w:r>
    </w:p>
    <w:p>
      <w:pPr>
        <w:pStyle w:val="ListBullet"/>
        <w:spacing w:before="20" w:after="20"/>
        <w:ind w:left="397"/>
      </w:pPr>
      <w:r>
        <w:rPr>
          <w:b w:val="0"/>
          <w:i w:val="0"/>
          <w:color w:val="101C4F"/>
          <w:sz w:val="20"/>
        </w:rPr>
        <w:t>1. Fair value hedge of fixed-rate bond      A. Hedging instrument MTM → OCI; recycled to P&amp;L at cash flow date</w:t>
      </w:r>
    </w:p>
    <w:p>
      <w:pPr>
        <w:pStyle w:val="ListBullet"/>
        <w:spacing w:before="20" w:after="20"/>
        <w:ind w:left="397"/>
      </w:pPr>
      <w:r>
        <w:rPr>
          <w:b w:val="0"/>
          <w:i w:val="0"/>
          <w:color w:val="101C4F"/>
          <w:sz w:val="20"/>
        </w:rPr>
        <w:t>2. Cash flow hedge of floating-rate loan    B. Both hedging instrument and hedged item revalued through P&amp;L</w:t>
      </w:r>
    </w:p>
    <w:p>
      <w:pPr>
        <w:pStyle w:val="ListBullet"/>
        <w:spacing w:before="20" w:after="20"/>
        <w:ind w:left="397"/>
      </w:pPr>
      <w:r>
        <w:rPr>
          <w:b w:val="0"/>
          <w:i w:val="0"/>
          <w:color w:val="101C4F"/>
          <w:sz w:val="20"/>
        </w:rPr>
        <w:t>3. Hedge discontinuation (expected cash flow no longer probable)  C. OCI balance immediately recycled to P&amp;L</w:t>
      </w:r>
    </w:p>
    <w:p>
      <w:pPr>
        <w:pStyle w:val="ListBullet"/>
        <w:spacing w:before="20" w:after="20"/>
        <w:ind w:left="397"/>
      </w:pPr>
      <w:r>
        <w:rPr>
          <w:b w:val="0"/>
          <w:i w:val="0"/>
          <w:color w:val="101C4F"/>
          <w:sz w:val="20"/>
        </w:rPr>
        <w:t>4. Undesignated IRS (no hedge documentation)  D. IRS MTM recorded in P&amp;L with no offsetting treatment</w:t>
      </w:r>
    </w:p>
    <w:p>
      <w:pPr>
        <w:spacing w:before="20" w:after="40"/>
        <w:ind w:left="283"/>
      </w:pPr>
      <w:r>
        <w:rPr>
          <w:b w:val="0"/>
          <w:i/>
          <w:color w:val="101C4F"/>
          <w:sz w:val="18"/>
        </w:rPr>
        <w:t>✔ Answer: 1→B  2→A  3→C  4→D</w:t>
      </w:r>
    </w:p>
    <w:p>
      <w:pPr>
        <w:spacing w:before="20" w:after="40"/>
        <w:ind w:left="283"/>
      </w:pPr>
      <w:r>
        <w:rPr>
          <w:b w:val="0"/>
          <w:i/>
          <w:color w:val="101C4F"/>
          <w:sz w:val="18"/>
        </w:rPr>
        <w:t>Explanation: Fair value hedge: both through P&amp;L (they offset). Cash flow hedge: IRS to OCI, recycled when cash flow hits P&amp;L. Discontinuation: OCI → P&amp;L immediately. No designation: all MTM changes hit P&amp;L directly — creating volatility that makes management prefer hedge accounting designation.</w:t>
      </w:r>
    </w:p>
    <w:p>
      <w:pPr>
        <w:spacing w:before="120" w:after="80"/>
        <w:shd w:val="clear" w:color="auto" w:fill="101C4F"/>
        <w:ind w:left="170" w:right="170"/>
      </w:pPr>
      <w:r>
        <w:rPr>
          <w:b/>
          <w:i w:val="0"/>
          <w:color w:val="FFFFFF"/>
          <w:sz w:val="26"/>
        </w:rPr>
        <w:t>D8.10  |  RBI and SEBI Swap Regulations</w:t>
      </w:r>
    </w:p>
    <w:p>
      <w:pPr>
        <w:spacing w:before="160" w:after="40"/>
      </w:pPr>
      <w:r>
        <w:rPr>
          <w:b/>
          <w:i w:val="0"/>
          <w:color w:val="007A87"/>
          <w:sz w:val="20"/>
        </w:rPr>
        <w:t>Q37  [MCQ Inline]  D8.10</w:t>
      </w:r>
    </w:p>
    <w:p>
      <w:pPr>
        <w:spacing w:before="40" w:after="40"/>
      </w:pPr>
      <w:r>
        <w:rPr>
          <w:b w:val="0"/>
          <w:i w:val="0"/>
          <w:color w:val="101C4F"/>
          <w:sz w:val="22"/>
        </w:rPr>
        <w:t>Under RBI's OTC derivatives framework, which category of participant is permitted to enter rupee IRS for speculative/proprietary purposes (not just hedging)?</w:t>
      </w:r>
    </w:p>
    <w:p>
      <w:pPr>
        <w:pStyle w:val="ListBullet"/>
        <w:spacing w:before="20" w:after="20"/>
        <w:ind w:left="397"/>
      </w:pPr>
      <w:r>
        <w:rPr>
          <w:b w:val="0"/>
          <w:i w:val="0"/>
          <w:color w:val="101C4F"/>
          <w:sz w:val="20"/>
        </w:rPr>
        <w:t>A. Listed companies with minimum net worth of ₹500 crore</w:t>
      </w:r>
    </w:p>
    <w:p>
      <w:pPr>
        <w:pStyle w:val="ListBullet"/>
        <w:spacing w:before="20" w:after="20"/>
        <w:ind w:left="397"/>
      </w:pPr>
      <w:r>
        <w:rPr>
          <w:b w:val="0"/>
          <w:i w:val="0"/>
          <w:color w:val="101C4F"/>
          <w:sz w:val="20"/>
        </w:rPr>
        <w:t>B. All FPIs registered with SEBI</w:t>
      </w:r>
    </w:p>
    <w:p>
      <w:pPr>
        <w:pStyle w:val="ListBullet"/>
        <w:spacing w:before="20" w:after="20"/>
        <w:ind w:left="397"/>
      </w:pPr>
      <w:r>
        <w:rPr>
          <w:b w:val="0"/>
          <w:i w:val="0"/>
          <w:color w:val="101C4F"/>
          <w:sz w:val="20"/>
        </w:rPr>
        <w:t>C. Scheduled commercial banks and primary dealers (Category A participants)</w:t>
      </w:r>
    </w:p>
    <w:p>
      <w:pPr>
        <w:pStyle w:val="ListBullet"/>
        <w:spacing w:before="20" w:after="20"/>
        <w:ind w:left="397"/>
      </w:pPr>
      <w:r>
        <w:rPr>
          <w:b w:val="0"/>
          <w:i w:val="0"/>
          <w:color w:val="101C4F"/>
          <w:sz w:val="20"/>
        </w:rPr>
        <w:t>D. Insurance companies and mutual funds with hedge fund mandates</w:t>
      </w:r>
    </w:p>
    <w:p>
      <w:pPr>
        <w:spacing w:before="20" w:after="40"/>
        <w:ind w:left="283"/>
      </w:pPr>
      <w:r>
        <w:rPr>
          <w:b w:val="0"/>
          <w:i/>
          <w:color w:val="101C4F"/>
          <w:sz w:val="18"/>
        </w:rPr>
        <w:t>✔ Answer: C. Scheduled commercial banks and primary dealers (Category A participants)</w:t>
      </w:r>
    </w:p>
    <w:p>
      <w:pPr>
        <w:spacing w:before="20" w:after="40"/>
        <w:ind w:left="283"/>
      </w:pPr>
      <w:r>
        <w:rPr>
          <w:b w:val="0"/>
          <w:i/>
          <w:color w:val="101C4F"/>
          <w:sz w:val="18"/>
        </w:rPr>
        <w:t>Explanation: RBI's framework categorizes participants. Category A (banks and primary dealers) can take proprietary/speculative positions. All other categories (B and C) — insurance, MFs, NBFCs, corporates, FPIs — can only enter derivatives for hedging genuine underlying exposures. This restriction prevents speculative risk-taking by entities that lack the risk management infrastructure of banks.</w:t>
      </w:r>
    </w:p>
    <w:p>
      <w:pPr>
        <w:spacing w:before="160" w:after="40"/>
      </w:pPr>
      <w:r>
        <w:rPr>
          <w:b/>
          <w:i w:val="0"/>
          <w:color w:val="007A87"/>
          <w:sz w:val="20"/>
        </w:rPr>
        <w:t>Q38  [True/False Multi]  D8.10</w:t>
      </w:r>
    </w:p>
    <w:p>
      <w:pPr>
        <w:spacing w:before="40" w:after="40"/>
      </w:pPr>
      <w:r>
        <w:rPr>
          <w:b w:val="0"/>
          <w:i w:val="0"/>
          <w:color w:val="101C4F"/>
          <w:sz w:val="22"/>
        </w:rPr>
        <w:t>Evaluate each regulatory statement as True or False:</w:t>
        <w:br/>
        <w:t>(i) FBIL replaced NSE as the publisher of the MIBOR benchmark in 2015, moving to a transaction-based methodology.</w:t>
        <w:br/>
        <w:t>(ii) The LIBOR scandal led to the global transition from LIBOR to Risk-Free Rates like SOFR and SONIA.</w:t>
        <w:br/>
        <w:t>(iii) Indian banks must report all OTC derivative trades to CCIL Trade Repository by end of trade date.</w:t>
        <w:br/>
        <w:t>(iv) Under the ISDA 2020 IBOR Fallback Protocol, existing LIBOR-linked contracts automatically switch to the new RFR plus a credit adjustment spread.</w:t>
      </w:r>
    </w:p>
    <w:p>
      <w:pPr>
        <w:spacing w:before="20" w:after="40"/>
        <w:ind w:left="283"/>
      </w:pPr>
      <w:r>
        <w:rPr>
          <w:b w:val="0"/>
          <w:i/>
          <w:color w:val="101C4F"/>
          <w:sz w:val="18"/>
        </w:rPr>
        <w:t>✔ Answer: (i) True  (ii) True  (iii) True  (iv) True</w:t>
      </w:r>
    </w:p>
    <w:p>
      <w:pPr>
        <w:spacing w:before="20" w:after="40"/>
        <w:ind w:left="283"/>
      </w:pPr>
      <w:r>
        <w:rPr>
          <w:b w:val="0"/>
          <w:i/>
          <w:color w:val="101C4F"/>
          <w:sz w:val="18"/>
        </w:rPr>
        <w:t>Explanation: FBIL MIBOR: transaction-based, launched 2015, replaced NSE quote-based MIBOR. LIBOR scandal (2012): banks manipulating submissions → global transition to overnight RFRs (SOFR for USD, SONIA for GBP, TONA for JPY). CCIL TR: end-of-day reporting mandatory. ISDA 2020 Fallback Protocol: automatic switch to RFR + spread adjustment (5-year median spread between IBOR and compounded overnight rate).</w:t>
      </w:r>
    </w:p>
    <w:p>
      <w:pPr>
        <w:spacing w:before="160" w:after="40"/>
      </w:pPr>
      <w:r>
        <w:rPr>
          <w:b/>
          <w:i w:val="0"/>
          <w:color w:val="007A87"/>
          <w:sz w:val="20"/>
        </w:rPr>
        <w:t>Q39  [Gap Fill Dropdown]  D8.10</w:t>
      </w:r>
    </w:p>
    <w:p>
      <w:pPr>
        <w:spacing w:before="40" w:after="40"/>
      </w:pPr>
      <w:r>
        <w:rPr>
          <w:b w:val="0"/>
          <w:i w:val="0"/>
          <w:color w:val="101C4F"/>
          <w:sz w:val="22"/>
        </w:rPr>
        <w:t>An Indian corporate wishing to enter a cross-currency swap to hedge its USD ECB must demonstrate [FEMA / SEBI / IRDAI] compliance and provide [underlying exposure / credit rating / ISDA documentation] evidence to the arranging bank. Failure to comply with these requirements is a violation of [FEMA / IBC / Companies Act].</w:t>
      </w:r>
    </w:p>
    <w:p>
      <w:pPr>
        <w:pStyle w:val="ListBullet"/>
        <w:spacing w:before="20" w:after="20"/>
        <w:ind w:left="397"/>
      </w:pPr>
      <w:r>
        <w:rPr>
          <w:b w:val="0"/>
          <w:i w:val="0"/>
          <w:color w:val="101C4F"/>
          <w:sz w:val="20"/>
        </w:rPr>
        <w:t>FEMA</w:t>
      </w:r>
    </w:p>
    <w:p>
      <w:pPr>
        <w:pStyle w:val="ListBullet"/>
        <w:spacing w:before="20" w:after="20"/>
        <w:ind w:left="397"/>
      </w:pPr>
      <w:r>
        <w:rPr>
          <w:b w:val="0"/>
          <w:i w:val="0"/>
          <w:color w:val="101C4F"/>
          <w:sz w:val="20"/>
        </w:rPr>
        <w:t>SEBI</w:t>
      </w:r>
    </w:p>
    <w:p>
      <w:pPr>
        <w:pStyle w:val="ListBullet"/>
        <w:spacing w:before="20" w:after="20"/>
        <w:ind w:left="397"/>
      </w:pPr>
      <w:r>
        <w:rPr>
          <w:b w:val="0"/>
          <w:i w:val="0"/>
          <w:color w:val="101C4F"/>
          <w:sz w:val="20"/>
        </w:rPr>
        <w:t>IRDAI</w:t>
      </w:r>
    </w:p>
    <w:p>
      <w:pPr>
        <w:pStyle w:val="ListBullet"/>
        <w:spacing w:before="20" w:after="20"/>
        <w:ind w:left="397"/>
      </w:pPr>
      <w:r>
        <w:rPr>
          <w:b w:val="0"/>
          <w:i w:val="0"/>
          <w:color w:val="101C4F"/>
          <w:sz w:val="20"/>
        </w:rPr>
        <w:t>underlying exposure</w:t>
      </w:r>
    </w:p>
    <w:p>
      <w:pPr>
        <w:pStyle w:val="ListBullet"/>
        <w:spacing w:before="20" w:after="20"/>
        <w:ind w:left="397"/>
      </w:pPr>
      <w:r>
        <w:rPr>
          <w:b w:val="0"/>
          <w:i w:val="0"/>
          <w:color w:val="101C4F"/>
          <w:sz w:val="20"/>
        </w:rPr>
        <w:t>credit rating</w:t>
      </w:r>
    </w:p>
    <w:p>
      <w:pPr>
        <w:pStyle w:val="ListBullet"/>
        <w:spacing w:before="20" w:after="20"/>
        <w:ind w:left="397"/>
      </w:pPr>
      <w:r>
        <w:rPr>
          <w:b w:val="0"/>
          <w:i w:val="0"/>
          <w:color w:val="101C4F"/>
          <w:sz w:val="20"/>
        </w:rPr>
        <w:t>ISDA documentation</w:t>
      </w:r>
    </w:p>
    <w:p>
      <w:pPr>
        <w:pStyle w:val="ListBullet"/>
        <w:spacing w:before="20" w:after="20"/>
        <w:ind w:left="397"/>
      </w:pPr>
      <w:r>
        <w:rPr>
          <w:b w:val="0"/>
          <w:i w:val="0"/>
          <w:color w:val="101C4F"/>
          <w:sz w:val="20"/>
        </w:rPr>
        <w:t>IBC</w:t>
      </w:r>
    </w:p>
    <w:p>
      <w:pPr>
        <w:pStyle w:val="ListBullet"/>
        <w:spacing w:before="20" w:after="20"/>
        <w:ind w:left="397"/>
      </w:pPr>
      <w:r>
        <w:rPr>
          <w:b w:val="0"/>
          <w:i w:val="0"/>
          <w:color w:val="101C4F"/>
          <w:sz w:val="20"/>
        </w:rPr>
        <w:t>Companies Act</w:t>
      </w:r>
    </w:p>
    <w:p>
      <w:pPr>
        <w:spacing w:before="20" w:after="40"/>
        <w:ind w:left="283"/>
      </w:pPr>
      <w:r>
        <w:rPr>
          <w:b w:val="0"/>
          <w:i/>
          <w:color w:val="101C4F"/>
          <w:sz w:val="18"/>
        </w:rPr>
        <w:t>✔ Answer: FEMA … underlying exposure … FEMA</w:t>
      </w:r>
    </w:p>
    <w:p>
      <w:pPr>
        <w:spacing w:before="20" w:after="40"/>
        <w:ind w:left="283"/>
      </w:pPr>
      <w:r>
        <w:rPr>
          <w:b w:val="0"/>
          <w:i/>
          <w:color w:val="101C4F"/>
          <w:sz w:val="18"/>
        </w:rPr>
        <w:t>Explanation: Cross-currency swaps for Indian residents are governed by FEMA (Foreign Exchange Management Act). Corporates must demonstrate underlying forex exposure (e.g., ECB borrowing) to the arranging bank. The bank must verify and retain this evidence. Executing a swap without proper underlying documentation is a FEMA violation — subject to penalties up to 3× the transaction value.</w:t>
      </w:r>
    </w:p>
    <w:p>
      <w:pPr>
        <w:spacing w:before="160" w:after="40"/>
      </w:pPr>
      <w:r>
        <w:rPr>
          <w:b/>
          <w:i w:val="0"/>
          <w:color w:val="007A87"/>
          <w:sz w:val="20"/>
        </w:rPr>
        <w:t>Q40  [Matching Pairs]  D8.10</w:t>
      </w:r>
    </w:p>
    <w:p>
      <w:pPr>
        <w:spacing w:before="40" w:after="40"/>
      </w:pPr>
      <w:r>
        <w:rPr>
          <w:b w:val="0"/>
          <w:i w:val="0"/>
          <w:color w:val="101C4F"/>
          <w:sz w:val="22"/>
        </w:rPr>
        <w:t>Match each regulatory development with its description:</w:t>
      </w:r>
    </w:p>
    <w:p>
      <w:pPr>
        <w:pStyle w:val="ListBullet"/>
        <w:spacing w:before="20" w:after="20"/>
        <w:ind w:left="397"/>
      </w:pPr>
      <w:r>
        <w:rPr>
          <w:b w:val="0"/>
          <w:i w:val="0"/>
          <w:color w:val="101C4F"/>
          <w:sz w:val="20"/>
        </w:rPr>
        <w:t>1. CCIL mandatory clearing (2013)        A. All LIBOR-linked contracts automatically shift to overnight RFR + spread</w:t>
      </w:r>
    </w:p>
    <w:p>
      <w:pPr>
        <w:pStyle w:val="ListBullet"/>
        <w:spacing w:before="20" w:after="20"/>
        <w:ind w:left="397"/>
      </w:pPr>
      <w:r>
        <w:rPr>
          <w:b w:val="0"/>
          <w:i w:val="0"/>
          <w:color w:val="101C4F"/>
          <w:sz w:val="20"/>
        </w:rPr>
        <w:t>2. ISDA 2020 IBOR Fallback Protocol      B. Standardised OTC derivative documentation used globally since the 1980s</w:t>
      </w:r>
    </w:p>
    <w:p>
      <w:pPr>
        <w:pStyle w:val="ListBullet"/>
        <w:spacing w:before="20" w:after="20"/>
        <w:ind w:left="397"/>
      </w:pPr>
      <w:r>
        <w:rPr>
          <w:b w:val="0"/>
          <w:i w:val="0"/>
          <w:color w:val="101C4F"/>
          <w:sz w:val="20"/>
        </w:rPr>
        <w:t>3. ISDA Master Agreement                 C. Made central clearing compulsory for inter-bank INR IRS, reducing systemic risk</w:t>
      </w:r>
    </w:p>
    <w:p>
      <w:pPr>
        <w:pStyle w:val="ListBullet"/>
        <w:spacing w:before="20" w:after="20"/>
        <w:ind w:left="397"/>
      </w:pPr>
      <w:r>
        <w:rPr>
          <w:b w:val="0"/>
          <w:i w:val="0"/>
          <w:color w:val="101C4F"/>
          <w:sz w:val="20"/>
        </w:rPr>
        <w:t>4. RBI Master Direction on Derivatives   D. Comprehensive RBI rulebook defining eligible participants, products, and reporting for Indian OTC derivatives</w:t>
      </w:r>
    </w:p>
    <w:p>
      <w:pPr>
        <w:spacing w:before="20" w:after="40"/>
        <w:ind w:left="283"/>
      </w:pPr>
      <w:r>
        <w:rPr>
          <w:b w:val="0"/>
          <w:i/>
          <w:color w:val="101C4F"/>
          <w:sz w:val="18"/>
        </w:rPr>
        <w:t>✔ Answer: 1→C  2→A  3→B  4→D</w:t>
      </w:r>
    </w:p>
    <w:p>
      <w:pPr>
        <w:spacing w:before="20" w:after="40"/>
        <w:ind w:left="283"/>
      </w:pPr>
      <w:r>
        <w:rPr>
          <w:b w:val="0"/>
          <w:i/>
          <w:color w:val="101C4F"/>
          <w:sz w:val="18"/>
        </w:rPr>
        <w:t>Explanation: CCIL mandatory clearing 2013: systemically reduced bilateral counterparty risk in Indian IRS market. ISDA 2020 Fallback Protocol: handled LIBOR cessation. ISDA Master Agreement: industry standard legal documentation since 1987. RBI Master Direction: comprehensive Indian regulatory framework for all OTC derivatives.</w:t>
      </w:r>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