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A87"/>
          <w:sz w:val="28"/>
        </w:rPr>
        <w:t>CIBOP</w:t>
      </w:r>
    </w:p>
    <w:p>
      <w:pPr>
        <w:jc w:val="center"/>
      </w:pPr>
      <w:r>
        <w:rPr>
          <w:b/>
          <w:color w:val="101C4F"/>
          <w:sz w:val="32"/>
        </w:rPr>
        <w:t>Certificate in Investment Banking Operations Programme</w:t>
      </w:r>
    </w:p>
    <w:p>
      <w:pPr>
        <w:jc w:val="center"/>
      </w:pPr>
      <w:r>
        <w:rPr>
          <w:b/>
          <w:color w:val="101C4F"/>
          <w:sz w:val="44"/>
        </w:rPr>
        <w:t>Module D8: Derivatives — Swaps</w:t>
      </w:r>
    </w:p>
    <w:p>
      <w:pPr>
        <w:jc w:val="center"/>
      </w:pPr>
      <w:r>
        <w:rPr>
          <w:b/>
          <w:color w:val="F0A800"/>
          <w:sz w:val="28"/>
        </w:rPr>
        <w:t>Video Production Document</w:t>
      </w:r>
    </w:p>
    <w:p/>
    <w:p>
      <w:pPr>
        <w:jc w:val="center"/>
      </w:pPr>
      <w:r>
        <w:rPr>
          <w:b w:val="0"/>
          <w:color w:val="101C4F"/>
          <w:sz w:val="20"/>
        </w:rPr>
        <w:t>Imarticus Learning  |  Confidential  |  v1.0</w:t>
      </w:r>
    </w:p>
    <w:p>
      <w:r>
        <w:br w:type="page"/>
      </w:r>
    </w:p>
    <w:p>
      <w:pPr>
        <w:spacing w:before="360"/>
      </w:pPr>
      <w:r>
        <w:rPr>
          <w:b w:val="0"/>
          <w:color w:val="CCCCCC"/>
          <w:sz w:val="16"/>
        </w:rPr>
        <w:t>────────────────────────────────────────────────────────────</w:t>
      </w:r>
    </w:p>
    <w:p>
      <w:r>
        <w:rPr>
          <w:b/>
          <w:color w:val="101C4F"/>
          <w:sz w:val="28"/>
        </w:rPr>
        <w:t>D8.1  ·  Video 1 of 3</w:t>
      </w:r>
    </w:p>
    <w:p>
      <w:r>
        <w:rPr>
          <w:b w:val="0"/>
          <w:color w:val="007A87"/>
          <w:sz w:val="22"/>
        </w:rPr>
        <w:t>Introduction to Swaps</w:t>
      </w:r>
    </w:p>
    <w:p>
      <w:r>
        <w:rPr>
          <w:b/>
          <w:color w:val="101C4F"/>
          <w:sz w:val="20"/>
        </w:rPr>
        <w:t>🔒  INTERNAL MAPPING — D8.1</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D8.1</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Introduction to Swaps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Understand what swaps are, the main types, and their role in the global and Indian financial markets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Explain</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Explain what a swap is, its key characteristics, and the main swap types</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D7.10 — Derivatives: Options Complete</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D8.1 Video 2 — OTC Market and Swap Participants</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KAVI stands before a large diagram showing two parties exchanging cash flows: Party A sends fixed payments to Party B; Party B sends floating payments back to Party A. A calendar shows periodic payment dates.</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Kavi: 'A swap is an OTC derivative contract in which two counterparties agree to exchange a series of cash flows over a specified period. Unlike options or futures — which are about price at a single point in time — swaps involve ongoing, periodic exchanges.' Ryo: 'The most important word: exchange. Both parties give something and receive something. Neither is simply buying or selling.'</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Four swap type cards appear: (1) Interest Rate Swap — exchange fixed interest for floating interest on a notional principal. (2) Currency Swap — exchange principal and interest in two different currencies. (3) Credit Default Swap — exchange protection premium for credit event payment. (4) Equity/Total Return Swap — exchange equity returns for a fixed or floating rate.</w:t>
            </w:r>
          </w:p>
        </w:tc>
        <w:tc>
          <w:tcPr>
            <w:tcW w:type="dxa" w:w="1994"/>
            <w:shd w:val="clear" w:color="auto" w:fill="FFFFFF"/>
          </w:tcPr>
          <w:p>
            <w:r>
              <w:rPr>
                <w:b w:val="0"/>
                <w:color w:val="404040"/>
                <w:sz w:val="16"/>
              </w:rPr>
              <w:t>SWAP TYPES</w:t>
            </w:r>
          </w:p>
        </w:tc>
        <w:tc>
          <w:tcPr>
            <w:tcW w:type="dxa" w:w="1994"/>
            <w:shd w:val="clear" w:color="auto" w:fill="FFFFFF"/>
          </w:tcPr>
          <w:p>
            <w:r>
              <w:rPr>
                <w:b w:val="0"/>
                <w:color w:val="404040"/>
                <w:sz w:val="16"/>
              </w:rPr>
              <w:t>Ryo: 'Four main swap families. Interest rate swaps (IRS) are the most common globally — $400+ trillion notional outstanding. Currency swaps are used heavily by Indian corporates borrowing in foreign markets. Credit default swaps (CDS) are the basis of credit derivative markets.' Kavi: 'Total return swaps are used by fund managers to gain exposure to asset returns without owning the assets. Each type solves a different financial problem.'</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Swap key features: (1) OTC — negotiated privately, not on exchange (mostly). (2) Notional principal — the reference amount for calculating cash flows, not exchanged (for IRS). (3) Periodic payments — semi-annual, quarterly, or monthly. (4) Netting — only the net difference is exchanged on payment dates. (5) Master Agreement — ISDA documentation governs all terms.</w:t>
            </w:r>
          </w:p>
        </w:tc>
        <w:tc>
          <w:tcPr>
            <w:tcW w:type="dxa" w:w="1994"/>
            <w:shd w:val="clear" w:color="auto" w:fill="F0F8FA"/>
          </w:tcPr>
          <w:p>
            <w:r>
              <w:rPr>
                <w:b w:val="0"/>
                <w:color w:val="404040"/>
                <w:sz w:val="16"/>
              </w:rPr>
              <w:t>KEY FEATURES</w:t>
            </w:r>
          </w:p>
        </w:tc>
        <w:tc>
          <w:tcPr>
            <w:tcW w:type="dxa" w:w="1994"/>
            <w:shd w:val="clear" w:color="auto" w:fill="F0F8FA"/>
          </w:tcPr>
          <w:p>
            <w:r>
              <w:rPr>
                <w:b w:val="0"/>
                <w:color w:val="404040"/>
                <w:sz w:val="16"/>
              </w:rPr>
              <w:t>Kavi: 'The notional principal in an IRS is never actually exchanged — it is only the reference for calculating interest payments. This is crucial to understand.' Ryo: 'Netting reduces credit risk enormously: instead of two payments of ₹100 and ₹80 crossing each other, only the ₹20 net difference is settled. This reduces both cash flows and counterparty exposure.'</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Four reasons to use swaps: (1) Transform liability profile — fixed rate borrower converts to floating. (2) Hedge risk — corporate with USD debt swaps USD payments to INR. (3) Gain market access — enter a market where you do not have direct access. (4) Reduce borrowing cost — comparative advantage theory (each party has a lower cost in a different market).</w:t>
            </w:r>
          </w:p>
        </w:tc>
        <w:tc>
          <w:tcPr>
            <w:tcW w:type="dxa" w:w="1994"/>
            <w:shd w:val="clear" w:color="auto" w:fill="FFFFFF"/>
          </w:tcPr>
          <w:p>
            <w:r>
              <w:rPr>
                <w:b w:val="0"/>
                <w:color w:val="404040"/>
                <w:sz w:val="16"/>
              </w:rPr>
              <w:t>WHY SWAPS</w:t>
            </w:r>
          </w:p>
        </w:tc>
        <w:tc>
          <w:tcPr>
            <w:tcW w:type="dxa" w:w="1994"/>
            <w:shd w:val="clear" w:color="auto" w:fill="FFFFFF"/>
          </w:tcPr>
          <w:p>
            <w:r>
              <w:rPr>
                <w:b w:val="0"/>
                <w:color w:val="404040"/>
                <w:sz w:val="16"/>
              </w:rPr>
              <w:t>Ryo: 'Swaps emerged in the 1980s precisely because they allow parties to transform their risk exposure without disrupting the underlying asset or liability. An Indian company with a fixed-rate bond can pay floating via a swap without retiring and reissuing the bond.' Kavi: 'The comparative advantage principle: if Company A has relatively lower fixed rates and Company B has relatively lower floating rates, they can both reduce costs by swapping — creating value for both.'</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Swap summary: Bilateral OTC contract to exchange cash flows. Types: IRS, Currency, CDS, Equity/TRS. Key features: notional (not exchanged in IRS), periodic payments, netting, ISDA documentation. Uses: transform risk, hedge exposure, reduce cost, gain market access.</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Kavi: 'Swaps are the backbone of modern institutional risk management. Central banks, commercial banks, insurance companies, and large corporates all use swaps to manage interest rate, currency, and credit risk.' Ryo: 'In India, the swap market is dominated by the inter-bank IRS market (MIBOR-based) and the USD/INR cross-currency swap market. We will explore each type in detail across this module.'</w:t>
            </w:r>
          </w:p>
        </w:tc>
      </w:tr>
    </w:tbl>
    <w:p/>
    <w:p>
      <w:r>
        <w:rPr>
          <w:b/>
          <w:color w:val="F0A800"/>
          <w:sz w:val="18"/>
        </w:rPr>
        <w:t>▶  TRANSITION — Leads to: D8.1 Video 2 — OTC Market and Swap Participants</w:t>
      </w:r>
    </w:p>
    <w:p/>
    <w:p>
      <w:r>
        <w:br w:type="page"/>
      </w:r>
    </w:p>
    <w:p>
      <w:pPr>
        <w:spacing w:before="360"/>
      </w:pPr>
      <w:r>
        <w:rPr>
          <w:b w:val="0"/>
          <w:color w:val="CCCCCC"/>
          <w:sz w:val="16"/>
        </w:rPr>
        <w:t>────────────────────────────────────────────────────────────</w:t>
      </w:r>
    </w:p>
    <w:p>
      <w:r>
        <w:rPr>
          <w:b/>
          <w:color w:val="101C4F"/>
          <w:sz w:val="28"/>
        </w:rPr>
        <w:t>D8.1  ·  Video 2 of 3</w:t>
      </w:r>
    </w:p>
    <w:p>
      <w:r>
        <w:rPr>
          <w:b w:val="0"/>
          <w:color w:val="007A87"/>
          <w:sz w:val="22"/>
        </w:rPr>
        <w:t>Introduction to Swaps</w:t>
      </w:r>
    </w:p>
    <w:p>
      <w:r>
        <w:rPr>
          <w:b/>
          <w:color w:val="101C4F"/>
          <w:sz w:val="20"/>
        </w:rPr>
        <w:t>🔒  INTERNAL MAPPING — D8.1</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D8.1</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Introduction to Swaps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Understand what swaps are, the main types, and their role in the global and Indian financial markets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Apply</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Apply the concepts of comparative advantage and swap mechanics to construct a simple IRS cash flow schedule</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D8.1 Video 1 — What Is a Swap?</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D8.1 Video 3 — Swap Markets in India</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Two companies: Company A (AAA-rated) — can borrow fixed at 7% or floating at MIBOR + 0.5%. Company B (BBB-rated) — can borrow fixed at 8.5% or floating at MIBOR + 1.5%. They enter a swap with a bank as intermediary.</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Ryo: 'The comparative advantage principle: Company A has a 1.5% advantage in fixed markets but only 1% advantage in floating markets. The difference — 0.5% — is the potential gain from swapping.' Kavi: 'Company A borrows fixed at 7% (where they have the biggest edge). Company B borrows floating at MIBOR + 1.5% (where they have the smallest disadvantage). Then they swap cash flows through the bank.'</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Swap structure: Company A pays MIBOR + 0.5% to bank. Bank pays 7.25% fixed to Company A. Net effect for A: pays 7% fixed (own borrowing) + MIBOR + 0.5% (to bank) − 7.25% (from bank) = MIBOR + 0.25% floating. Saves 0.25% vs direct floating borrowing.</w:t>
            </w:r>
          </w:p>
        </w:tc>
        <w:tc>
          <w:tcPr>
            <w:tcW w:type="dxa" w:w="1994"/>
            <w:shd w:val="clear" w:color="auto" w:fill="FFFFFF"/>
          </w:tcPr>
          <w:p>
            <w:r>
              <w:rPr>
                <w:b w:val="0"/>
                <w:color w:val="404040"/>
                <w:sz w:val="16"/>
              </w:rPr>
              <w:t>SWAP CONSTRUCTION</w:t>
            </w:r>
          </w:p>
        </w:tc>
        <w:tc>
          <w:tcPr>
            <w:tcW w:type="dxa" w:w="1994"/>
            <w:shd w:val="clear" w:color="auto" w:fill="FFFFFF"/>
          </w:tcPr>
          <w:p>
            <w:r>
              <w:rPr>
                <w:b w:val="0"/>
                <w:color w:val="404040"/>
                <w:sz w:val="16"/>
              </w:rPr>
              <w:t>Kavi: 'After the swap, Company A effectively pays floating at MIBOR + 0.25% — instead of MIBOR + 0.5% if they borrowed floating directly. Saving 0.25%.' Ryo: 'Company B effectively pays 8% fixed — instead of 8.5% if they borrowed fixed directly. Saving 0.5%. The bank earns its spread. All three parties benefit.'</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Cash flow schedule: Notional = ₹100 crore. Tenor = 2 years. Payment frequency = quarterly (every 3 months). MIBOR at initiation = 6.5%. Fixed rate = 7%. Quarter 1: floating payer pays 6.5% × 3/12 × 100cr = ₹1.625cr. Fixed payer pays 7% × 3/12 × 100cr = ₹1.75cr. Net payment = ₹0.125cr from floating to fixed.</w:t>
            </w:r>
          </w:p>
        </w:tc>
        <w:tc>
          <w:tcPr>
            <w:tcW w:type="dxa" w:w="1994"/>
            <w:shd w:val="clear" w:color="auto" w:fill="F0F8FA"/>
          </w:tcPr>
          <w:p>
            <w:r>
              <w:rPr>
                <w:b w:val="0"/>
                <w:color w:val="404040"/>
                <w:sz w:val="16"/>
              </w:rPr>
              <w:t>CASH FLOW SCHEDULE</w:t>
            </w:r>
          </w:p>
        </w:tc>
        <w:tc>
          <w:tcPr>
            <w:tcW w:type="dxa" w:w="1994"/>
            <w:shd w:val="clear" w:color="auto" w:fill="F0F8FA"/>
          </w:tcPr>
          <w:p>
            <w:r>
              <w:rPr>
                <w:b w:val="0"/>
                <w:color w:val="404040"/>
                <w:sz w:val="16"/>
              </w:rPr>
              <w:t>Ryo: 'The cash flow schedule shows what actually moves on each payment date. With notional ₹100 crore, quarterly frequency, and MIBOR at 6.5%: floating payer owes ₹1.625 crore. Fixed payer owes ₹1.75 crore.' Kavi: 'Netting: only ₹0.125 crore changes hands — from the floating-rate payer to the fixed-rate payer. No gross cash flows cross — just the net difference. This is why swaps are operationally efficient.'</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IRS mechanics: Reset date — MIBOR is observed and locked in for the next payment period. Payment date — net cash flow is settled. If MIBOR rises to 7.2% in Quarter 2: floating payer owes 7.2% × 3/12 × 100cr = ₹1.8cr. Fixed payer owes ₹1.75cr. Net: ₹0.05cr from fixed payer to floating payer.</w:t>
            </w:r>
          </w:p>
        </w:tc>
        <w:tc>
          <w:tcPr>
            <w:tcW w:type="dxa" w:w="1994"/>
            <w:shd w:val="clear" w:color="auto" w:fill="FFFFFF"/>
          </w:tcPr>
          <w:p>
            <w:r>
              <w:rPr>
                <w:b w:val="0"/>
                <w:color w:val="404040"/>
                <w:sz w:val="16"/>
              </w:rPr>
              <w:t>RESET DATES</w:t>
            </w:r>
          </w:p>
        </w:tc>
        <w:tc>
          <w:tcPr>
            <w:tcW w:type="dxa" w:w="1994"/>
            <w:shd w:val="clear" w:color="auto" w:fill="FFFFFF"/>
          </w:tcPr>
          <w:p>
            <w:r>
              <w:rPr>
                <w:b w:val="0"/>
                <w:color w:val="404040"/>
                <w:sz w:val="16"/>
              </w:rPr>
              <w:t>Kavi: 'The floating rate resets at each reset date — usually 2 business days before the payment period begins. MIBOR (or SOFR for USD swaps) is observed on that day and used to calculate the next floating payment.' Ryo: 'When MIBOR rises above the fixed rate (7%), the fixed payer receives a net payment. When MIBOR is below 7%, the fixed payer makes a net payment. This is how IRS translates interest rate views into P&amp;L.'</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Comparative advantage: swap allows both parties to borrow in their natural market and convert to desired rate. Cash flow schedule: notional × rate × day-count fraction. Netting: only net difference paid. Reset dates: floating rate locked in at start of each period. Operations must track all dates and verify cash flows.</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Ryo: 'Building a swap cash flow schedule is a core operations skill. Every payment date, the operations team must: (1) Confirm the MIBOR fixing used for the floating leg. (2) Calculate gross cash flows for each leg. (3) Net the payments. (4) Confirm counterparty payment confirmation. (5) Reconcile against the ISDA trade confirmation.' Kavi: 'Any discrepancy at this stage can result in a payment dispute with the counterparty — one of the most common events in OTC derivatives operations.'</w:t>
            </w:r>
          </w:p>
        </w:tc>
      </w:tr>
    </w:tbl>
    <w:p/>
    <w:p>
      <w:r>
        <w:rPr>
          <w:b/>
          <w:color w:val="F0A800"/>
          <w:sz w:val="18"/>
        </w:rPr>
        <w:t>▶  TRANSITION — Leads to: D8.1 Video 3 — Swap Markets in India</w:t>
      </w:r>
    </w:p>
    <w:p/>
    <w:p>
      <w:r>
        <w:br w:type="page"/>
      </w:r>
    </w:p>
    <w:p>
      <w:pPr>
        <w:spacing w:before="360"/>
      </w:pPr>
      <w:r>
        <w:rPr>
          <w:b w:val="0"/>
          <w:color w:val="CCCCCC"/>
          <w:sz w:val="16"/>
        </w:rPr>
        <w:t>────────────────────────────────────────────────────────────</w:t>
      </w:r>
    </w:p>
    <w:p>
      <w:r>
        <w:rPr>
          <w:b/>
          <w:color w:val="101C4F"/>
          <w:sz w:val="28"/>
        </w:rPr>
        <w:t>D8.1  ·  Video 3 of 3</w:t>
      </w:r>
    </w:p>
    <w:p>
      <w:r>
        <w:rPr>
          <w:b w:val="0"/>
          <w:color w:val="007A87"/>
          <w:sz w:val="22"/>
        </w:rPr>
        <w:t>Introduction to Swaps</w:t>
      </w:r>
    </w:p>
    <w:p>
      <w:r>
        <w:rPr>
          <w:b/>
          <w:color w:val="101C4F"/>
          <w:sz w:val="20"/>
        </w:rPr>
        <w:t>🔒  INTERNAL MAPPING — D8.1</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D8.1</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Introduction to Swaps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Understand what swaps are, the main types, and their role in the global and Indian financial markets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Relate</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Relate the Indian swap market structure to participants, infrastructure, and regulatory oversight</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D8.1 Video 2 — Comparative Advantage and IRS Cash Flows</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D8.2 — Interest Rate Swaps: Structure and Pricing</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Map of the Indian swap market: Centre = CCIL (Clearing Corporation of India). Surrounding it: Scheduled Commercial Banks (largest participants), Primary Dealers, Insurance companies, Mutual Funds, Foreign Banks, NBFCs, and large Corporates.</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Aria: 'The Indian swap market is primarily an inter-bank OTC market. Banks dominate as both dealers and end-users. CCIL — the Clearing Corporation of India — acts as the central counterparty and trade repository for the rupee swap market.' Motion: 'CCIL was established in 2001 and became mandatory for rupee IRS clearing in 2013 under RBI mandate. Every rupee IRS between eligible participants must be centrally cleared through CCIL.'</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RBI regulatory framework for swaps: (1) RBI Master Direction on Risk Management and Inter-Bank Dealings. (2) Eligible users: banks, primary dealers, large corporates (hedging only). (3) Rupee IRS must be CCIL-cleared. (4) Cross-currency swaps: banks can offer to corporates for genuine hedging. (5) CDS: separate RBI framework, limited participants.</w:t>
            </w:r>
          </w:p>
        </w:tc>
        <w:tc>
          <w:tcPr>
            <w:tcW w:type="dxa" w:w="1994"/>
            <w:shd w:val="clear" w:color="auto" w:fill="FFFFFF"/>
          </w:tcPr>
          <w:p>
            <w:r>
              <w:rPr>
                <w:b w:val="0"/>
                <w:color w:val="404040"/>
                <w:sz w:val="16"/>
              </w:rPr>
              <w:t>RBI OVERSIGHT</w:t>
            </w:r>
          </w:p>
        </w:tc>
        <w:tc>
          <w:tcPr>
            <w:tcW w:type="dxa" w:w="1994"/>
            <w:shd w:val="clear" w:color="auto" w:fill="FFFFFF"/>
          </w:tcPr>
          <w:p>
            <w:r>
              <w:rPr>
                <w:b w:val="0"/>
                <w:color w:val="404040"/>
                <w:sz w:val="16"/>
              </w:rPr>
              <w:t>Aria: 'RBI regulates all rupee-denominated and cross-currency OTC derivatives. The key principle: hedging is permitted for all; speculation is restricted to banks and authorised dealers.' Motion: 'Corporates can enter swaps only for hedging underlying exposures — not for speculation. A corporate borrowing at floating rate can swap to fixed. But a corporate cannot take a speculative swap position on interest rate direction without an underlying exposure.'</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CCIL functions in swap market: (1) Central counterparty — becomes buyer to every seller, seller to every buyer. (2) Novation — original bilateral trade replaced by two CCIL-facing trades. (3) Multilateral netting — reduces settlement obligations by 95%+. (4) Trade repository — maintains record of all reported trades. (5) Margin management — collects initial and variation margin from members.</w:t>
            </w:r>
          </w:p>
        </w:tc>
        <w:tc>
          <w:tcPr>
            <w:tcW w:type="dxa" w:w="1994"/>
            <w:shd w:val="clear" w:color="auto" w:fill="F0F8FA"/>
          </w:tcPr>
          <w:p>
            <w:r>
              <w:rPr>
                <w:b w:val="0"/>
                <w:color w:val="404040"/>
                <w:sz w:val="16"/>
              </w:rPr>
              <w:t>CCIL ROLE</w:t>
            </w:r>
          </w:p>
        </w:tc>
        <w:tc>
          <w:tcPr>
            <w:tcW w:type="dxa" w:w="1994"/>
            <w:shd w:val="clear" w:color="auto" w:fill="F0F8FA"/>
          </w:tcPr>
          <w:p>
            <w:r>
              <w:rPr>
                <w:b w:val="0"/>
                <w:color w:val="404040"/>
                <w:sz w:val="16"/>
              </w:rPr>
              <w:t>Motion: 'CCIL's CCP function eliminates bilateral counterparty risk. When Bank A and Bank B do an IRS, CCIL steps in and becomes the counterparty to both. If Bank B defaults, CCIL absorbs the loss using its settlement guarantee fund — Bank A does not lose anything.' Aria: 'This is novation: the original A–B contract is legally replaced by an A–CCIL contract and a CCIL–B contract. Operations must process this substitution correctly in their trade booking systems.'</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OTC trade reporting in India: All IRS trades reported to CCIL Trade Repository by end of trade date. Cross-currency swaps: reported to RBI CCIL platform. Trade details: counterparties, notional, tenor, fixed rate, floating benchmark, payment frequency. Purpose: systemic risk monitoring by RBI/SEBI.</w:t>
            </w:r>
          </w:p>
        </w:tc>
        <w:tc>
          <w:tcPr>
            <w:tcW w:type="dxa" w:w="1994"/>
            <w:shd w:val="clear" w:color="auto" w:fill="FFFFFF"/>
          </w:tcPr>
          <w:p>
            <w:r>
              <w:rPr>
                <w:b w:val="0"/>
                <w:color w:val="404040"/>
                <w:sz w:val="16"/>
              </w:rPr>
              <w:t>TRADE REPORTING</w:t>
            </w:r>
          </w:p>
        </w:tc>
        <w:tc>
          <w:tcPr>
            <w:tcW w:type="dxa" w:w="1994"/>
            <w:shd w:val="clear" w:color="auto" w:fill="FFFFFF"/>
          </w:tcPr>
          <w:p>
            <w:r>
              <w:rPr>
                <w:b w:val="0"/>
                <w:color w:val="404040"/>
                <w:sz w:val="16"/>
              </w:rPr>
              <w:t>Aria: 'The RBI uses trade repository data to monitor aggregate interest rate risk across the banking system. If banks collectively have a large mismatch between fixed-rate assets and floating-rate liabilities, the TR data reveals it.' Motion: 'Operations teams must ensure every swap trade is reported to CCIL within the deadline — typically same-day. Late or incorrect reporting triggers regulatory scrutiny. The operations team is the last line of defense for correct and timely reporting.'</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Indian swap market summary: RBI-regulated OTC market. Participants: banks, primary dealers, approved corporates (hedging only). CCIL: mandatory CCP for rupee IRS, trade repository. ISDA documentation for bilateral trades. Reporting: same-day to CCIL TR. RBI monitors systemic interest rate risk via TR data.</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Motion: 'Understanding the Indian swap market infrastructure — CCIL, RBI oversight, trade reporting obligations — is as important as understanding the financial mechanics. Operations professionals are responsible for ensuring every swap is properly documented, reported, cleared, and settled within regulatory timelines.' Aria: 'Next: deep-diving into Interest Rate Swaps — the most important swap type for Indian markets.'</w:t>
            </w:r>
          </w:p>
        </w:tc>
      </w:tr>
    </w:tbl>
    <w:p/>
    <w:p>
      <w:r>
        <w:rPr>
          <w:b/>
          <w:color w:val="F0A800"/>
          <w:sz w:val="18"/>
        </w:rPr>
        <w:t>▶  TRANSITION — Leads to: D8.2 — Interest Rate Swaps: Structure and Pricing</w:t>
      </w:r>
    </w:p>
    <w:p/>
    <w:p>
      <w:r>
        <w:br w:type="page"/>
      </w:r>
    </w:p>
    <w:p>
      <w:pPr>
        <w:spacing w:before="360"/>
      </w:pPr>
      <w:r>
        <w:rPr>
          <w:b w:val="0"/>
          <w:color w:val="CCCCCC"/>
          <w:sz w:val="16"/>
        </w:rPr>
        <w:t>────────────────────────────────────────────────────────────</w:t>
      </w:r>
    </w:p>
    <w:p>
      <w:r>
        <w:rPr>
          <w:b/>
          <w:color w:val="101C4F"/>
          <w:sz w:val="28"/>
        </w:rPr>
        <w:t>D8.2  ·  Video 1 of 3</w:t>
      </w:r>
    </w:p>
    <w:p>
      <w:r>
        <w:rPr>
          <w:b w:val="0"/>
          <w:color w:val="007A87"/>
          <w:sz w:val="22"/>
        </w:rPr>
        <w:t>Interest Rate Swaps: Structure and Pricing</w:t>
      </w:r>
    </w:p>
    <w:p>
      <w:r>
        <w:rPr>
          <w:b/>
          <w:color w:val="101C4F"/>
          <w:sz w:val="20"/>
        </w:rPr>
        <w:t>🔒  INTERNAL MAPPING — D8.2</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D8.2</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Interest Rate Swaps: Structure and Pricing</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Understand IRS structure, fixed and floating legs, day count conventions, and basic IRS valuation</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Explain</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Explain IRS structure: fixed leg, floating leg, MIBOR benchmark, and day count conventions</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D8.1 — Introduction to Swaps</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D8.2 Video 2 — IRS Valuation and MTM</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Standard IRS diagram: FIXED LEG (left arrow) — Party A pays fixed rate X% to Party B. FLOATING LEG (right arrow) — Party B pays MIBOR + spread to Party A. Notional ₹500 crore. Tenor 3 years. Payment frequency: semi-annual.</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Kavi: 'An Interest Rate Swap has exactly two legs. The fixed leg: one party pays a predetermined fixed interest rate throughout the swap's life. The floating leg: the other party pays a variable rate that resets periodically based on a benchmark.' Ryo: 'In India, the benchmark for the floating leg of rupee IRS is MIBOR — the Mumbai Inter-Bank Offered Rate. The overnight MIBOR compounded for the payment period is the standard for shorter-tenor swaps.'</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MIBOR (Mumbai Inter-Bank Offered Rate): Published daily by FBIL (Financial Benchmarks India Pvt Ltd) — the authorised benchmark administrator under RBI mandate. Overnight MIBOR for OIS (Overnight Index Swap). Term MIBOR (3-month, 6-month) for standard IRS. MIBOR replaced LIBOR for INR benchmarks globally.</w:t>
            </w:r>
          </w:p>
        </w:tc>
        <w:tc>
          <w:tcPr>
            <w:tcW w:type="dxa" w:w="1994"/>
            <w:shd w:val="clear" w:color="auto" w:fill="FFFFFF"/>
          </w:tcPr>
          <w:p>
            <w:r>
              <w:rPr>
                <w:b w:val="0"/>
                <w:color w:val="404040"/>
                <w:sz w:val="16"/>
              </w:rPr>
              <w:t>MIBOR BENCHMARK</w:t>
            </w:r>
          </w:p>
        </w:tc>
        <w:tc>
          <w:tcPr>
            <w:tcW w:type="dxa" w:w="1994"/>
            <w:shd w:val="clear" w:color="auto" w:fill="FFFFFF"/>
          </w:tcPr>
          <w:p>
            <w:r>
              <w:rPr>
                <w:b w:val="0"/>
                <w:color w:val="404040"/>
                <w:sz w:val="16"/>
              </w:rPr>
              <w:t>Ryo: 'FBIL publishes MIBOR based on actual overnight money market transactions — making it a transaction-based benchmark, more robust than the old quote-based LIBOR.' Kavi: 'For an OIS: the floating rate = overnight MIBOR compounded daily for the payment period. For a 3-month IRS: the 3-month MIBOR is set at the reset date. Understanding which MIBOR applies is critical for accurate cash flow calculation.'</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Day count conventions in Indian IRS: Actual/365 (most common for INR IRS). Actual/360 (used in some USD-denominated structures). 30/360 (some corporate bonds). Example: payment period 91 days, notional ₹100 crore, rate 7%. Cash flow = 7% × 91/365 × 100cr = ₹1.744 crore.</w:t>
            </w:r>
          </w:p>
        </w:tc>
        <w:tc>
          <w:tcPr>
            <w:tcW w:type="dxa" w:w="1994"/>
            <w:shd w:val="clear" w:color="auto" w:fill="F0F8FA"/>
          </w:tcPr>
          <w:p>
            <w:r>
              <w:rPr>
                <w:b w:val="0"/>
                <w:color w:val="404040"/>
                <w:sz w:val="16"/>
              </w:rPr>
              <w:t>DAY COUNT</w:t>
            </w:r>
          </w:p>
        </w:tc>
        <w:tc>
          <w:tcPr>
            <w:tcW w:type="dxa" w:w="1994"/>
            <w:shd w:val="clear" w:color="auto" w:fill="F0F8FA"/>
          </w:tcPr>
          <w:p>
            <w:r>
              <w:rPr>
                <w:b w:val="0"/>
                <w:color w:val="404040"/>
                <w:sz w:val="16"/>
              </w:rPr>
              <w:t>Kavi: 'Day count convention determines how many days go into the rate calculation. Actual/365 means: count the actual number of calendar days in the period, divide by 365.' Ryo: 'Getting the day count wrong is a common operational error. A payment period of 91 days vs 92 days changes the cash flow by ₹100 crore × 7% × 1/365 = ₹192,000. On a large swap book, these small errors accumulate. Every cash flow must be verified against the agreed day count in the ISDA confirmation.'</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Standard IRS terms: Trade date, effective date (typically T+2), maturity date, notional, fixed rate, floating index (MIBOR), spread over MIBOR, payment frequency, day count, business day convention (Following/Modified Following), reset dates.</w:t>
            </w:r>
          </w:p>
        </w:tc>
        <w:tc>
          <w:tcPr>
            <w:tcW w:type="dxa" w:w="1994"/>
            <w:shd w:val="clear" w:color="auto" w:fill="FFFFFF"/>
          </w:tcPr>
          <w:p>
            <w:r>
              <w:rPr>
                <w:b w:val="0"/>
                <w:color w:val="404040"/>
                <w:sz w:val="16"/>
              </w:rPr>
              <w:t>SWAP TERMS</w:t>
            </w:r>
          </w:p>
        </w:tc>
        <w:tc>
          <w:tcPr>
            <w:tcW w:type="dxa" w:w="1994"/>
            <w:shd w:val="clear" w:color="auto" w:fill="FFFFFF"/>
          </w:tcPr>
          <w:p>
            <w:r>
              <w:rPr>
                <w:b w:val="0"/>
                <w:color w:val="404040"/>
                <w:sz w:val="16"/>
              </w:rPr>
              <w:t>Ryo: 'Every term in an IRS confirmation has operational significance. The business day convention — what happens if a payment date falls on a holiday — determines the actual cash flow date.' Kavi: 'Modified Following: if the payment date falls on a holiday, move to the next business day; but if that falls in the next month, move back to the previous business day. This prevents month-end distortions in long-dated swaps.'</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IRS summary: Fixed leg (predetermined rate) vs floating leg (MIBOR-linked). FBIL publishes MIBOR daily. Day count: Actual/365 for INR IRS. Key terms: notional, tenor, fixed rate, MIBOR + spread, payment frequency, reset dates, business day convention. All confirmed in ISDA trade confirmation.</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Kavi: 'The IRS is the most fundamental tool for managing interest rate risk. When an Indian bank wants to lock in long-term funding costs, or a corporate wants certainty on interest payments, the IRS delivers exactly that.' Ryo: 'Next: how do we value an IRS after it is entered? The mark-to-market methodology is essential for both risk management and accounting.'</w:t>
            </w:r>
          </w:p>
        </w:tc>
      </w:tr>
    </w:tbl>
    <w:p/>
    <w:p>
      <w:r>
        <w:rPr>
          <w:b/>
          <w:color w:val="F0A800"/>
          <w:sz w:val="18"/>
        </w:rPr>
        <w:t>▶  TRANSITION — Leads to: D8.2 Video 2 — IRS Valuation and MTM</w:t>
      </w:r>
    </w:p>
    <w:p/>
    <w:p>
      <w:r>
        <w:br w:type="page"/>
      </w:r>
    </w:p>
    <w:p>
      <w:pPr>
        <w:spacing w:before="360"/>
      </w:pPr>
      <w:r>
        <w:rPr>
          <w:b w:val="0"/>
          <w:color w:val="CCCCCC"/>
          <w:sz w:val="16"/>
        </w:rPr>
        <w:t>────────────────────────────────────────────────────────────</w:t>
      </w:r>
    </w:p>
    <w:p>
      <w:r>
        <w:rPr>
          <w:b/>
          <w:color w:val="101C4F"/>
          <w:sz w:val="28"/>
        </w:rPr>
        <w:t>D8.2  ·  Video 2 of 3</w:t>
      </w:r>
    </w:p>
    <w:p>
      <w:r>
        <w:rPr>
          <w:b w:val="0"/>
          <w:color w:val="007A87"/>
          <w:sz w:val="22"/>
        </w:rPr>
        <w:t>Interest Rate Swaps: Structure and Pricing</w:t>
      </w:r>
    </w:p>
    <w:p>
      <w:r>
        <w:rPr>
          <w:b/>
          <w:color w:val="101C4F"/>
          <w:sz w:val="20"/>
        </w:rPr>
        <w:t>🔒  INTERNAL MAPPING — D8.2</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D8.2</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Interest Rate Swaps: Structure and Pricing</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Understand IRS structure, fixed and floating legs, day count conventions, and basic IRS valuation</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Apply</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Apply IRS valuation concepts: present value of legs, par swap rate, and MTM calculation</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D8.2 Video 1 — IRS Structure and MIBOR</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D8.2 Video 3 — IRS in Bank Balance Sheet Management</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RYO at a valuation screen. IRS entered 6 months ago: pay fixed 7%, receive MIBOR, ₹200 crore notional, 5-year original tenor (4.5 years remaining). Current MIBOR = 7.8%. Market fixed rate for equivalent swap today = 7.6%.</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Ryo: 'To value an existing IRS, we compare its fixed rate to the current market rate. Our swap pays 7% fixed. New equivalent swaps in the market pay 7.6% fixed. We are paying BELOW market — so our fixed payer position is in-the-money (valuable).' Aria: 'The MTM value = present value of the difference between our contracted fixed rate and today's market fixed rate, for the remaining cash flows.'</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IRS valuation method: Value of IRS = PV of floating leg − PV of fixed leg (for fixed payer). Simplified: PV of IRS ≈ (Market fixed rate − Contracted fixed rate) × Notional × Annuity factor. (7.6% − 7.0%) × 200cr × PV annuity factor for 4.5 years at 7.6% = 0.6% × 200cr × ~3.75 = ₹4.5 crore.</w:t>
            </w:r>
          </w:p>
        </w:tc>
        <w:tc>
          <w:tcPr>
            <w:tcW w:type="dxa" w:w="1994"/>
            <w:shd w:val="clear" w:color="auto" w:fill="FFFFFF"/>
          </w:tcPr>
          <w:p>
            <w:r>
              <w:rPr>
                <w:b w:val="0"/>
                <w:color w:val="404040"/>
                <w:sz w:val="16"/>
              </w:rPr>
              <w:t>PV CONCEPT</w:t>
            </w:r>
          </w:p>
        </w:tc>
        <w:tc>
          <w:tcPr>
            <w:tcW w:type="dxa" w:w="1994"/>
            <w:shd w:val="clear" w:color="auto" w:fill="FFFFFF"/>
          </w:tcPr>
          <w:p>
            <w:r>
              <w:rPr>
                <w:b w:val="0"/>
                <w:color w:val="404040"/>
                <w:sz w:val="16"/>
              </w:rPr>
              <w:t>Aria: 'The annuity factor converts the annual rate differential into a present value, accounting for the time value of future cash flows.' Ryo: 'We entered paying 7% fixed when the market was also at 7%. Market rates have risen to 7.6%. Our fixed payer swap is now worth approximately ₹4.5 crore — we are paying below-market rates, which is valuable to us.'</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Par swap rate: the fixed rate that makes the IRS have zero initial market value (NPV = 0). Calculated from the MIBOR yield curve (discount factors for each payment date). If par rate = 7%, entering at 7% fixed = zero cost. If you enter above par = negative initial MTM; below par = positive initial MTM.</w:t>
            </w:r>
          </w:p>
        </w:tc>
        <w:tc>
          <w:tcPr>
            <w:tcW w:type="dxa" w:w="1994"/>
            <w:shd w:val="clear" w:color="auto" w:fill="F0F8FA"/>
          </w:tcPr>
          <w:p>
            <w:r>
              <w:rPr>
                <w:b w:val="0"/>
                <w:color w:val="404040"/>
                <w:sz w:val="16"/>
              </w:rPr>
              <w:t>PAR SWAP RATE</w:t>
            </w:r>
          </w:p>
        </w:tc>
        <w:tc>
          <w:tcPr>
            <w:tcW w:type="dxa" w:w="1994"/>
            <w:shd w:val="clear" w:color="auto" w:fill="F0F8FA"/>
          </w:tcPr>
          <w:p>
            <w:r>
              <w:rPr>
                <w:b w:val="0"/>
                <w:color w:val="404040"/>
                <w:sz w:val="16"/>
              </w:rPr>
              <w:t>Ryo: 'The par swap rate is where the deal is fair to both parties at inception — zero NPV. This is the standard quoted rate in the market.' Aria: 'Swap dealers quote fixed rates for standard tenors: 1-year, 2-year, 3-year, 5-year, 10-year. The par rate curve is the foundation for all IRS pricing. Operations teams download this curve daily from CCIL or Bloomberg to compute MTM.'</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MTM accounting under Ind AS / IFRS 9: Fair value hedge accounting. IRS MTM gain/loss recorded in P&amp;L or OCI depending on hedge designation. Daily MTM feeds into margin calls: if MTM moves against a counterparty, variation margin (VM) is called. CCIL collects VM daily for cleared swaps.</w:t>
            </w:r>
          </w:p>
        </w:tc>
        <w:tc>
          <w:tcPr>
            <w:tcW w:type="dxa" w:w="1994"/>
            <w:shd w:val="clear" w:color="auto" w:fill="FFFFFF"/>
          </w:tcPr>
          <w:p>
            <w:r>
              <w:rPr>
                <w:b w:val="0"/>
                <w:color w:val="404040"/>
                <w:sz w:val="16"/>
              </w:rPr>
              <w:t>MTM ACCOUNTING</w:t>
            </w:r>
          </w:p>
        </w:tc>
        <w:tc>
          <w:tcPr>
            <w:tcW w:type="dxa" w:w="1994"/>
            <w:shd w:val="clear" w:color="auto" w:fill="FFFFFF"/>
          </w:tcPr>
          <w:p>
            <w:r>
              <w:rPr>
                <w:b w:val="0"/>
                <w:color w:val="404040"/>
                <w:sz w:val="16"/>
              </w:rPr>
              <w:t>Aria: 'Under Indian Accounting Standards (Ind AS 109 / IFRS 9), hedging instruments like IRS must be marked to market. The MTM gain or loss affects financial statements — critical for banks' reported profits and capital ratios.' Ryo: 'For CCIL-cleared swaps: variation margin is exchanged daily. If our IRS MTM gains ₹1 crore, CCIL credits our margin account. If it loses ₹1 crore, we must fund ₹1 crore to CCIL by morning. Operations processes these daily VM calls.'</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IRS valuation: MTM = PV(floating leg) − PV(fixed leg). Simplified: rate differential × notional × annuity factor. Par swap rate = zero NPV fixed rate from yield curve. MTM changes daily with MIBOR curve moves. Daily variation margin at CCIL. Accounting: fair value under Ind AS 109.</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Aria: 'IRS valuation is not just theory — it drives daily cash flows (variation margin), determines hedge effectiveness for accounting, and sets capital requirements for banks.' Ryo: 'Operations teams receive the daily MTM P&amp;L report and must reconcile it against counterparty statements. Discrepancies in MTM must be resolved through the dispute resolution process — any unresolved dispute above threshold must be escalated to senior management within 5 business days per ISDA protocols.'</w:t>
            </w:r>
          </w:p>
        </w:tc>
      </w:tr>
    </w:tbl>
    <w:p/>
    <w:p>
      <w:r>
        <w:rPr>
          <w:b/>
          <w:color w:val="F0A800"/>
          <w:sz w:val="18"/>
        </w:rPr>
        <w:t>▶  TRANSITION — Leads to: D8.2 Video 3 — IRS in Bank Balance Sheet Management</w:t>
      </w:r>
    </w:p>
    <w:p/>
    <w:p>
      <w:r>
        <w:br w:type="page"/>
      </w:r>
    </w:p>
    <w:p>
      <w:pPr>
        <w:spacing w:before="360"/>
      </w:pPr>
      <w:r>
        <w:rPr>
          <w:b w:val="0"/>
          <w:color w:val="CCCCCC"/>
          <w:sz w:val="16"/>
        </w:rPr>
        <w:t>────────────────────────────────────────────────────────────</w:t>
      </w:r>
    </w:p>
    <w:p>
      <w:r>
        <w:rPr>
          <w:b/>
          <w:color w:val="101C4F"/>
          <w:sz w:val="28"/>
        </w:rPr>
        <w:t>D8.2  ·  Video 3 of 3</w:t>
      </w:r>
    </w:p>
    <w:p>
      <w:r>
        <w:rPr>
          <w:b w:val="0"/>
          <w:color w:val="007A87"/>
          <w:sz w:val="22"/>
        </w:rPr>
        <w:t>Interest Rate Swaps: Structure and Pricing</w:t>
      </w:r>
    </w:p>
    <w:p>
      <w:r>
        <w:rPr>
          <w:b/>
          <w:color w:val="101C4F"/>
          <w:sz w:val="20"/>
        </w:rPr>
        <w:t>🔒  INTERNAL MAPPING — D8.2</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D8.2</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Interest Rate Swaps: Structure and Pricing</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Understand IRS structure, fixed and floating legs, day count conventions, and basic IRS valuation</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Relate</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Relate IRS to bank ALM — how banks use IRS to manage balance sheet interest rate risk</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D8.2 Video 2 — IRS Valuation and MTM</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D8.3 — Currency Swaps</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Bank balance sheet: Assets = ₹5,000 crore long-term fixed-rate loans (home loans at 8.5% fixed for 20 years). Liabilities = ₹5,000 crore short-term floating deposits (MIBOR + 0.5%, repricing every 3 months). Problem: if MIBOR rises, deposit cost rises but loan income stays fixed → net interest margin (NIM) compresses.</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Aria: 'This is the classic bank ALM (Asset-Liability Management) problem. Banks borrow short and lend long — they are structurally exposed to rising rates.' Kavi: 'The risk: MIBOR rises from 6.5% to 8%. Deposit cost rises from 7% to 8.5%. Loan income stays at 8.5%. NIM falls from 1.5% to zero. ₹5,000 crore × 1.5% = ₹75 crore NIM lost. An IRS solves this.'</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IRS hedge: Bank enters IRS — pays floating MIBOR + 0.5%, receives fixed 8.0%. Notional ₹5,000 crore. Effect: floating deposits cost MIBOR + 0.5% (paid to depositors). IRS: pay MIBOR + 0.5% (to swap counterparty), receive 8% (from swap counterparty). Net funding cost = 8% (fixed). Loan income = 8.5% fixed. Locked NIM = 0.5%.</w:t>
            </w:r>
          </w:p>
        </w:tc>
        <w:tc>
          <w:tcPr>
            <w:tcW w:type="dxa" w:w="1994"/>
            <w:shd w:val="clear" w:color="auto" w:fill="FFFFFF"/>
          </w:tcPr>
          <w:p>
            <w:r>
              <w:rPr>
                <w:b w:val="0"/>
                <w:color w:val="404040"/>
                <w:sz w:val="16"/>
              </w:rPr>
              <w:t>ALM HEDGE</w:t>
            </w:r>
          </w:p>
        </w:tc>
        <w:tc>
          <w:tcPr>
            <w:tcW w:type="dxa" w:w="1994"/>
            <w:shd w:val="clear" w:color="auto" w:fill="FFFFFF"/>
          </w:tcPr>
          <w:p>
            <w:r>
              <w:rPr>
                <w:b w:val="0"/>
                <w:color w:val="404040"/>
                <w:sz w:val="16"/>
              </w:rPr>
              <w:t>Kavi: 'After the IRS hedge, the bank has effectively converted its floating-rate liabilities into fixed-rate liabilities at 8%. NIM is now locked at 8.5% − 8% = 0.5% regardless of where MIBOR goes.' Aria: 'If MIBOR rises to 10%: deposits cost 10.5% — but the IRS pays the bank (10.5% − 8%) = 2.5%. Net funding cost = 10.5% − 2.5% = 8% fixed. The IRS perfectly hedges the MIBOR risk on the liability side.'</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RBI ALM requirements: Banks must submit Structural Liquidity Statement and Interest Rate Sensitivity Report to RBI monthly. Reports show: gaps between rate-sensitive assets and liabilities across time buckets. IRS positions reduce the gap and hence the reported interest rate risk in the banking book.</w:t>
            </w:r>
          </w:p>
        </w:tc>
        <w:tc>
          <w:tcPr>
            <w:tcW w:type="dxa" w:w="1994"/>
            <w:shd w:val="clear" w:color="auto" w:fill="F0F8FA"/>
          </w:tcPr>
          <w:p>
            <w:r>
              <w:rPr>
                <w:b w:val="0"/>
                <w:color w:val="404040"/>
                <w:sz w:val="16"/>
              </w:rPr>
              <w:t>RBI ALM REPORTING</w:t>
            </w:r>
          </w:p>
        </w:tc>
        <w:tc>
          <w:tcPr>
            <w:tcW w:type="dxa" w:w="1994"/>
            <w:shd w:val="clear" w:color="auto" w:fill="F0F8FA"/>
          </w:tcPr>
          <w:p>
            <w:r>
              <w:rPr>
                <w:b w:val="0"/>
                <w:color w:val="404040"/>
                <w:sz w:val="16"/>
              </w:rPr>
              <w:t>Aria: 'RBI requires banks to manage and report interest rate risk in the banking book (IRRBB). Banks with large repricing mismatches receive supervisory scrutiny.' Kavi: 'The IRS hedge reduces the bank's net interest rate risk position. This is reported in the interest rate sensitivity analysis — showing the net exposure after all hedging instruments. Operations provides the IRS data feed for this regulatory report.'</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Hedge accounting for ALM IRS (Ind AS 109): Hedge relationship documented — hedging instrument (IRS) and hedged item (floating deposits). Prospective effectiveness test: regression showing IRS offsets deposit rate changes. Retrospective test: 80–125% effectiveness range. If effective: MTM on IRS goes to OCI (not P&amp;L) — reducing earnings volatility.</w:t>
            </w:r>
          </w:p>
        </w:tc>
        <w:tc>
          <w:tcPr>
            <w:tcW w:type="dxa" w:w="1994"/>
            <w:shd w:val="clear" w:color="auto" w:fill="FFFFFF"/>
          </w:tcPr>
          <w:p>
            <w:r>
              <w:rPr>
                <w:b w:val="0"/>
                <w:color w:val="404040"/>
                <w:sz w:val="16"/>
              </w:rPr>
              <w:t>HEDGE ACCOUNTING</w:t>
            </w:r>
          </w:p>
        </w:tc>
        <w:tc>
          <w:tcPr>
            <w:tcW w:type="dxa" w:w="1994"/>
            <w:shd w:val="clear" w:color="auto" w:fill="FFFFFF"/>
          </w:tcPr>
          <w:p>
            <w:r>
              <w:rPr>
                <w:b w:val="0"/>
                <w:color w:val="404040"/>
                <w:sz w:val="16"/>
              </w:rPr>
              <w:t>Kavi: 'Without hedge accounting, the daily MTM swings of a ₹5,000 crore IRS would create enormous volatility in the P&amp;L statement — even if the economic position is perfectly hedged.' Aria: 'Hedge accounting allows the IRS MTM to bypass P&amp;L and go directly to Other Comprehensive Income (OCI). This reflects the economic reality: the IRS is a hedge, not a speculative position. Operations teams maintain hedge documentation and run quarterly effectiveness tests.'</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IRS in bank ALM: Converts floating-rate liabilities to fixed → locks NIM. Reduces IRRBB reported to RBI. Hedge accounting: IRS MTM to OCI (not P&amp;L), reduces earnings volatility. ISDA documentation + CCIL clearing required. Operations: daily MTM, VM calls, hedge effectiveness testing, regulatory reporting.</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Kavi: 'Every large Indian bank has a substantial IRS book — managing hundreds of crores in notional swaps as part of its ALM strategy. Operations teams at these banks process daily variation margin calls, monitor hedge effectiveness, and prepare the regulatory submissions that demonstrate sound interest rate risk management.' Aria: 'Next: currency swaps — where the challenges multiply because now two currencies, two principal amounts, and two interest rate markets are all involved simultaneously.'</w:t>
            </w:r>
          </w:p>
        </w:tc>
      </w:tr>
    </w:tbl>
    <w:p/>
    <w:p>
      <w:r>
        <w:rPr>
          <w:b/>
          <w:color w:val="F0A800"/>
          <w:sz w:val="18"/>
        </w:rPr>
        <w:t>▶  TRANSITION — Leads to: D8.3 — Currency Swaps</w:t>
      </w:r>
    </w:p>
    <w:p/>
    <w:p>
      <w:r>
        <w:br w:type="page"/>
      </w:r>
    </w:p>
    <w:p>
      <w:pPr>
        <w:spacing w:before="360"/>
      </w:pPr>
      <w:r>
        <w:rPr>
          <w:b w:val="0"/>
          <w:color w:val="CCCCCC"/>
          <w:sz w:val="16"/>
        </w:rPr>
        <w:t>────────────────────────────────────────────────────────────</w:t>
      </w:r>
    </w:p>
    <w:p>
      <w:r>
        <w:rPr>
          <w:b/>
          <w:color w:val="101C4F"/>
          <w:sz w:val="28"/>
        </w:rPr>
        <w:t>D8.3  ·  Video 1 of 3</w:t>
      </w:r>
    </w:p>
    <w:p>
      <w:r>
        <w:rPr>
          <w:b w:val="0"/>
          <w:color w:val="007A87"/>
          <w:sz w:val="22"/>
        </w:rPr>
        <w:t>Currency Swaps</w:t>
      </w:r>
    </w:p>
    <w:p>
      <w:r>
        <w:rPr>
          <w:b/>
          <w:color w:val="101C4F"/>
          <w:sz w:val="20"/>
        </w:rPr>
        <w:t>🔒  INTERNAL MAPPING — D8.3</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D8.3</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Currency Swaps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Understand currency swap structure, cash flow mechanics, and their use by Indian corporates for ECB hedging</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Explain</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Explain currency swap structure: principal exchange, coupon payments, and varieties</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D8.2 — Interest Rate Swaps</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D8.3 Video 2 — ECB Hedging with Cross-Currency Swaps</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Currency swap diagram: At inception — Party A gives USD 10 million to Party B; Party B gives ₹830 million (at spot 83) to Party A. During life — Party A pays SOFR on USD 10M to Party B; Party B pays 7% on ₹830M to Party A. At maturity — principal re-exchange at same rate.</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Kavi: 'A currency swap is fundamentally different from an IRS because the principal amounts ARE exchanged — at inception and at maturity. This is unlike an IRS where the notional is just a reference amount.' Ryo: 'Three exchange events: (1) Initial principal exchange at spot rate on effective date. (2) Periodic interest payments in respective currencies during the life. (3) Final principal re-exchange at the same spot rate used at inception — regardless of where exchange rates are at maturity.'</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Three currency swap varieties: (1) Fixed-for-Fixed: pay fixed USD, receive fixed INR. (2) Fixed-for-Floating: pay fixed USD, receive floating MIBOR INR. (3) Floating-for-Floating: pay SOFR USD, receive MIBOR INR (basis swap). Each serves different hedging needs.</w:t>
            </w:r>
          </w:p>
        </w:tc>
        <w:tc>
          <w:tcPr>
            <w:tcW w:type="dxa" w:w="1994"/>
            <w:shd w:val="clear" w:color="auto" w:fill="FFFFFF"/>
          </w:tcPr>
          <w:p>
            <w:r>
              <w:rPr>
                <w:b w:val="0"/>
                <w:color w:val="404040"/>
                <w:sz w:val="16"/>
              </w:rPr>
              <w:t>THREE VARIETIES</w:t>
            </w:r>
          </w:p>
        </w:tc>
        <w:tc>
          <w:tcPr>
            <w:tcW w:type="dxa" w:w="1994"/>
            <w:shd w:val="clear" w:color="auto" w:fill="FFFFFF"/>
          </w:tcPr>
          <w:p>
            <w:r>
              <w:rPr>
                <w:b w:val="0"/>
                <w:color w:val="404040"/>
                <w:sz w:val="16"/>
              </w:rPr>
              <w:t>Ryo: 'A fixed-for-fixed cross-currency swap is the simplest: both legs have predetermined cash flows for the entire life. An Indian corporate that has borrowed USD at 5% fixed can enter a fixed-for-fixed swap to pay INR at 8% and receive USD 5% — converting the USD debt to INR.' Kavi: 'The fixed-for-floating or basis swap is used when one party has floating-rate debt and wants floating income in the other currency to match.'</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Why principal is exchanged in currency swaps (unlike IRS): IRS: both legs same currency — netting makes physical exchange unnecessary. Currency swap: legs in different currencies — cannot net across currencies. Indian company receiving USD interest cannot use it to pay INR interest — currencies must actually flow. Principal exchange ensures both parties have the correct currency to service their local obligations.</w:t>
            </w:r>
          </w:p>
        </w:tc>
        <w:tc>
          <w:tcPr>
            <w:tcW w:type="dxa" w:w="1994"/>
            <w:shd w:val="clear" w:color="auto" w:fill="F0F8FA"/>
          </w:tcPr>
          <w:p>
            <w:r>
              <w:rPr>
                <w:b w:val="0"/>
                <w:color w:val="404040"/>
                <w:sz w:val="16"/>
              </w:rPr>
              <w:t>WHY PRINCIPAL EXCHANGE</w:t>
            </w:r>
          </w:p>
        </w:tc>
        <w:tc>
          <w:tcPr>
            <w:tcW w:type="dxa" w:w="1994"/>
            <w:shd w:val="clear" w:color="auto" w:fill="F0F8FA"/>
          </w:tcPr>
          <w:p>
            <w:r>
              <w:rPr>
                <w:b w:val="0"/>
                <w:color w:val="404040"/>
                <w:sz w:val="16"/>
              </w:rPr>
              <w:t>Kavi: 'The principal exchange is not optional — it is fundamental. An Indian company that receives USD at inception uses it to repay USD debt (or fund USD operations). At maturity, it receives back INR principal from the swap to repay the INR interest it has been paying.' Ryo: 'This is why currency swaps carry exchange rate risk: the INR/USD rate at the time of the periodic coupons affects the economic value of payments, even though principal re-exchange is at the agreed rate.'</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Cross-currency basis swap: SOFR USD floating for MIBOR INR floating. Basis = the spread added to SOFR to make the deal fair (reflects relative demand for the two currencies in the swap market). If USD funding demand is high: SOFR − 30bps vs MIBOR. Basis can be positive or negative depending on liquidity conditions.</w:t>
            </w:r>
          </w:p>
        </w:tc>
        <w:tc>
          <w:tcPr>
            <w:tcW w:type="dxa" w:w="1994"/>
            <w:shd w:val="clear" w:color="auto" w:fill="FFFFFF"/>
          </w:tcPr>
          <w:p>
            <w:r>
              <w:rPr>
                <w:b w:val="0"/>
                <w:color w:val="404040"/>
                <w:sz w:val="16"/>
              </w:rPr>
              <w:t>CROSS CURRENCY BASIS</w:t>
            </w:r>
          </w:p>
        </w:tc>
        <w:tc>
          <w:tcPr>
            <w:tcW w:type="dxa" w:w="1994"/>
            <w:shd w:val="clear" w:color="auto" w:fill="FFFFFF"/>
          </w:tcPr>
          <w:p>
            <w:r>
              <w:rPr>
                <w:b w:val="0"/>
                <w:color w:val="404040"/>
                <w:sz w:val="16"/>
              </w:rPr>
              <w:t>Ryo: 'The cross-currency basis reflects the supply-demand imbalance for currencies in the swap market. During stress periods (like COVID), the USD basis widened dramatically — USD was scarce in swap markets globally, making it expensive to borrow dollars via cross-currency swaps.' Kavi: 'Indian banks and corporates monitor the basis closely: it determines the actual all-in cost of swapping from USD to INR or vice versa.'</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Currency swap summary: Principal exchanged at inception AND maturity. Three varieties: fixed/fixed, fixed/floating, floating/floating. Purpose: convert currency of debt or assets. Cross-currency basis: cost of accessing foreign currency via swaps. Exchange rate risk: periodic coupon flows in foreign currency.</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Kavi: 'Currency swaps are essential tools for Indian companies accessing international capital markets. An ECB (External Commercial Borrowing) in USD is the most common — and the cross-currency swap is the standard hedge to convert USD liability to INR.' Ryo: 'Next: how Indian corporates specifically use cross-currency swaps to hedge their ECB borrowings — with a detailed worked example.'</w:t>
            </w:r>
          </w:p>
        </w:tc>
      </w:tr>
    </w:tbl>
    <w:p/>
    <w:p>
      <w:r>
        <w:rPr>
          <w:b/>
          <w:color w:val="F0A800"/>
          <w:sz w:val="18"/>
        </w:rPr>
        <w:t>▶  TRANSITION — Leads to: D8.3 Video 2 — ECB Hedging with Cross-Currency Swaps</w:t>
      </w:r>
    </w:p>
    <w:p/>
    <w:p>
      <w:r>
        <w:br w:type="page"/>
      </w:r>
    </w:p>
    <w:p>
      <w:pPr>
        <w:spacing w:before="360"/>
      </w:pPr>
      <w:r>
        <w:rPr>
          <w:b w:val="0"/>
          <w:color w:val="CCCCCC"/>
          <w:sz w:val="16"/>
        </w:rPr>
        <w:t>────────────────────────────────────────────────────────────</w:t>
      </w:r>
    </w:p>
    <w:p>
      <w:r>
        <w:rPr>
          <w:b/>
          <w:color w:val="101C4F"/>
          <w:sz w:val="28"/>
        </w:rPr>
        <w:t>D8.3  ·  Video 2 of 3</w:t>
      </w:r>
    </w:p>
    <w:p>
      <w:r>
        <w:rPr>
          <w:b w:val="0"/>
          <w:color w:val="007A87"/>
          <w:sz w:val="22"/>
        </w:rPr>
        <w:t>Currency Swaps</w:t>
      </w:r>
    </w:p>
    <w:p>
      <w:r>
        <w:rPr>
          <w:b/>
          <w:color w:val="101C4F"/>
          <w:sz w:val="20"/>
        </w:rPr>
        <w:t>🔒  INTERNAL MAPPING — D8.3</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D8.3</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Currency Swaps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Understand currency swap structure, cash flow mechanics, and their use by Indian corporates for ECB hedging</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Apply</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Apply cross-currency swap mechanics to hedge an Indian corporate ECB from USD to INR</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D8.3 Video 1 — Currency Swap Structure</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D8.3 Video 3 — Currency Swap Operations and Risk</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Indian infrastructure company borrows $100 million ECB at SOFR + 150bps (approx 6.8% total) for 5 years. USD/INR spot = 83.50. Company needs INR for India project — cannot afford to take unhedged USD currency risk.</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Ryo: 'The company has borrowed in USD but earns revenues in INR. If USD/INR moves from 83.50 to 92 over 5 years (INR depreciates), the USD principal repayment balloons from ₹835 crore to ₹920 crore — an 85 crore loss purely from exchange rate movement.' Kavi: 'The cross-currency swap converts this USD liability into INR completely — fixing both the interest cost and the principal repayment in INR terms.'</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Cross-currency swap: Company receives USD 100M from bank (to repay ECB principal position). Company pays ₹835 crore to bank (receives INR for project use). During life: Company pays 8.5% INR fixed on ₹835 crore quarterly. Company receives SOFR + 150bps on USD 100M quarterly. At maturity: Company re-exchanges ₹835 crore back for USD 100M (regardless of spot rate).</w:t>
            </w:r>
          </w:p>
        </w:tc>
        <w:tc>
          <w:tcPr>
            <w:tcW w:type="dxa" w:w="1994"/>
            <w:shd w:val="clear" w:color="auto" w:fill="FFFFFF"/>
          </w:tcPr>
          <w:p>
            <w:r>
              <w:rPr>
                <w:b w:val="0"/>
                <w:color w:val="404040"/>
                <w:sz w:val="16"/>
              </w:rPr>
              <w:t>SWAP STRUCTURE</w:t>
            </w:r>
          </w:p>
        </w:tc>
        <w:tc>
          <w:tcPr>
            <w:tcW w:type="dxa" w:w="1994"/>
            <w:shd w:val="clear" w:color="auto" w:fill="FFFFFF"/>
          </w:tcPr>
          <w:p>
            <w:r>
              <w:rPr>
                <w:b w:val="0"/>
                <w:color w:val="404040"/>
                <w:sz w:val="16"/>
              </w:rPr>
              <w:t>Kavi: 'Breakdown: USD ECB interest = SOFR + 150bps (company pays to ECB lender). USD swap receipt = SOFR + 150bps (company receives from swap bank). These exactly offset — USD interest is fully covered.' Ryo: 'INR payment = 8.5% fixed on ₹835 crore = ₹70.98 crore per year. This is the company's true INR borrowing cost — as if it had borrowed ₹835 crore at 8.5% in India. The swap has converted the ECB into a synthetic INR loan.'</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ECB + swap vs direct INR borrowing: ECB rate SOFR + 150bps ≈ 6.8%. INR swap rate = 8.5%. All-in cost through ECB + swap = 8.5% INR (plus transaction costs). Direct INR bond rate for same company = 9.2%. Saving via ECB route = 0.7% per year on ₹835 crore = ₹5.85 crore annual saving.</w:t>
            </w:r>
          </w:p>
        </w:tc>
        <w:tc>
          <w:tcPr>
            <w:tcW w:type="dxa" w:w="1994"/>
            <w:shd w:val="clear" w:color="auto" w:fill="F0F8FA"/>
          </w:tcPr>
          <w:p>
            <w:r>
              <w:rPr>
                <w:b w:val="0"/>
                <w:color w:val="404040"/>
                <w:sz w:val="16"/>
              </w:rPr>
              <w:t>COST COMPARISON</w:t>
            </w:r>
          </w:p>
        </w:tc>
        <w:tc>
          <w:tcPr>
            <w:tcW w:type="dxa" w:w="1994"/>
            <w:shd w:val="clear" w:color="auto" w:fill="F0F8FA"/>
          </w:tcPr>
          <w:p>
            <w:r>
              <w:rPr>
                <w:b w:val="0"/>
                <w:color w:val="404040"/>
                <w:sz w:val="16"/>
              </w:rPr>
              <w:t>Ryo: 'This is why Indian companies borrow in USD — not because they want USD exposure, but because USD markets are deeper and cheaper. The swap converts USD back to INR while retaining the cheaper borrowing rate.' Kavi: 'The ₹5.85 crore annual saving on a 5-year swap = ₹29.25 crore in total savings vs direct INR borrowing. This justifies the complexity and operational cost of the ECB + swap structure.'</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RBI ECB regulations for hedging: ECB under automatic route: up to $750 million per financial year. Mandatory hedging requirement: 100% of ECB exposure must be hedged for certain borrowers. Cross-currency swap is an approved hedging instrument under RBI Master Direction on ECB.</w:t>
            </w:r>
          </w:p>
        </w:tc>
        <w:tc>
          <w:tcPr>
            <w:tcW w:type="dxa" w:w="1994"/>
            <w:shd w:val="clear" w:color="auto" w:fill="FFFFFF"/>
          </w:tcPr>
          <w:p>
            <w:r>
              <w:rPr>
                <w:b w:val="0"/>
                <w:color w:val="404040"/>
                <w:sz w:val="16"/>
              </w:rPr>
              <w:t>RBI APPROVAL</w:t>
            </w:r>
          </w:p>
        </w:tc>
        <w:tc>
          <w:tcPr>
            <w:tcW w:type="dxa" w:w="1994"/>
            <w:shd w:val="clear" w:color="auto" w:fill="FFFFFF"/>
          </w:tcPr>
          <w:p>
            <w:r>
              <w:rPr>
                <w:b w:val="0"/>
                <w:color w:val="404040"/>
                <w:sz w:val="16"/>
              </w:rPr>
              <w:t>Kavi: 'RBI has made hedging mandatory for certain categories of ECB borrowers — infrastructure companies, real estate (for affordable housing), etc. A company that borrows ECB without hedging (where required) is in violation of RBI regulations.' Ryo: 'Operations at the bank arranging the swap must verify: (1) ECB loan documentation. (2) RBI approval number. (3) Hedging mandate compliance. (4) Swap notional equals or covers ECB principal. The regulatory documentation chain is extensive.'</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ECB + cross-currency swap: Receive USD at inception (for ECB repayment). Pay INR during life (synthetic INR borrowing). Re-exchange principal at maturity at original rate (USD currency risk fully eliminated). Cost comparison: ECB + swap often cheaper than domestic INR bonds. RBI requires mandatory hedging for certain ECB categories.</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Kavi: 'The ECB + cross-currency swap structure is one of the most common complex financial transactions seen in Indian corporate treasury. Operations teams at banks and corporates process millions of crores in these transactions annually.' Ryo: 'Next: the operational and risk management dimensions of currency swaps — settlement risk, exposure calculation, and accounting treatment.'</w:t>
            </w:r>
          </w:p>
        </w:tc>
      </w:tr>
    </w:tbl>
    <w:p/>
    <w:p>
      <w:r>
        <w:rPr>
          <w:b/>
          <w:color w:val="F0A800"/>
          <w:sz w:val="18"/>
        </w:rPr>
        <w:t>▶  TRANSITION — Leads to: D8.3 Video 3 — Currency Swap Operations and Risk</w:t>
      </w:r>
    </w:p>
    <w:p/>
    <w:p>
      <w:r>
        <w:br w:type="page"/>
      </w:r>
    </w:p>
    <w:p>
      <w:pPr>
        <w:spacing w:before="360"/>
      </w:pPr>
      <w:r>
        <w:rPr>
          <w:b w:val="0"/>
          <w:color w:val="CCCCCC"/>
          <w:sz w:val="16"/>
        </w:rPr>
        <w:t>────────────────────────────────────────────────────────────</w:t>
      </w:r>
    </w:p>
    <w:p>
      <w:r>
        <w:rPr>
          <w:b/>
          <w:color w:val="101C4F"/>
          <w:sz w:val="28"/>
        </w:rPr>
        <w:t>D8.3  ·  Video 3 of 3</w:t>
      </w:r>
    </w:p>
    <w:p>
      <w:r>
        <w:rPr>
          <w:b w:val="0"/>
          <w:color w:val="007A87"/>
          <w:sz w:val="22"/>
        </w:rPr>
        <w:t>Currency Swaps</w:t>
      </w:r>
    </w:p>
    <w:p>
      <w:r>
        <w:rPr>
          <w:b/>
          <w:color w:val="101C4F"/>
          <w:sz w:val="20"/>
        </w:rPr>
        <w:t>🔒  INTERNAL MAPPING — D8.3</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D8.3</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Currency Swaps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Understand currency swap structure, cash flow mechanics, and their use by Indian corporates for ECB hedging</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Relate</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Relate currency swap operations to settlement risk, Herstatt risk, CLS, and accounting</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D8.3 Video 2 — ECB Hedging with Cross-Currency Swaps</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D8.4 — Credit Default Swaps</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Currency swap settlement on a coupon date: Indian bank must pay USD 2.5M to German bank (SOFR interest on principal). German bank must pay ₹17.5 crore to Indian bank (INR interest). These payments cross time zones — German bank in CET, Indian bank in IST.</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Aria: 'Currency swap settlements are operationally more complex than IRS settlements because two currencies must flow across different settlement systems, potentially in different time zones.' Motion: 'The key risk: Indian bank sends its USD payment to New York. German bank then goes bankrupt before sending the INR payment back. The Indian bank has paid out but received nothing. This is Herstatt risk — named after a German bank that failed exactly this way in 1974.'</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Herstatt Bank failure (1974): Bank received Deutsche Marks from counterparties in German banking hours. Before DM → USD conversions completed in New York (US markets not yet open), German regulator closed the bank. Counterparties had delivered but never received. Total loss: ~$200 million equivalent. Created concept of settlement risk in FX/cross-currency swaps.</w:t>
            </w:r>
          </w:p>
        </w:tc>
        <w:tc>
          <w:tcPr>
            <w:tcW w:type="dxa" w:w="1994"/>
            <w:shd w:val="clear" w:color="auto" w:fill="FFFFFF"/>
          </w:tcPr>
          <w:p>
            <w:r>
              <w:rPr>
                <w:b w:val="0"/>
                <w:color w:val="404040"/>
                <w:sz w:val="16"/>
              </w:rPr>
              <w:t>HERSTATT RISK</w:t>
            </w:r>
          </w:p>
        </w:tc>
        <w:tc>
          <w:tcPr>
            <w:tcW w:type="dxa" w:w="1994"/>
            <w:shd w:val="clear" w:color="auto" w:fill="FFFFFF"/>
          </w:tcPr>
          <w:p>
            <w:r>
              <w:rPr>
                <w:b w:val="0"/>
                <w:color w:val="404040"/>
                <w:sz w:val="16"/>
              </w:rPr>
              <w:t>Motion: 'Herstatt risk (now called Foreign Exchange Settlement Risk or FX Settlement Risk) is the risk that one party to a currency transaction delivers its leg but the counterparty defaults before completing its leg.' Aria: 'The 1974 failure triggered decades of regulatory reform, culminating in CLS — Continuous Linked Settlement — which eliminates this risk for large FX transactions.'</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CLS (Continuous Linked Settlement): Multilateral FX settlement system operating across 18 major currencies. Both legs of an FX or currency swap settlement processed simultaneously (payment-vs-payment — PvP). Member banks fund both sides to CLS. CLS distributes only after both sides received. Eliminates principal settlement risk.</w:t>
            </w:r>
          </w:p>
        </w:tc>
        <w:tc>
          <w:tcPr>
            <w:tcW w:type="dxa" w:w="1994"/>
            <w:shd w:val="clear" w:color="auto" w:fill="F0F8FA"/>
          </w:tcPr>
          <w:p>
            <w:r>
              <w:rPr>
                <w:b w:val="0"/>
                <w:color w:val="404040"/>
                <w:sz w:val="16"/>
              </w:rPr>
              <w:t>CLS SYSTEM</w:t>
            </w:r>
          </w:p>
        </w:tc>
        <w:tc>
          <w:tcPr>
            <w:tcW w:type="dxa" w:w="1994"/>
            <w:shd w:val="clear" w:color="auto" w:fill="F0F8FA"/>
          </w:tcPr>
          <w:p>
            <w:r>
              <w:rPr>
                <w:b w:val="0"/>
                <w:color w:val="404040"/>
                <w:sz w:val="16"/>
              </w:rPr>
              <w:t>Aria: 'CLS processes $6+ trillion per day in FX settlements. For currency swaps between CLS members, the principal exchange at inception and maturity can be settled via CLS — eliminating Herstatt risk.' Motion: 'For INR: India is not yet a CLS currency. INR legs settle through CCIL (India's domestic system). USD leg via CHIPS or Fedwire. Operations must ensure both legs are tracked and confirmed separately — bilateral reconciliation required.'</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Currency swap accounting under Ind AS 21 and 109: Hedge designation — cash flow hedge of ECB principal and interest. Effectiveness test. INR-equivalent of USD cash flows hedged. MTM of swap: exchange rate changes go to OCI (not P&amp;L) if hedge effective. At settlement: released from OCI to P&amp;L to offset ECB cash flow impact.</w:t>
            </w:r>
          </w:p>
        </w:tc>
        <w:tc>
          <w:tcPr>
            <w:tcW w:type="dxa" w:w="1994"/>
            <w:shd w:val="clear" w:color="auto" w:fill="FFFFFF"/>
          </w:tcPr>
          <w:p>
            <w:r>
              <w:rPr>
                <w:b w:val="0"/>
                <w:color w:val="404040"/>
                <w:sz w:val="16"/>
              </w:rPr>
              <w:t>ACCOUNTING TREATMENT</w:t>
            </w:r>
          </w:p>
        </w:tc>
        <w:tc>
          <w:tcPr>
            <w:tcW w:type="dxa" w:w="1994"/>
            <w:shd w:val="clear" w:color="auto" w:fill="FFFFFF"/>
          </w:tcPr>
          <w:p>
            <w:r>
              <w:rPr>
                <w:b w:val="0"/>
                <w:color w:val="404040"/>
                <w:sz w:val="16"/>
              </w:rPr>
              <w:t>Motion: 'Currency swap accounting is complex because it spans two standards: Ind AS 21 (foreign currency translation) and Ind AS 109 (hedge accounting). The MTM of the currency swap offsets the P&amp;L impact of translating the USD ECB at each balance sheet date.' Aria: 'Hedge documentation must be prepared before the first quarterly reporting period. Operations teams work with the accounting team to ensure every swap is correctly classified and the effectiveness documentation is in order.'</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Currency swap operations: Settlement risk (Herstatt risk) from time zone mismatch. CLS eliminates principal risk for major currency pairs. INR not CLS-eligible — CCIL handles INR leg, USD via CHIPS. Accounting: cash flow hedge under Ind AS 109 — MTM to OCI, released to P&amp;L at settlement. Two-currency reconciliation required.</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Motion: 'Currency swap operations combine FX operations expertise with derivatives expertise — making it one of the most complex areas of bank operations. Professionals who master cross-currency swap operations are highly valued because errors can be extremely costly across two currencies, two settlement systems, and complex accounting treatment.' Aria: 'Next: Credit Default Swaps — the instruments at the heart of the 2008 financial crisis and now carefully regulated in India.'</w:t>
            </w:r>
          </w:p>
        </w:tc>
      </w:tr>
    </w:tbl>
    <w:p/>
    <w:p>
      <w:r>
        <w:rPr>
          <w:b/>
          <w:color w:val="F0A800"/>
          <w:sz w:val="18"/>
        </w:rPr>
        <w:t>▶  TRANSITION — Leads to: D8.4 — Credit Default Swaps</w:t>
      </w:r>
    </w:p>
    <w:p/>
    <w:p>
      <w:r>
        <w:br w:type="page"/>
      </w:r>
    </w:p>
    <w:p>
      <w:pPr>
        <w:spacing w:before="360"/>
      </w:pPr>
      <w:r>
        <w:rPr>
          <w:b w:val="0"/>
          <w:color w:val="CCCCCC"/>
          <w:sz w:val="16"/>
        </w:rPr>
        <w:t>────────────────────────────────────────────────────────────</w:t>
      </w:r>
    </w:p>
    <w:p>
      <w:r>
        <w:rPr>
          <w:b/>
          <w:color w:val="101C4F"/>
          <w:sz w:val="28"/>
        </w:rPr>
        <w:t>D8.4  ·  Video 1 of 3</w:t>
      </w:r>
    </w:p>
    <w:p>
      <w:r>
        <w:rPr>
          <w:b w:val="0"/>
          <w:color w:val="007A87"/>
          <w:sz w:val="22"/>
        </w:rPr>
        <w:t>Credit Default Swaps (CDS)</w:t>
      </w:r>
    </w:p>
    <w:p>
      <w:r>
        <w:rPr>
          <w:b/>
          <w:color w:val="101C4F"/>
          <w:sz w:val="20"/>
        </w:rPr>
        <w:t>🔒  INTERNAL MAPPING — D8.4</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D8.4</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Credit Default Swaps (CDS)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Understand CDS structure, credit events, settlement, and the Indian CDS market framework</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Explain</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Explain CDS structure: protection buyer, protection seller, premium, credit events, and settlement</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D8.3 — Currency Swaps</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D8.4 Video 2 — CDS Pricing and Credit Spreads</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CDS diagram: Protection Buyer (Bank A, holds Reliance bond) pays CDS spread (e.g., 80bps per year) to Protection Seller (Insurer). If Reliance defaults: Seller pays the loss to Buyer. If no default: Buyer just pays the annual spread for 5 years.</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Kavi: 'A Credit Default Swap is essentially credit insurance. The protection buyer owns a bond or has credit exposure to a reference entity — say Reliance Industries. They pay an annual premium (CDS spread, in basis points) to the protection seller.' Ryo: 'In return, if the reference entity experiences a credit event — default, bankruptcy, restructuring — the protection seller compensates the buyer for the loss. If no credit event occurs, the buyer just keeps paying the spread until maturity.'</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ISDA-defined credit events: (1) Bankruptcy — reference entity files for insolvency. (2) Failure to Pay — missed coupon or principal payment above threshold. (3) Restructuring — debt terms changed unfavourably (reduced interest, extended maturity). (4) Obligation Acceleration. (5) Obligation Default. (6) Repudiation/Moratorium (for sovereign CDS). India-specific: RBI's stressed asset framework can trigger restructuring events.</w:t>
            </w:r>
          </w:p>
        </w:tc>
        <w:tc>
          <w:tcPr>
            <w:tcW w:type="dxa" w:w="1994"/>
            <w:shd w:val="clear" w:color="auto" w:fill="FFFFFF"/>
          </w:tcPr>
          <w:p>
            <w:r>
              <w:rPr>
                <w:b w:val="0"/>
                <w:color w:val="404040"/>
                <w:sz w:val="16"/>
              </w:rPr>
              <w:t>CREDIT EVENTS</w:t>
            </w:r>
          </w:p>
        </w:tc>
        <w:tc>
          <w:tcPr>
            <w:tcW w:type="dxa" w:w="1994"/>
            <w:shd w:val="clear" w:color="auto" w:fill="FFFFFF"/>
          </w:tcPr>
          <w:p>
            <w:r>
              <w:rPr>
                <w:b w:val="0"/>
                <w:color w:val="404040"/>
                <w:sz w:val="16"/>
              </w:rPr>
              <w:t>Ryo: 'The six ISDA credit events are precisely defined to avoid disputes. A credit event must be a public or publicly verifiable event. The ISDA Determinations Committee (DC) adjudicates whether a credit event has occurred when there is a dispute.' Kavi: 'In India, the Yes Bank AT1 bond write-down in 2020 and the IL&amp;FS restructuring raised questions about whether they constituted credit events under various CDS contracts.'</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CDS settlement methods: Physical settlement — buyer delivers the defaulted bond to seller. Seller pays par value (100). Net payment = seller pays buyer (par − recovery price). Cash settlement — auction-based. ISDA CDS auction determines recovery value. Net payment = (1 − recovery rate) × notional. Example: Notional ₹100cr, recovery 40% → settlement = ₹60 crore.</w:t>
            </w:r>
          </w:p>
        </w:tc>
        <w:tc>
          <w:tcPr>
            <w:tcW w:type="dxa" w:w="1994"/>
            <w:shd w:val="clear" w:color="auto" w:fill="F0F8FA"/>
          </w:tcPr>
          <w:p>
            <w:r>
              <w:rPr>
                <w:b w:val="0"/>
                <w:color w:val="404040"/>
                <w:sz w:val="16"/>
              </w:rPr>
              <w:t>SETTLEMENT TYPES</w:t>
            </w:r>
          </w:p>
        </w:tc>
        <w:tc>
          <w:tcPr>
            <w:tcW w:type="dxa" w:w="1994"/>
            <w:shd w:val="clear" w:color="auto" w:fill="F0F8FA"/>
          </w:tcPr>
          <w:p>
            <w:r>
              <w:rPr>
                <w:b w:val="0"/>
                <w:color w:val="404040"/>
                <w:sz w:val="16"/>
              </w:rPr>
              <w:t>Kavi: 'Cash settlement via ISDA auction has replaced physical settlement for most CDS contracts. The auction establishes a single, market-determined recovery price — preventing buyers from driving up prices by seeking to deliver the cheapest bond.' Ryo: 'Recovery rates in India have historically been low — often 20–40% for corporate defaults, lower for infrastructure SPVs. This means CDS protection payments are substantial when triggered.'</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CDS use cases: (1) Hedging — bond holder buys CDS protection on the same issuer. (2) Speculation/naked CDS — buying protection without owning the underlying bond (betting on credit deterioration). (3) Relative value — buy protection on one issuer, sell on another (view on credit spread differential). India: RBI restricts naked CDS for certain participants.</w:t>
            </w:r>
          </w:p>
        </w:tc>
        <w:tc>
          <w:tcPr>
            <w:tcW w:type="dxa" w:w="1994"/>
            <w:shd w:val="clear" w:color="auto" w:fill="FFFFFF"/>
          </w:tcPr>
          <w:p>
            <w:r>
              <w:rPr>
                <w:b w:val="0"/>
                <w:color w:val="404040"/>
                <w:sz w:val="16"/>
              </w:rPr>
              <w:t>NAKED VS HEDGING</w:t>
            </w:r>
          </w:p>
        </w:tc>
        <w:tc>
          <w:tcPr>
            <w:tcW w:type="dxa" w:w="1994"/>
            <w:shd w:val="clear" w:color="auto" w:fill="FFFFFF"/>
          </w:tcPr>
          <w:p>
            <w:r>
              <w:rPr>
                <w:b w:val="0"/>
                <w:color w:val="404040"/>
                <w:sz w:val="16"/>
              </w:rPr>
              <w:t>Ryo: 'The 2008 financial crisis demonstrated the systemic risk of naked CDS — AIG sold CDS protection on trillions of mortgage securities without holding reserves. When the credit events occurred, AIG could not pay and required a $185 billion US government bailout.' Kavi: 'India learned from 2008. RBI introduced CDS in 2011 but with strict restrictions: only users with underlying exposure (hedgers) can buy protection in certain CDS. Market makers — scheduled commercial banks — are the only sellers of protection.'</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CDS summary: Protection buyer pays spread, receives payment on credit event. Protection seller collects spread, pays on credit event. Six ISDA credit events. Settlement: ISDA auction (cash) or physical delivery. India: RBI-regulated, banks as market makers, restricted to hedgers for certain classes. Settlement: CCIL for Indian CDS.</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Kavi: 'CDS transformed credit markets by separating credit risk from interest rate risk. A bank can lend to a corporate and simultaneously buy CDS protection — retaining the client relationship while offloading the credit risk.' Ryo: 'In India, the CDS market remains small and relatively illiquid compared to global markets. RBI is gradually expanding it — most recently opening CDS to allow mutual funds to sell protection on AA and above corporate bonds to increase market depth.'</w:t>
            </w:r>
          </w:p>
        </w:tc>
      </w:tr>
    </w:tbl>
    <w:p/>
    <w:p>
      <w:r>
        <w:rPr>
          <w:b/>
          <w:color w:val="F0A800"/>
          <w:sz w:val="18"/>
        </w:rPr>
        <w:t>▶  TRANSITION — Leads to: D8.4 Video 2 — CDS Pricing and Credit Spreads</w:t>
      </w:r>
    </w:p>
    <w:p/>
    <w:p>
      <w:r>
        <w:br w:type="page"/>
      </w:r>
    </w:p>
    <w:p>
      <w:pPr>
        <w:spacing w:before="360"/>
      </w:pPr>
      <w:r>
        <w:rPr>
          <w:b w:val="0"/>
          <w:color w:val="CCCCCC"/>
          <w:sz w:val="16"/>
        </w:rPr>
        <w:t>────────────────────────────────────────────────────────────</w:t>
      </w:r>
    </w:p>
    <w:p>
      <w:r>
        <w:rPr>
          <w:b/>
          <w:color w:val="101C4F"/>
          <w:sz w:val="28"/>
        </w:rPr>
        <w:t>D8.4  ·  Video 2 of 3</w:t>
      </w:r>
    </w:p>
    <w:p>
      <w:r>
        <w:rPr>
          <w:b w:val="0"/>
          <w:color w:val="007A87"/>
          <w:sz w:val="22"/>
        </w:rPr>
        <w:t>Credit Default Swaps (CDS)</w:t>
      </w:r>
    </w:p>
    <w:p>
      <w:r>
        <w:rPr>
          <w:b/>
          <w:color w:val="101C4F"/>
          <w:sz w:val="20"/>
        </w:rPr>
        <w:t>🔒  INTERNAL MAPPING — D8.4</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D8.4</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Credit Default Swaps (CDS)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Understand CDS structure, credit events, settlement, and the Indian CDS market framework</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Apply</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Apply CDS spread mechanics: pricing, P&amp;L calculation, and credit spread changes</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D8.4 Video 1 — CDS Structure and Credit Events</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D8.4 Video 3 — CDS in Indian Markets and Operations</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RYO buys 5-year CDS protection on ABC Corporate, notional ₹50 crore. CDS spread = 120bps per year. Annual premium = 120bps × ₹50cr = ₹60 lakh per year. Pays quarterly = ₹15 lakh per quarter.</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Ryo: 'CDS spreads are quoted in basis points per year. 120bps on ₹50 crore = ₹60 lakh annual premium. The protection buyer pays this premium for the entire 5 years if no credit event occurs — total outflow = ₹300 lakh (₹3 crore).' Aria: 'In exchange, if ABC Corporate defaults, the buyer receives (1 − recovery) × ₹50 crore. With 40% recovery, that is ₹30 crore. Net profit = ₹30 crore − ₹3 crore premiums paid = ₹27 crore.'</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CDS spread determinants: (1) Credit quality of reference entity — lower rating = higher spread. (2) Recovery rate expectations — lower expected recovery = higher spread. (3) Risk appetite and market conditions — spreads widen during stress. (4) Tenor — longer tenor = higher spread (more time for a credit event). (5) Sector/industry risk. Investment grade (AAA–BBB): 20–80bps. Sub-investment grade: 200–600bps+.</w:t>
            </w:r>
          </w:p>
        </w:tc>
        <w:tc>
          <w:tcPr>
            <w:tcW w:type="dxa" w:w="1994"/>
            <w:shd w:val="clear" w:color="auto" w:fill="FFFFFF"/>
          </w:tcPr>
          <w:p>
            <w:r>
              <w:rPr>
                <w:b w:val="0"/>
                <w:color w:val="404040"/>
                <w:sz w:val="16"/>
              </w:rPr>
              <w:t>SPREAD DETERMINANTS</w:t>
            </w:r>
          </w:p>
        </w:tc>
        <w:tc>
          <w:tcPr>
            <w:tcW w:type="dxa" w:w="1994"/>
            <w:shd w:val="clear" w:color="auto" w:fill="FFFFFF"/>
          </w:tcPr>
          <w:p>
            <w:r>
              <w:rPr>
                <w:b w:val="0"/>
                <w:color w:val="404040"/>
                <w:sz w:val="16"/>
              </w:rPr>
              <w:t>Aria: 'CDS spreads are real-time market indicators of credit quality. Rising spreads mean market participants see increasing default risk. When YES Bank CDS spreads widened from 100bps to 600bps in early 2020, it was a warning signal that the market knew something was wrong.' Ryo: 'CDS spreads are often more timely than credit ratings. Rating agencies revise ratings slowly; CDS spreads react instantly to new information.'</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CDS MTM calculation: If spreads widen after you buy protection at 120bps, your CDS gains value (you locked in cheaper protection). If spreads tighten, your CDS loses value. Example: protection bought at 120bps. 6 months later, same credit's CDS = 200bps. MTM gain ≈ (200−120bps) × duration × notional.</w:t>
            </w:r>
          </w:p>
        </w:tc>
        <w:tc>
          <w:tcPr>
            <w:tcW w:type="dxa" w:w="1994"/>
            <w:shd w:val="clear" w:color="auto" w:fill="F0F8FA"/>
          </w:tcPr>
          <w:p>
            <w:r>
              <w:rPr>
                <w:b w:val="0"/>
                <w:color w:val="404040"/>
                <w:sz w:val="16"/>
              </w:rPr>
              <w:t>MTM CDS</w:t>
            </w:r>
          </w:p>
        </w:tc>
        <w:tc>
          <w:tcPr>
            <w:tcW w:type="dxa" w:w="1994"/>
            <w:shd w:val="clear" w:color="auto" w:fill="F0F8FA"/>
          </w:tcPr>
          <w:p>
            <w:r>
              <w:rPr>
                <w:b w:val="0"/>
                <w:color w:val="404040"/>
                <w:sz w:val="16"/>
              </w:rPr>
              <w:t>Ryo: 'CDS can be traded to profit from credit spread changes without waiting for a credit event. If you buy protection at 120bps and spreads widen to 200bps, you can sell protection at 200bps — locking in an 80bps gain for the remaining maturity.' Aria: 'Risk management: a bank with a large CDS protection position marks it to market daily. Rising spreads on the reference entity = MTM gain for protection buyer. This gain partially offsets the MTM loss on the bond being hedged.'</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CDS index products: iTraxx Asia ex-Japan index — basket of 40 investment-grade Asian corporate names. Investor buys protection on the index = portfolio credit hedge. If any name in the index defaults: partial payment. India-specific: no standardised Indian CDS index currently — bilateral reference entity CDS only.</w:t>
            </w:r>
          </w:p>
        </w:tc>
        <w:tc>
          <w:tcPr>
            <w:tcW w:type="dxa" w:w="1994"/>
            <w:shd w:val="clear" w:color="auto" w:fill="FFFFFF"/>
          </w:tcPr>
          <w:p>
            <w:r>
              <w:rPr>
                <w:b w:val="0"/>
                <w:color w:val="404040"/>
                <w:sz w:val="16"/>
              </w:rPr>
              <w:t>CDS INDEX</w:t>
            </w:r>
          </w:p>
        </w:tc>
        <w:tc>
          <w:tcPr>
            <w:tcW w:type="dxa" w:w="1994"/>
            <w:shd w:val="clear" w:color="auto" w:fill="FFFFFF"/>
          </w:tcPr>
          <w:p>
            <w:r>
              <w:rPr>
                <w:b w:val="0"/>
                <w:color w:val="404040"/>
                <w:sz w:val="16"/>
              </w:rPr>
              <w:t>Aria: 'CDS indices allow a single trade to provide protection against a portfolio of credit risks. A bank with exposure to 20 Indian corporates could theoretically buy iTraxx protection to partially hedge its book — more efficient than 20 individual CDS trades.' Ryo: 'The absence of a liquid Indian CDS index is one reason Indian credit risk management remains less sophisticated than US or European markets. RBI and SEBI have discussed developing an Indian CDS index but it remains aspirational.'</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CDS spread pricing: function of credit quality, recovery expectations, maturity, market conditions. Spread widening = protection buyer gains. Spread tightening = protection buyer loses. MTM daily. CDS as credit indicator: spreads more timely than ratings. Indian CDS: limited liquidity, bilateral only, no index product yet.</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Aria: 'CDS spreads are a window into market-based credit risk assessment — more current than ratings, more specific than bond yields. Operations teams monitoring a bank's CDS book must track credit spread moves, daily MTM, premium payment schedules, and credit event monitoring for every reference entity.' Ryo: 'Next: the full operational lifecycle of a CDS in the Indian market — from trade capture to credit event management.'</w:t>
            </w:r>
          </w:p>
        </w:tc>
      </w:tr>
    </w:tbl>
    <w:p/>
    <w:p>
      <w:r>
        <w:rPr>
          <w:b/>
          <w:color w:val="F0A800"/>
          <w:sz w:val="18"/>
        </w:rPr>
        <w:t>▶  TRANSITION — Leads to: D8.4 Video 3 — CDS in Indian Markets and Operations</w:t>
      </w:r>
    </w:p>
    <w:p/>
    <w:p>
      <w:r>
        <w:br w:type="page"/>
      </w:r>
    </w:p>
    <w:p>
      <w:pPr>
        <w:spacing w:before="360"/>
      </w:pPr>
      <w:r>
        <w:rPr>
          <w:b w:val="0"/>
          <w:color w:val="CCCCCC"/>
          <w:sz w:val="16"/>
        </w:rPr>
        <w:t>────────────────────────────────────────────────────────────</w:t>
      </w:r>
    </w:p>
    <w:p>
      <w:r>
        <w:rPr>
          <w:b/>
          <w:color w:val="101C4F"/>
          <w:sz w:val="28"/>
        </w:rPr>
        <w:t>D8.4  ·  Video 3 of 3</w:t>
      </w:r>
    </w:p>
    <w:p>
      <w:r>
        <w:rPr>
          <w:b w:val="0"/>
          <w:color w:val="007A87"/>
          <w:sz w:val="22"/>
        </w:rPr>
        <w:t>Credit Default Swaps (CDS)</w:t>
      </w:r>
    </w:p>
    <w:p>
      <w:r>
        <w:rPr>
          <w:b/>
          <w:color w:val="101C4F"/>
          <w:sz w:val="20"/>
        </w:rPr>
        <w:t>🔒  INTERNAL MAPPING — D8.4</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D8.4</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Credit Default Swaps (CDS)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Understand CDS structure, credit events, settlement, and the Indian CDS market framework</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Relate</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Relate CDS to Indian market context: RBI framework, CCIL clearing, and credit event operations</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D8.4 Video 2 — CDS Pricing and Credit Spreads</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D8.5 — Equity Swaps and Total Return Swaps</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RBI CDS Master Direction 2022 framework: Eligible reference entities: scheduled commercial banks, primary dealers, NBFC-UL (upper layer). Eligible protection sellers: scheduled commercial banks, insurance companies, mutual funds. Eligible protection buyers: all entities with underlying credit exposure.</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Aria: 'RBI has carefully controlled the Indian CDS market since its 2011 launch. The 2022 revised framework expanded eligible reference entities and seller categories — acknowledging that the initial 2011 rules were too restrictive for market development.' Motion: 'Key principle: no naked CDS for non-market-maker entities. A mutual fund that buys protection must hold the underlying bond. Only banks (market makers) can hold CDS without the underlying.'</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CCIL CDS clearing: CCIL established as CCP for CDS trades in India. Trade registration: same day. Netting of protection bought and sold on same reference entity. Initial margin: CDS-specific SPAN-like margin. Variation margin: daily based on spread changes. Settlement on credit events: CCIL coordinates ISDA auction process.</w:t>
            </w:r>
          </w:p>
        </w:tc>
        <w:tc>
          <w:tcPr>
            <w:tcW w:type="dxa" w:w="1994"/>
            <w:shd w:val="clear" w:color="auto" w:fill="FFFFFF"/>
          </w:tcPr>
          <w:p>
            <w:r>
              <w:rPr>
                <w:b w:val="0"/>
                <w:color w:val="404040"/>
                <w:sz w:val="16"/>
              </w:rPr>
              <w:t>CCIL CDS CLEARING</w:t>
            </w:r>
          </w:p>
        </w:tc>
        <w:tc>
          <w:tcPr>
            <w:tcW w:type="dxa" w:w="1994"/>
            <w:shd w:val="clear" w:color="auto" w:fill="FFFFFF"/>
          </w:tcPr>
          <w:p>
            <w:r>
              <w:rPr>
                <w:b w:val="0"/>
                <w:color w:val="404040"/>
                <w:sz w:val="16"/>
              </w:rPr>
              <w:t>Motion: 'CCIL clearing for CDS reduces counterparty risk and improves transparency. Before CCIL clearing, CDS were purely bilateral — if the protection seller defaulted at the same time as the reference entity, the buyer received nothing — compounding the credit crisis.' Aria: 'CCIL uses a modified Value-at-Risk approach for CDS margin, calibrated to credit spread volatility. Initial margin covers 5-day spread moves at 99% confidence. Operations must post IM to CCIL when entering CDS positions.'</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Credit event operational process: Step 1: Credit event publicly occurs (company misses payment). Step 2: ISDA Determinations Committee confirms credit event. Step 3: DC triggers ISDA auction process (7–10 days after credit event). Step 4: Auction establishes recovery rate. Step 5: Protection sellers pay (1 − recovery) × notional to buyers. Step 6: CCIL coordinates settlement for cleared CDS.</w:t>
            </w:r>
          </w:p>
        </w:tc>
        <w:tc>
          <w:tcPr>
            <w:tcW w:type="dxa" w:w="1994"/>
            <w:shd w:val="clear" w:color="auto" w:fill="F0F8FA"/>
          </w:tcPr>
          <w:p>
            <w:r>
              <w:rPr>
                <w:b w:val="0"/>
                <w:color w:val="404040"/>
                <w:sz w:val="16"/>
              </w:rPr>
              <w:t>CREDIT EVENT OPS</w:t>
            </w:r>
          </w:p>
        </w:tc>
        <w:tc>
          <w:tcPr>
            <w:tcW w:type="dxa" w:w="1994"/>
            <w:shd w:val="clear" w:color="auto" w:fill="F0F8FA"/>
          </w:tcPr>
          <w:p>
            <w:r>
              <w:rPr>
                <w:b w:val="0"/>
                <w:color w:val="404040"/>
                <w:sz w:val="16"/>
              </w:rPr>
              <w:t>Aria: 'The operational window after a credit event is intense. Operations must: identify all CDS positions where the defaulted entity is the reference name. Verify trade confirmations. Monitor ISDA DC announcements. Prepare for auction participation if holding physical bonds. Track settlement obligations.' Motion: 'Timeline is tight: ISDA auction typically occurs within 30 days of the DC's credit event determination. Operations missing this deadline loses the right to participate in auction settlement.'</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India credit event examples: IL&amp;FS (2018) — infrastructure conglomerate, ₹99,000 crore default. Yes Bank AT1 bonds (2020) — written down, credit event for AT1-referenced CDS. DHFL (2019) — housing finance, largest retail bond default. Each created credit event questions under CDS documentation. ISDA DC adjudicated disputed cases.</w:t>
            </w:r>
          </w:p>
        </w:tc>
        <w:tc>
          <w:tcPr>
            <w:tcW w:type="dxa" w:w="1994"/>
            <w:shd w:val="clear" w:color="auto" w:fill="FFFFFF"/>
          </w:tcPr>
          <w:p>
            <w:r>
              <w:rPr>
                <w:b w:val="0"/>
                <w:color w:val="404040"/>
                <w:sz w:val="16"/>
              </w:rPr>
              <w:t>INDIA CASES</w:t>
            </w:r>
          </w:p>
        </w:tc>
        <w:tc>
          <w:tcPr>
            <w:tcW w:type="dxa" w:w="1994"/>
            <w:shd w:val="clear" w:color="auto" w:fill="FFFFFF"/>
          </w:tcPr>
          <w:p>
            <w:r>
              <w:rPr>
                <w:b w:val="0"/>
                <w:color w:val="404040"/>
                <w:sz w:val="16"/>
              </w:rPr>
              <w:t>Motion: 'Each of these cases tested India's nascent CDS market. IL&amp;FS had structured debt across 130+ subsidiaries — defining exactly which entity constituted the reference name was complex.' Aria: 'Yes Bank AT1 write-down triggered debate: is an RBI-directed write-down a credit event under ISDA definitions? The ISDA DC determined it was — as it met the Failure to Pay definition for the AT1 bonds. Operations teams had to work quickly to capture all affected positions.'</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Indian CDS framework: RBI Master Direction 2022. Eligible participants: banks, insurance, MFs. CCIL clearing mandatory. Credit events: ISDA definitions apply. Operations: credit event monitoring, ISDA DC tracking, auction process, CCIL settlement coordination. India CDS market: growing but still small vs global peers.</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Motion: 'The Indian CDS market is at an early stage of development. As India's corporate bond market deepens and credit risk management becomes more sophisticated, the CDS market will grow — requiring more operations professionals with deep expertise in this complex instrument.' Aria: 'Next: Equity Swaps and Total Return Swaps — instruments used by fund managers and hedge funds to access market returns without owning securities directly.'</w:t>
            </w:r>
          </w:p>
        </w:tc>
      </w:tr>
    </w:tbl>
    <w:p/>
    <w:p>
      <w:r>
        <w:rPr>
          <w:b/>
          <w:color w:val="F0A800"/>
          <w:sz w:val="18"/>
        </w:rPr>
        <w:t>▶  TRANSITION — Leads to: D8.5 — Equity Swaps and Total Return Swaps</w:t>
      </w:r>
    </w:p>
    <w:p/>
    <w:p>
      <w:r>
        <w:br w:type="page"/>
      </w:r>
    </w:p>
    <w:p>
      <w:pPr>
        <w:spacing w:before="360"/>
      </w:pPr>
      <w:r>
        <w:rPr>
          <w:b w:val="0"/>
          <w:color w:val="CCCCCC"/>
          <w:sz w:val="16"/>
        </w:rPr>
        <w:t>────────────────────────────────────────────────────────────</w:t>
      </w:r>
    </w:p>
    <w:p>
      <w:r>
        <w:rPr>
          <w:b/>
          <w:color w:val="101C4F"/>
          <w:sz w:val="28"/>
        </w:rPr>
        <w:t>D8.5  ·  Video 1 of 3</w:t>
      </w:r>
    </w:p>
    <w:p>
      <w:r>
        <w:rPr>
          <w:b w:val="0"/>
          <w:color w:val="007A87"/>
          <w:sz w:val="22"/>
        </w:rPr>
        <w:t>Equity Swaps and Total Return Swaps</w:t>
      </w:r>
    </w:p>
    <w:p>
      <w:r>
        <w:rPr>
          <w:b/>
          <w:color w:val="101C4F"/>
          <w:sz w:val="20"/>
        </w:rPr>
        <w:t>🔒  INTERNAL MAPPING — D8.5</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D8.5</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Equity Swaps and Total Return Swaps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Understand equity swap and TRS structures, their use for synthetic exposure, and regulatory implications in India</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Explain</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Explain equity swap and total return swap structure, cash flows, and rationale</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D8.4 — Credit Default Swaps</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D8.5 Video 2 — TRS for Synthetic Long/Short Positions</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Equity Swap diagram: Fund Manager pays fixed rate (7%) to Bank. Bank pays total return of Nifty 50 (price appreciation + dividends) to Fund Manager. Notional ₹100 crore. 1-year tenor.</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Kavi: 'An equity swap exchanges the return of an equity index or stock for a fixed or floating rate. One party pays periodic interest (like an IRS) and the other pays the actual return of the equity — including both price changes and dividends.' Ryo: 'The fund manager effectively gets Nifty 50 exposure without buying shares directly. The bank replicates the exposure by holding the actual shares (or hedging via futures) on its book.'</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Equity swap cash flows: Quarterly settlement. Q1: Nifty up 3%. Bank pays 3% × ₹100cr = ₹3cr (equity return) + dividends received. Fund Manager pays 7%/4 × ₹100cr = ₹1.75cr (fixed). Net: bank pays ₹1.25cr to fund. Q2: Nifty down 2%. Fund Manager pays 2% × ₹100cr = ₹2cr (negative equity return) + 1.75cr (fixed) = ₹3.75cr to bank.</w:t>
            </w:r>
          </w:p>
        </w:tc>
        <w:tc>
          <w:tcPr>
            <w:tcW w:type="dxa" w:w="1994"/>
            <w:shd w:val="clear" w:color="auto" w:fill="FFFFFF"/>
          </w:tcPr>
          <w:p>
            <w:r>
              <w:rPr>
                <w:b w:val="0"/>
                <w:color w:val="404040"/>
                <w:sz w:val="16"/>
              </w:rPr>
              <w:t>EQUITY SWAP CASHFLOWS</w:t>
            </w:r>
          </w:p>
        </w:tc>
        <w:tc>
          <w:tcPr>
            <w:tcW w:type="dxa" w:w="1994"/>
            <w:shd w:val="clear" w:color="auto" w:fill="FFFFFF"/>
          </w:tcPr>
          <w:p>
            <w:r>
              <w:rPr>
                <w:b w:val="0"/>
                <w:color w:val="404040"/>
                <w:sz w:val="16"/>
              </w:rPr>
              <w:t>Ryo: 'When equities fall, both legs run against the equity receiver: they pay the negative return AND pay the fixed rate. This reflects the full economic exposure to the index.' Kavi: 'The notional is reset at each settlement to the current index level (total return reset). This prevents the exposure from growing unboundedly in an extended bull market.'</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Total Return Swap (TRS): protection buyer (TRS payer) pays total return of reference asset (bonds + coupon + price change) to TRS receiver. TRS receiver pays LIBOR/MIBOR + spread. TRS payer effectively shorts the asset — they transfer all economic exposure to receiver.</w:t>
            </w:r>
          </w:p>
        </w:tc>
        <w:tc>
          <w:tcPr>
            <w:tcW w:type="dxa" w:w="1994"/>
            <w:shd w:val="clear" w:color="auto" w:fill="F0F8FA"/>
          </w:tcPr>
          <w:p>
            <w:r>
              <w:rPr>
                <w:b w:val="0"/>
                <w:color w:val="404040"/>
                <w:sz w:val="16"/>
              </w:rPr>
              <w:t>TRS STRUCTURE</w:t>
            </w:r>
          </w:p>
        </w:tc>
        <w:tc>
          <w:tcPr>
            <w:tcW w:type="dxa" w:w="1994"/>
            <w:shd w:val="clear" w:color="auto" w:fill="F0F8FA"/>
          </w:tcPr>
          <w:p>
            <w:r>
              <w:rPr>
                <w:b w:val="0"/>
                <w:color w:val="404040"/>
                <w:sz w:val="16"/>
              </w:rPr>
              <w:t>Kavi: 'TRS is used for both equity and credit assets. Unlike a CDS (which only covers credit risk), a TRS transfers ALL return — both credit and market risk.' Ryo: 'A TRS receiver gets the total economic exposure of an asset without owning it. A bank with a large corporate bond can do a TRS to transfer credit and market risk to a hedge fund — which gains the bond return without appearing as a holder in public records.'</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Equity swap and TRS use cases: (1) Synthetic index access — fund manager gaining Nifty exposure without buying all 50 stocks. (2) Leverage — TRS receiver gets full asset exposure with only margin posted. (3) Short selling — TRS payer is effectively short the asset. (4) Regulatory arbitrage — access exposure without triggering ownership reporting thresholds. (5) Tax efficiency — swap return may be taxed differently from direct ownership.</w:t>
            </w:r>
          </w:p>
        </w:tc>
        <w:tc>
          <w:tcPr>
            <w:tcW w:type="dxa" w:w="1994"/>
            <w:shd w:val="clear" w:color="auto" w:fill="FFFFFF"/>
          </w:tcPr>
          <w:p>
            <w:r>
              <w:rPr>
                <w:b w:val="0"/>
                <w:color w:val="404040"/>
                <w:sz w:val="16"/>
              </w:rPr>
              <w:t>USES</w:t>
            </w:r>
          </w:p>
        </w:tc>
        <w:tc>
          <w:tcPr>
            <w:tcW w:type="dxa" w:w="1994"/>
            <w:shd w:val="clear" w:color="auto" w:fill="FFFFFF"/>
          </w:tcPr>
          <w:p>
            <w:r>
              <w:rPr>
                <w:b w:val="0"/>
                <w:color w:val="404040"/>
                <w:sz w:val="16"/>
              </w:rPr>
              <w:t>Ryo: 'Use case 4 is controversial. Bill Hwang's Archegos Capital in 2021 used TRS to accumulate massive concentrated positions in US stocks through banks — avoiding the 5% ownership disclosure requirement. When positions unwound, it caused $10 billion+ losses at Credit Suisse and Nomura.' Kavi: 'In India, SEBI has become increasingly alert to TRS being used to conceal beneficial ownership of Indian stocks, especially around FPI investment limits.'</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Equity swap: pay fixed/floating, receive equity total return. TRS: pay all asset returns + capital gains to receiver; receiver pays LIBOR + spread. Uses: synthetic exposure, leverage, shorting, tax efficiency. Risks: leverage magnification, counterparty risk, potential regulatory arbitrage. India: SEBI monitoring TRS for beneficial ownership issues.</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Kavi: 'Equity swaps and TRS are sophisticated instruments that blur the lines between ownership and exposure. Operations professionals must understand the economic substance regardless of legal form.' Ryo: 'The Archegos case showed the systemic risk of opaque TRS positions. Regulators globally — including SEBI — have subsequently tightened reporting requirements for equity swaps and TRS.'</w:t>
            </w:r>
          </w:p>
        </w:tc>
      </w:tr>
    </w:tbl>
    <w:p/>
    <w:p>
      <w:r>
        <w:rPr>
          <w:b/>
          <w:color w:val="F0A800"/>
          <w:sz w:val="18"/>
        </w:rPr>
        <w:t>▶  TRANSITION — Leads to: D8.5 Video 2 — TRS for Synthetic Long/Short Positions</w:t>
      </w:r>
    </w:p>
    <w:p/>
    <w:p>
      <w:r>
        <w:br w:type="page"/>
      </w:r>
    </w:p>
    <w:p>
      <w:pPr>
        <w:spacing w:before="360"/>
      </w:pPr>
      <w:r>
        <w:rPr>
          <w:b w:val="0"/>
          <w:color w:val="CCCCCC"/>
          <w:sz w:val="16"/>
        </w:rPr>
        <w:t>────────────────────────────────────────────────────────────</w:t>
      </w:r>
    </w:p>
    <w:p>
      <w:r>
        <w:rPr>
          <w:b/>
          <w:color w:val="101C4F"/>
          <w:sz w:val="28"/>
        </w:rPr>
        <w:t>D8.5  ·  Video 2 of 3</w:t>
      </w:r>
    </w:p>
    <w:p>
      <w:r>
        <w:rPr>
          <w:b w:val="0"/>
          <w:color w:val="007A87"/>
          <w:sz w:val="22"/>
        </w:rPr>
        <w:t>Equity Swaps and Total Return Swaps</w:t>
      </w:r>
    </w:p>
    <w:p>
      <w:r>
        <w:rPr>
          <w:b/>
          <w:color w:val="101C4F"/>
          <w:sz w:val="20"/>
        </w:rPr>
        <w:t>🔒  INTERNAL MAPPING — D8.5</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D8.5</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Equity Swaps and Total Return Swaps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Understand equity swap and TRS structures, their use for synthetic exposure, and regulatory implications in India</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Apply</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Apply TRS mechanics to a synthetic long equity exposure and calculate quarterly settlements</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D8.5 Video 1 — Equity Swap and TRS Structure</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D8.5 Video 3 — Regulatory Concerns and Operations</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Foreign hedge fund uses TRS for synthetic Nifty 50 long: Pays MIBOR + 120bps to Indian bank. Receives Nifty 50 total return. Notional: ₹500 crore (equivalent). Posts initial margin: ₹50 crore (10%). Fund does NOT hold Indian equities directly — accessed via swap.</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Ryo: 'The hedge fund gets full Nifty exposure on ₹500 crore but only posts ₹50 crore margin — 10× leverage. The Indian bank holds Nifty futures or actual shares as its hedge position.' Aria: 'This is why TRS can create systemic risk: the actual equity exposure (₹500 crore) is hidden in the bank's hedge book, not visible to regulators as FPI equity ownership. SEBI cannot see it in its beneficial ownership monitoring.'</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Q1 settlement: Nifty up 4% (₹20 crore return) + dividends ₹1.5 crore = total return ₹21.5 crore. Fund receives ₹21.5cr from bank. Fund pays MIBOR (6.5%) + 1.2% = 7.7% × 3/12 × ₹500cr = ₹9.625cr. Net: bank pays ₹11.875 crore to fund. Margin: if MTM moves against the fund, additional margin called.</w:t>
            </w:r>
          </w:p>
        </w:tc>
        <w:tc>
          <w:tcPr>
            <w:tcW w:type="dxa" w:w="1994"/>
            <w:shd w:val="clear" w:color="auto" w:fill="FFFFFF"/>
          </w:tcPr>
          <w:p>
            <w:r>
              <w:rPr>
                <w:b w:val="0"/>
                <w:color w:val="404040"/>
                <w:sz w:val="16"/>
              </w:rPr>
              <w:t>QUARTERLY SETTLEMENT</w:t>
            </w:r>
          </w:p>
        </w:tc>
        <w:tc>
          <w:tcPr>
            <w:tcW w:type="dxa" w:w="1994"/>
            <w:shd w:val="clear" w:color="auto" w:fill="FFFFFF"/>
          </w:tcPr>
          <w:p>
            <w:r>
              <w:rPr>
                <w:b w:val="0"/>
                <w:color w:val="404040"/>
                <w:sz w:val="16"/>
              </w:rPr>
              <w:t>Aria: 'Q1 is profitable: fund receives more than it pays. But if Nifty falls 10%: fund pays ₹50 crore (return) + ₹9.625 crore (MIBOR) = ₹59.625 crore — exceeding the ₹50 crore initial margin.' Ryo: 'This creates a margin call. The bank calls for additional margin immediately. If the fund cannot meet the call (like Archegos), the bank must close the position — selling large amounts of Nifty shares quickly, causing market disruption.'</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Bank's hedge: bank receives MIBOR + 120bps, pays Nifty total return. To hedge: bank buys Nifty 50 futures or ETF worth ₹500 crore. Delta = 1.0 (perfectly tracking index). Dividend capture: bank holds futures (no dividends) so adjusts fixed payment to reflect dividend equivalent.</w:t>
            </w:r>
          </w:p>
        </w:tc>
        <w:tc>
          <w:tcPr>
            <w:tcW w:type="dxa" w:w="1994"/>
            <w:shd w:val="clear" w:color="auto" w:fill="F0F8FA"/>
          </w:tcPr>
          <w:p>
            <w:r>
              <w:rPr>
                <w:b w:val="0"/>
                <w:color w:val="404040"/>
                <w:sz w:val="16"/>
              </w:rPr>
              <w:t>DELTA HEDGING BANK</w:t>
            </w:r>
          </w:p>
        </w:tc>
        <w:tc>
          <w:tcPr>
            <w:tcW w:type="dxa" w:w="1994"/>
            <w:shd w:val="clear" w:color="auto" w:fill="F0F8FA"/>
          </w:tcPr>
          <w:p>
            <w:r>
              <w:rPr>
                <w:b w:val="0"/>
                <w:color w:val="404040"/>
                <w:sz w:val="16"/>
              </w:rPr>
              <w:t>Ryo: 'The bank is not taking a view on Nifty — it is flat. It pays whatever Nifty returns to the fund and receives that exactly back from its hedge position in Nifty futures.' Aria: 'The bank earns its spread: MIBOR + 120bps received vs its own MIBOR funding cost. The 120bps is the bank's profit margin for providing the synthetic exposure service. Operations at the bank must ensure the Nifty futures hedge is perfectly maintained.'</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Notional reset: At each quarterly settlement, the notional resets to the new Nifty level. If Nifty rises 4% to ₹520 crore notional. Next quarter MIBOR spread payment based on ₹520 crore. If Nifty falls 10%: notional drops to ₹450 crore. Total return and MIBOR payments calculated on new notional each period.</w:t>
            </w:r>
          </w:p>
        </w:tc>
        <w:tc>
          <w:tcPr>
            <w:tcW w:type="dxa" w:w="1994"/>
            <w:shd w:val="clear" w:color="auto" w:fill="FFFFFF"/>
          </w:tcPr>
          <w:p>
            <w:r>
              <w:rPr>
                <w:b w:val="0"/>
                <w:color w:val="404040"/>
                <w:sz w:val="16"/>
              </w:rPr>
              <w:t>RESET MECHANICS</w:t>
            </w:r>
          </w:p>
        </w:tc>
        <w:tc>
          <w:tcPr>
            <w:tcW w:type="dxa" w:w="1994"/>
            <w:shd w:val="clear" w:color="auto" w:fill="FFFFFF"/>
          </w:tcPr>
          <w:p>
            <w:r>
              <w:rPr>
                <w:b w:val="0"/>
                <w:color w:val="404040"/>
                <w:sz w:val="16"/>
              </w:rPr>
              <w:t>Aria: 'The notional reset is critical for operations to get right. Failure to reset the notional means the next period's cash flows are calculated on the wrong base — creating errors that compound over the swap's life.' Ryo: 'This is why automated trade booking systems are essential for equity swaps. Manual calculation across hundreds of reference indices and TRS trades would inevitably produce errors. System-generated payment advice must be verified against the ISDA confirmation before each settlement.'</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TRS quarterly settlement: receive total return (price + dividends), pay MIBOR + spread. Notional resets each period. Leverage: full exposure with only margin. Bank delta-hedges with actual shares/futures. Margin calls when MTM moves against receiver. Systemic risk: concentrated positions hidden from regulators.</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Ryo: 'TRS is a double-edged instrument: it provides genuine economic value (cost-effective exposure access) but can also create systemic fragility through hidden leverage and concentrated positions.' Aria: 'The regulatory and operational dimensions of TRS are as important as the economics. Next: how SEBI monitors TRS positions and what operations teams must do to comply with Indian regulations.'</w:t>
            </w:r>
          </w:p>
        </w:tc>
      </w:tr>
    </w:tbl>
    <w:p/>
    <w:p>
      <w:r>
        <w:rPr>
          <w:b/>
          <w:color w:val="F0A800"/>
          <w:sz w:val="18"/>
        </w:rPr>
        <w:t>▶  TRANSITION — Leads to: D8.5 Video 3 — Regulatory Concerns and Operations</w:t>
      </w:r>
    </w:p>
    <w:p/>
    <w:p>
      <w:r>
        <w:br w:type="page"/>
      </w:r>
    </w:p>
    <w:p>
      <w:pPr>
        <w:spacing w:before="360"/>
      </w:pPr>
      <w:r>
        <w:rPr>
          <w:b w:val="0"/>
          <w:color w:val="CCCCCC"/>
          <w:sz w:val="16"/>
        </w:rPr>
        <w:t>────────────────────────────────────────────────────────────</w:t>
      </w:r>
    </w:p>
    <w:p>
      <w:r>
        <w:rPr>
          <w:b/>
          <w:color w:val="101C4F"/>
          <w:sz w:val="28"/>
        </w:rPr>
        <w:t>D8.5  ·  Video 3 of 3</w:t>
      </w:r>
    </w:p>
    <w:p>
      <w:r>
        <w:rPr>
          <w:b w:val="0"/>
          <w:color w:val="007A87"/>
          <w:sz w:val="22"/>
        </w:rPr>
        <w:t>Equity Swaps and Total Return Swaps</w:t>
      </w:r>
    </w:p>
    <w:p>
      <w:r>
        <w:rPr>
          <w:b/>
          <w:color w:val="101C4F"/>
          <w:sz w:val="20"/>
        </w:rPr>
        <w:t>🔒  INTERNAL MAPPING — D8.5</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D8.5</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Equity Swaps and Total Return Swaps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Understand equity swap and TRS structures, their use for synthetic exposure, and regulatory implications in India</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Relate</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Relate equity swap and TRS to SEBI beneficial ownership rules, FPI limits, and operations compliance</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D8.5 Video 2 — TRS Mechanics and Settlement</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D8.6 — Overnight Index Swaps and MIBOR</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SEBI FPI (Foreign Portfolio Investment) framework: FPIs can invest in Indian equities. Single FPI: 10% limit per company. All FPIs combined: 24% limit (extendable to sectoral limit by company). Problem: TRS allows FPIs to access Indian equity returns without being counted in these limits.</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Aria: 'SEBI FPI regulations are designed to prevent foreign entities from taking excessive control of Indian companies. The 10% single-FPI limit triggers mandatory reporting and potential regulatory scrutiny.' Motion: 'A foreign entity using an Indian bank TRS to get 8% economic exposure to a Nifty stock — without directly holding shares — may be circumventing the intent of FPI limits. SEBI has been grappling with this regulatory gap.'</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SEBI circulars on TRS and beneficial ownership: SEBI LODR (Listing Obligations and Disclosure Requirements): ultimate beneficial owner must be disclosed. SEBI FPI Regulations 2019: look-through provisions for derivative exposures. Banks offering TRS must report underlying economic exposure of swap to SEBI. AMFI and SEBI joint framework for TRS by mutual funds.</w:t>
            </w:r>
          </w:p>
        </w:tc>
        <w:tc>
          <w:tcPr>
            <w:tcW w:type="dxa" w:w="1994"/>
            <w:shd w:val="clear" w:color="auto" w:fill="FFFFFF"/>
          </w:tcPr>
          <w:p>
            <w:r>
              <w:rPr>
                <w:b w:val="0"/>
                <w:color w:val="404040"/>
                <w:sz w:val="16"/>
              </w:rPr>
              <w:t>SEBI TRS REGULATIONS</w:t>
            </w:r>
          </w:p>
        </w:tc>
        <w:tc>
          <w:tcPr>
            <w:tcW w:type="dxa" w:w="1994"/>
            <w:shd w:val="clear" w:color="auto" w:fill="FFFFFF"/>
          </w:tcPr>
          <w:p>
            <w:r>
              <w:rPr>
                <w:b w:val="0"/>
                <w:color w:val="404040"/>
                <w:sz w:val="16"/>
              </w:rPr>
              <w:t>Motion: 'SEBI introduced look-through requirements: if an FPI has economic exposure via TRS equivalent to direct ownership, it must be counted toward FPI limits. Banks structuring TRS must report the economic ownership in FPI disclosures.' Aria: 'Operations compliance: banks must ensure their TRS client onboarding includes full KYC on the ultimate beneficial owner. The nominee structure cannot hide the economic owner for regulatory reporting purposes.'</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Post-Archegos regulatory response (2021): US SEC, UK FCA, and SEBI all strengthened TRS reporting. SEBI required all Category I and II FPIs with TRS exposures to Indian equities to report these to SEBI monthly. Banks must aggregate all TRS referencing the same Indian company across all clients and report concentration risk.</w:t>
            </w:r>
          </w:p>
        </w:tc>
        <w:tc>
          <w:tcPr>
            <w:tcW w:type="dxa" w:w="1994"/>
            <w:shd w:val="clear" w:color="auto" w:fill="F0F8FA"/>
          </w:tcPr>
          <w:p>
            <w:r>
              <w:rPr>
                <w:b w:val="0"/>
                <w:color w:val="404040"/>
                <w:sz w:val="16"/>
              </w:rPr>
              <w:t>ARCHEGOS IMPACT</w:t>
            </w:r>
          </w:p>
        </w:tc>
        <w:tc>
          <w:tcPr>
            <w:tcW w:type="dxa" w:w="1994"/>
            <w:shd w:val="clear" w:color="auto" w:fill="F0F8FA"/>
          </w:tcPr>
          <w:p>
            <w:r>
              <w:rPr>
                <w:b w:val="0"/>
                <w:color w:val="404040"/>
                <w:sz w:val="16"/>
              </w:rPr>
              <w:t>Aria: 'The Archegos collapse triggered global regulatory action. SEBI moved quickly to close the reporting gap in India.' Motion: 'Operations impact: each bank with TRS exposure to Indian equities must now aggregate positions by reference entity and by beneficial owner, and file monthly reports with SEBI. This was a significant new operational burden — requiring new reporting systems and processes developed within 60 days of the circular.'</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TRS operations compliance checklist: (1) Client onboarding: full KYC + UBO identification. (2) Trade capture: reference entity, notional, tenor, equity return terms. (3) Daily MTM: mark equity leg at end-of-day index/stock price. (4) Margin management: initial + daily variation margin. (5) SEBI reporting: monthly beneficial ownership report. (6) CCIL reporting: if equity TRS on listed Indian equities.</w:t>
            </w:r>
          </w:p>
        </w:tc>
        <w:tc>
          <w:tcPr>
            <w:tcW w:type="dxa" w:w="1994"/>
            <w:shd w:val="clear" w:color="auto" w:fill="FFFFFF"/>
          </w:tcPr>
          <w:p>
            <w:r>
              <w:rPr>
                <w:b w:val="0"/>
                <w:color w:val="404040"/>
                <w:sz w:val="16"/>
              </w:rPr>
              <w:t>OPS COMPLIANCE</w:t>
            </w:r>
          </w:p>
        </w:tc>
        <w:tc>
          <w:tcPr>
            <w:tcW w:type="dxa" w:w="1994"/>
            <w:shd w:val="clear" w:color="auto" w:fill="FFFFFF"/>
          </w:tcPr>
          <w:p>
            <w:r>
              <w:rPr>
                <w:b w:val="0"/>
                <w:color w:val="404040"/>
                <w:sz w:val="16"/>
              </w:rPr>
              <w:t>Motion: 'TRS compliance is an end-to-end process — from client onboarding to daily operations to monthly regulatory reporting. Each step requires coordination between legal, compliance, operations, and technology teams.' Aria: 'As SEBI continues to develop India's OTC derivatives market, operations professionals with expertise in equity swaps and TRS will be increasingly valuable. The market is growing precisely because global capital wants Indian equity exposure — and TRS is often the most efficient delivery vehicle.'</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TRS regulatory framework: SEBI look-through for FPI limits. Beneficial owner disclosure required. Post-Archegos: monthly SEBI reporting of TRS exposures by reference entity and UBO. Operations: KYC/UBO, daily MTM, margin management, SEBI monthly reporting. Compliance risk: incorrect beneficial owner reporting = regulatory penalty.</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Motion: 'Equity swaps and TRS sit at the intersection of finance, regulation, and technology. They are too useful to prohibit but too risky to leave unmonitored. The operations professional who understands both the mechanics and the regulatory framework is invaluable to any institution active in this space.' Aria: 'Next: Overnight Index Swaps — the simplest and highest-volume swap type, used daily in money market management.'</w:t>
            </w:r>
          </w:p>
        </w:tc>
      </w:tr>
    </w:tbl>
    <w:p/>
    <w:p>
      <w:r>
        <w:rPr>
          <w:b/>
          <w:color w:val="F0A800"/>
          <w:sz w:val="18"/>
        </w:rPr>
        <w:t>▶  TRANSITION — Leads to: D8.6 — Overnight Index Swaps and MIBOR</w:t>
      </w:r>
    </w:p>
    <w:p/>
    <w:p>
      <w:r>
        <w:br w:type="page"/>
      </w:r>
    </w:p>
    <w:p>
      <w:pPr>
        <w:spacing w:before="360"/>
      </w:pPr>
      <w:r>
        <w:rPr>
          <w:b w:val="0"/>
          <w:color w:val="CCCCCC"/>
          <w:sz w:val="16"/>
        </w:rPr>
        <w:t>────────────────────────────────────────────────────────────</w:t>
      </w:r>
    </w:p>
    <w:p>
      <w:r>
        <w:rPr>
          <w:b/>
          <w:color w:val="101C4F"/>
          <w:sz w:val="28"/>
        </w:rPr>
        <w:t>D8.6  ·  Video 1 of 3</w:t>
      </w:r>
    </w:p>
    <w:p>
      <w:r>
        <w:rPr>
          <w:b w:val="0"/>
          <w:color w:val="007A87"/>
          <w:sz w:val="22"/>
        </w:rPr>
        <w:t>Overnight Index Swaps and MIBOR</w:t>
      </w:r>
    </w:p>
    <w:p>
      <w:r>
        <w:rPr>
          <w:b/>
          <w:color w:val="101C4F"/>
          <w:sz w:val="20"/>
        </w:rPr>
        <w:t>🔒  INTERNAL MAPPING — D8.6</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D8.6</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Overnight Index Swaps and MIBOR</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Understand OIS structure, MIBOR compounding, use in monetary policy signalling, and Indian OIS market</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Explain</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Explain OIS structure: overnight compounding, fixed-for-overnight-floating, and settlement</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D8.5 — Equity Swaps and Total Return Swaps</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D8.6 Video 2 — OIS as Monetary Policy Indicator</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OIS (Overnight Index Swap): Pay fixed rate vs receive overnight MIBOR compounded for the period. Most common Indian tenor: 1-month, 3-months, 1-year. No principal exchange. Settlement: single net cash flow at maturity.</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Kavi: 'An Overnight Index Swap is the simplest and most liquid OTC swap. One party pays a fixed rate for the full tenor. The other party pays the geometric compounding of the overnight MIBOR rate for every day during the period.' Ryo: 'Unlike a standard IRS where the floating rate is set at the beginning of each period and paid at the end, an OIS compounds the actual overnight rate each day — reflecting the true cost of rolling overnight borrowing.'</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OIS MIBOR compounding example: 3-month OIS, ₹100 crore notional, fixed rate 6.5%. Day 1: MIBOR = 6.40%. Day 2: MIBOR = 6.45%. ... Day 90: MIBOR = 6.55%. Compounded floating = (1 + 6.40%/365) × (1 + 6.45%/365) × ... × (1 + 6.55%/365) − 1, then × 100cr = actual floating cash flow.</w:t>
            </w:r>
          </w:p>
        </w:tc>
        <w:tc>
          <w:tcPr>
            <w:tcW w:type="dxa" w:w="1994"/>
            <w:shd w:val="clear" w:color="auto" w:fill="FFFFFF"/>
          </w:tcPr>
          <w:p>
            <w:r>
              <w:rPr>
                <w:b w:val="0"/>
                <w:color w:val="404040"/>
                <w:sz w:val="16"/>
              </w:rPr>
              <w:t>MIBOR COMPOUNDING</w:t>
            </w:r>
          </w:p>
        </w:tc>
        <w:tc>
          <w:tcPr>
            <w:tcW w:type="dxa" w:w="1994"/>
            <w:shd w:val="clear" w:color="auto" w:fill="FFFFFF"/>
          </w:tcPr>
          <w:p>
            <w:r>
              <w:rPr>
                <w:b w:val="0"/>
                <w:color w:val="404040"/>
                <w:sz w:val="16"/>
              </w:rPr>
              <w:t>Ryo: 'The compounding calculation captures every day's MIBOR — including weekends (MIBOR held constant for 3 days for Friday-to-Monday). The result is the actual cost of rolling overnight borrowings for 90 days.' Kavi: 'If the compounded MIBOR average = 6.48% and fixed = 6.50%: fixed payer receives 2bps × 90/365 × 100cr = ₹0.049cr = ₹4.93 lakh. This tiny net amount is the only cash flow — showing how efficient OIS settlement is.'</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OIS vs standard IRS: OIS = overnight compounded rate for full period. Standard IRS = term MIBOR set at start of each payment period. OIS tenor: typically short (1W to 2Y). IRS tenor: typically medium to long (1Y to 10Y). OIS market: more liquid, tighter bid-ask spreads. OIS: pure monetary policy expectations. IRS: monetary policy + credit + term premium.</w:t>
            </w:r>
          </w:p>
        </w:tc>
        <w:tc>
          <w:tcPr>
            <w:tcW w:type="dxa" w:w="1994"/>
            <w:shd w:val="clear" w:color="auto" w:fill="F0F8FA"/>
          </w:tcPr>
          <w:p>
            <w:r>
              <w:rPr>
                <w:b w:val="0"/>
                <w:color w:val="404040"/>
                <w:sz w:val="16"/>
              </w:rPr>
              <w:t>OIS VS IRS</w:t>
            </w:r>
          </w:p>
        </w:tc>
        <w:tc>
          <w:tcPr>
            <w:tcW w:type="dxa" w:w="1994"/>
            <w:shd w:val="clear" w:color="auto" w:fill="F0F8FA"/>
          </w:tcPr>
          <w:p>
            <w:r>
              <w:rPr>
                <w:b w:val="0"/>
                <w:color w:val="404040"/>
                <w:sz w:val="16"/>
              </w:rPr>
              <w:t>Kavi: 'OIS rates are the clearest market signal of where overnight rates are expected to go. A 3-month OIS at 6.5% means the market expects the average overnight MIBOR over 3 months to be 6.5%.' Ryo: 'The difference between a 3-month IRS and a 3-month OIS is approximately the bank credit premium for 3-month term funding. This spread widened dramatically during the 2008 crisis — signalling bank stress — and again during COVID in March 2020.'</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Indian OIS market: Dominated by inter-bank market (banks, primary dealers). RBI conducts Variable Rate Repo (VRR) auctions — overnight rate a key signal. CCIL clears OIS trades. Most liquid OIS tenors in India: 1-month, 3-month, 1-year, 5-year. Daily OIS volumes: ₹10,000–20,000 crore.</w:t>
            </w:r>
          </w:p>
        </w:tc>
        <w:tc>
          <w:tcPr>
            <w:tcW w:type="dxa" w:w="1994"/>
            <w:shd w:val="clear" w:color="auto" w:fill="FFFFFF"/>
          </w:tcPr>
          <w:p>
            <w:r>
              <w:rPr>
                <w:b w:val="0"/>
                <w:color w:val="404040"/>
                <w:sz w:val="16"/>
              </w:rPr>
              <w:t>INDIA OIS MARKET</w:t>
            </w:r>
          </w:p>
        </w:tc>
        <w:tc>
          <w:tcPr>
            <w:tcW w:type="dxa" w:w="1994"/>
            <w:shd w:val="clear" w:color="auto" w:fill="FFFFFF"/>
          </w:tcPr>
          <w:p>
            <w:r>
              <w:rPr>
                <w:b w:val="0"/>
                <w:color w:val="404040"/>
                <w:sz w:val="16"/>
              </w:rPr>
              <w:t>Ryo: 'Indian OIS rates are closely watched by RBI watchers. When 1-year OIS rises above the repo rate, it signals the market expects RBI rate hikes. When it falls below, it signals expected cuts.' Kavi: 'Banks and primary dealers use OIS to hedge their overnight rate risk. A bank with ₹1,000 crore in overnight borrowings (call money) can pay fixed OIS and receive overnight MIBOR — locking in its overnight funding cost for 3 months.'</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OIS summary: Pay fixed vs receive overnight MIBOR compounded. Single settlement at maturity. No intra-period cash flows. Short tenors (1W–2Y). Reflects pure monetary policy expectations. India: CCIL-cleared, liquid inter-bank market. OIS–IRS spread = bank credit risk premium.</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Kavi: 'OIS is the foundation of the modern interest rate derivatives market. SOFR-OIS replaced USD LIBOR globally; MIBOR-OIS is the equivalent Indian instrument. Understanding OIS is essential for anyone working in bank treasury, trading, or operations.' Ryo: 'Next: how OIS rates are used by market participants to read RBI monetary policy signals — and how to trade around RBI policy meetings.'</w:t>
            </w:r>
          </w:p>
        </w:tc>
      </w:tr>
    </w:tbl>
    <w:p/>
    <w:p>
      <w:r>
        <w:rPr>
          <w:b/>
          <w:color w:val="F0A800"/>
          <w:sz w:val="18"/>
        </w:rPr>
        <w:t>▶  TRANSITION — Leads to: D8.6 Video 2 — OIS as Monetary Policy Indicator</w:t>
      </w:r>
    </w:p>
    <w:p/>
    <w:p>
      <w:r>
        <w:br w:type="page"/>
      </w:r>
    </w:p>
    <w:p>
      <w:pPr>
        <w:spacing w:before="360"/>
      </w:pPr>
      <w:r>
        <w:rPr>
          <w:b w:val="0"/>
          <w:color w:val="CCCCCC"/>
          <w:sz w:val="16"/>
        </w:rPr>
        <w:t>────────────────────────────────────────────────────────────</w:t>
      </w:r>
    </w:p>
    <w:p>
      <w:r>
        <w:rPr>
          <w:b/>
          <w:color w:val="101C4F"/>
          <w:sz w:val="28"/>
        </w:rPr>
        <w:t>D8.6  ·  Video 2 of 3</w:t>
      </w:r>
    </w:p>
    <w:p>
      <w:r>
        <w:rPr>
          <w:b w:val="0"/>
          <w:color w:val="007A87"/>
          <w:sz w:val="22"/>
        </w:rPr>
        <w:t>Overnight Index Swaps and MIBOR</w:t>
      </w:r>
    </w:p>
    <w:p>
      <w:r>
        <w:rPr>
          <w:b/>
          <w:color w:val="101C4F"/>
          <w:sz w:val="20"/>
        </w:rPr>
        <w:t>🔒  INTERNAL MAPPING — D8.6</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D8.6</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Overnight Index Swaps and MIBOR</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Understand OIS structure, MIBOR compounding, use in monetary policy signalling, and Indian OIS market</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Apply</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Apply OIS rate analysis to read RBI monetary policy signals and compute P&amp;L from rate moves</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D8.6 Video 1 — OIS Structure and MIBOR Compounding</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D8.6 Video 3 — OIS in Treasury and Operations</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RBI monetary policy timeline: Current repo rate = 6.50%. 1-year OIS rate = 6.25% (below repo). Market signal: OIS below repo means market expects RBI to CUT rates in next 12 months. 5-year OIS = 6.10% (further below). Implies sustained easing cycle ahead.</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Ryo: 'The OIS curve is the market's collective forecast of the RBI's interest rate path. When 1-year OIS is 25bps below the current repo rate, the market is pricing in approximately one 25bp rate cut over the next year.' Kavi: 'Reading the OIS curve: upward sloping = market expects rate hikes. Downward sloping = market expects rate cuts. Flat = no significant change expected. This is valuable real-time intelligence for any financial professional.'</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Pre-RBI policy trade: Analyst expects RBI to cut 25bps in next meeting but market only pricing 10bps cut in 1-year OIS (1Y OIS at 6.40% vs repo 6.50%). Trade: Pay fixed 6.40% in 1-year OIS (₹100 crore). If RBI cuts 25bps and 1Y OIS rallies to 6.15%: gain 25bps × DV01.</w:t>
            </w:r>
          </w:p>
        </w:tc>
        <w:tc>
          <w:tcPr>
            <w:tcW w:type="dxa" w:w="1994"/>
            <w:shd w:val="clear" w:color="auto" w:fill="FFFFFF"/>
          </w:tcPr>
          <w:p>
            <w:r>
              <w:rPr>
                <w:b w:val="0"/>
                <w:color w:val="404040"/>
                <w:sz w:val="16"/>
              </w:rPr>
              <w:t>POLICY TRADE</w:t>
            </w:r>
          </w:p>
        </w:tc>
        <w:tc>
          <w:tcPr>
            <w:tcW w:type="dxa" w:w="1994"/>
            <w:shd w:val="clear" w:color="auto" w:fill="FFFFFF"/>
          </w:tcPr>
          <w:p>
            <w:r>
              <w:rPr>
                <w:b w:val="0"/>
                <w:color w:val="404040"/>
                <w:sz w:val="16"/>
              </w:rPr>
              <w:t>Kavi: 'DV01 (Dollar Value of 01 basis point) for 1-year OIS: approximately ₹100cr × 1/100 × 1/100 = ₹1 lakh per basis point. If 1Y OIS falls 25bps: gain ≈ 25 × ₹1 lakh = ₹25 lakh.' Ryo: 'If RBI keeps rates unchanged and 1Y OIS rises 10bps: loss ≈ 10 × ₹1 lakh = ₹10 lakh. Risk-reward: ₹25 lakh potential gain vs ₹10 lakh potential loss — if the analyst's RBI call is correct.'</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OIS curve trades: Steepener — pay fixed in short tenor OIS, receive fixed in long tenor OIS. Profits if curve steepens (short rates fall more than long rates, or long rates rise more than short). Flattener — opposite. Basis trade: OIS vs G-sec yield spread. These are inter-bank strategies seen in Indian primary dealer books.</w:t>
            </w:r>
          </w:p>
        </w:tc>
        <w:tc>
          <w:tcPr>
            <w:tcW w:type="dxa" w:w="1994"/>
            <w:shd w:val="clear" w:color="auto" w:fill="F0F8FA"/>
          </w:tcPr>
          <w:p>
            <w:r>
              <w:rPr>
                <w:b w:val="0"/>
                <w:color w:val="404040"/>
                <w:sz w:val="16"/>
              </w:rPr>
              <w:t>OIS CURVE TRADES</w:t>
            </w:r>
          </w:p>
        </w:tc>
        <w:tc>
          <w:tcPr>
            <w:tcW w:type="dxa" w:w="1994"/>
            <w:shd w:val="clear" w:color="auto" w:fill="F0F8FA"/>
          </w:tcPr>
          <w:p>
            <w:r>
              <w:rPr>
                <w:b w:val="0"/>
                <w:color w:val="404040"/>
                <w:sz w:val="16"/>
              </w:rPr>
              <w:t>Ryo: 'Primary dealers in India — entities like SBI CAPS, IDFC First, ICICI Securities PD — actively trade OIS curve positions. Their books carry OIS positions worth thousands of crores in notional.' Kavi: 'Operations teams at primary dealers must manage the daily cash flows, MTM, and CCIL margin for these OIS positions. Understanding the underlying strategy helps operations professionals recognise when trade details look anomalous.'</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Operational hedging with OIS: Bank has ₹2,000 crore overnight borrowings (call money market) at MIBOR. Pays fixed 6.45% on 3-month OIS (receives overnight MIBOR). If MIBOR rises to 7%: extra overnight cost = 55bps on ₹2,000cr = ₹11 crore. OIS gain: receive 7% MIBOR, pay 6.45% fixed = 55bps × ₹2,000cr = ₹11 crore. Net: fully hedged.</w:t>
            </w:r>
          </w:p>
        </w:tc>
        <w:tc>
          <w:tcPr>
            <w:tcW w:type="dxa" w:w="1994"/>
            <w:shd w:val="clear" w:color="auto" w:fill="FFFFFF"/>
          </w:tcPr>
          <w:p>
            <w:r>
              <w:rPr>
                <w:b w:val="0"/>
                <w:color w:val="404040"/>
                <w:sz w:val="16"/>
              </w:rPr>
              <w:t>OIS FOR HEDGING</w:t>
            </w:r>
          </w:p>
        </w:tc>
        <w:tc>
          <w:tcPr>
            <w:tcW w:type="dxa" w:w="1994"/>
            <w:shd w:val="clear" w:color="auto" w:fill="FFFFFF"/>
          </w:tcPr>
          <w:p>
            <w:r>
              <w:rPr>
                <w:b w:val="0"/>
                <w:color w:val="404040"/>
                <w:sz w:val="16"/>
              </w:rPr>
              <w:t>Kavi: 'This is the most common use of OIS by Indian banks: hedging short-term funding cost. The bank pays a fixed rate on the OIS equal to the overnight MIBOR it expects to pay — locking in its funding cost regardless of where overnight rates go.' Ryo: 'The treasurer knows exactly: ₹2,000 crore borrowed at 6.45% for 3 months = ₹32.25 crore total interest cost. No surprises from daily MIBOR moves. This is the value of OIS as a hedging tool.'</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OIS as policy signal: OIS curve = market's RBI rate path forecast. OIS below repo = expected cuts. OIS above = expected hikes. Policy trades: pay fixed to position for rate cuts; receive fixed for rate hikes. Hedging: banks use short-tenor OIS to lock overnight funding costs. Primary dealers: active OIS curve trading.</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Ryo: 'OIS rates are among the most closely watched numbers in Indian financial markets every day. RBI MPC meeting outcomes, inflation data, global rate moves — all are instantly priced into the OIS curve.' Kavi: 'Next: how treasury teams and operations manage the daily OIS book — confirmations, CCIL clearing, cash flows, and regulatory reporting.'</w:t>
            </w:r>
          </w:p>
        </w:tc>
      </w:tr>
    </w:tbl>
    <w:p/>
    <w:p>
      <w:r>
        <w:rPr>
          <w:b/>
          <w:color w:val="F0A800"/>
          <w:sz w:val="18"/>
        </w:rPr>
        <w:t>▶  TRANSITION — Leads to: D8.6 Video 3 — OIS in Treasury and Operations</w:t>
      </w:r>
    </w:p>
    <w:p/>
    <w:p>
      <w:r>
        <w:br w:type="page"/>
      </w:r>
    </w:p>
    <w:p>
      <w:pPr>
        <w:spacing w:before="360"/>
      </w:pPr>
      <w:r>
        <w:rPr>
          <w:b w:val="0"/>
          <w:color w:val="CCCCCC"/>
          <w:sz w:val="16"/>
        </w:rPr>
        <w:t>────────────────────────────────────────────────────────────</w:t>
      </w:r>
    </w:p>
    <w:p>
      <w:r>
        <w:rPr>
          <w:b/>
          <w:color w:val="101C4F"/>
          <w:sz w:val="28"/>
        </w:rPr>
        <w:t>D8.6  ·  Video 3 of 3</w:t>
      </w:r>
    </w:p>
    <w:p>
      <w:r>
        <w:rPr>
          <w:b w:val="0"/>
          <w:color w:val="007A87"/>
          <w:sz w:val="22"/>
        </w:rPr>
        <w:t>Overnight Index Swaps and MIBOR</w:t>
      </w:r>
    </w:p>
    <w:p>
      <w:r>
        <w:rPr>
          <w:b/>
          <w:color w:val="101C4F"/>
          <w:sz w:val="20"/>
        </w:rPr>
        <w:t>🔒  INTERNAL MAPPING — D8.6</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D8.6</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Overnight Index Swaps and MIBOR</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Understand OIS structure, MIBOR compounding, use in monetary policy signalling, and Indian OIS market</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Relate</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Relate OIS operations to treasury management, CCIL workflow, and the MIBOR fixing process</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D8.6 Video 2 — OIS as Monetary Policy Indicator</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D8.7 — ISDA Master Agreement and Swap Documentation</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Bank treasury OIS book: 500 live OIS trades across tenors 1-week to 5-years. Daily CCIL clearing. Daily MIBOR fixing at 9:45 AM by FBIL. Operations receives MIBOR fixing, applies to all overnight-referenced OIS positions, recomputes daily accruals.</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Aria: 'Operations for OIS is a high-frequency, repetitive process. Every business day: FBIL publishes MIBOR at 9:45 AM. Operations system downloads the fixing. The overnight MIBOR applies to all open OIS positions for that day.' Motion: 'The compounded MIBOR accrual updates daily. For each OIS: yesterday's compounded factor × (1 + today's MIBOR/365) = new compounded factor. This runs for every position, every day, automatically — but must be reconciled against counterparty statements.'</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CCIL OIS clearing workflow: Trade executed between two banks (voice or electronic platform). Trade reported to CCIL within 30 minutes (for cleared trades). CCIL novates: replaces bilateral trade with two CCIL-facing trades. CCIL calculates initial margin (IM) per trade. Variation margin (VM) calculated at end of day. VM call by 10 AM next morning.</w:t>
            </w:r>
          </w:p>
        </w:tc>
        <w:tc>
          <w:tcPr>
            <w:tcW w:type="dxa" w:w="1994"/>
            <w:shd w:val="clear" w:color="auto" w:fill="FFFFFF"/>
          </w:tcPr>
          <w:p>
            <w:r>
              <w:rPr>
                <w:b w:val="0"/>
                <w:color w:val="404040"/>
                <w:sz w:val="16"/>
              </w:rPr>
              <w:t>CCIL CLEARING</w:t>
            </w:r>
          </w:p>
        </w:tc>
        <w:tc>
          <w:tcPr>
            <w:tcW w:type="dxa" w:w="1994"/>
            <w:shd w:val="clear" w:color="auto" w:fill="FFFFFF"/>
          </w:tcPr>
          <w:p>
            <w:r>
              <w:rPr>
                <w:b w:val="0"/>
                <w:color w:val="404040"/>
                <w:sz w:val="16"/>
              </w:rPr>
              <w:t>Motion: 'CCIL's OIS clearing system is highly automated. The key operational touchpoints: (1) Trade submission — same-day, within 30 minutes of execution. (2) IM posting — sufficient collateral must be in the CCIL margin account. (3) VM call — daily cash margin movement. (4) End-of-life settlement — single net cash flow when OIS matures.' Aria: 'CCIL publishes cleared OIS trade data daily — contributing to market transparency. Regulators can see aggregate inter-bank OIS positions and identify potential systemic rate risks.'</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FBIL MIBOR fixing process: FBIL collects data from banks on overnight call money transactions (actual transactions, not quotes). Calculates volume-weighted average rate. Publishes at 9:45 AM IST. MIBOR used for: OIS floating leg. Short-term loans. Some corporate FRN (floating rate note) coupons.</w:t>
            </w:r>
          </w:p>
        </w:tc>
        <w:tc>
          <w:tcPr>
            <w:tcW w:type="dxa" w:w="1994"/>
            <w:shd w:val="clear" w:color="auto" w:fill="F0F8FA"/>
          </w:tcPr>
          <w:p>
            <w:r>
              <w:rPr>
                <w:b w:val="0"/>
                <w:color w:val="404040"/>
                <w:sz w:val="16"/>
              </w:rPr>
              <w:t>MIBOR FIXING</w:t>
            </w:r>
          </w:p>
        </w:tc>
        <w:tc>
          <w:tcPr>
            <w:tcW w:type="dxa" w:w="1994"/>
            <w:shd w:val="clear" w:color="auto" w:fill="F0F8FA"/>
          </w:tcPr>
          <w:p>
            <w:r>
              <w:rPr>
                <w:b w:val="0"/>
                <w:color w:val="404040"/>
                <w:sz w:val="16"/>
              </w:rPr>
              <w:t>Aria: 'The shift from quote-based to transaction-based MIBOR (following global IBOR reform) made the benchmark more robust and manipulation-resistant. FBIL replaced the old NSE MIBOR computation with a FIMMDA-FBIL transaction-based rate in 2015.' Motion: 'Operations implication: the MIBOR used in all OIS contracts must be the FBIL published rate for that specific day. Using the wrong rate — even one day's error — creates P&amp;L discrepancies with counterparties. Systems must auto-download FBIL MIBOR every morning before processing any OIS calculations.'</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OIS maturity settlement: OIS matures on agreed maturity date. Operations calculates: compounded MIBOR rate for full period. Fixed rate × notional × actual days/365. Net payment = difference. Confirm with CCIL. Instruct payment through RBI RTGS by the cut-off time. Reconcile receipt of counterparty payment.</w:t>
            </w:r>
          </w:p>
        </w:tc>
        <w:tc>
          <w:tcPr>
            <w:tcW w:type="dxa" w:w="1994"/>
            <w:shd w:val="clear" w:color="auto" w:fill="FFFFFF"/>
          </w:tcPr>
          <w:p>
            <w:r>
              <w:rPr>
                <w:b w:val="0"/>
                <w:color w:val="404040"/>
                <w:sz w:val="16"/>
              </w:rPr>
              <w:t>SETTLEMENT LIFECYCLE</w:t>
            </w:r>
          </w:p>
        </w:tc>
        <w:tc>
          <w:tcPr>
            <w:tcW w:type="dxa" w:w="1994"/>
            <w:shd w:val="clear" w:color="auto" w:fill="FFFFFF"/>
          </w:tcPr>
          <w:p>
            <w:r>
              <w:rPr>
                <w:b w:val="0"/>
                <w:color w:val="404040"/>
                <w:sz w:val="16"/>
              </w:rPr>
              <w:t>Motion: 'OIS settlement is a single cash flow — much simpler than IRS which has multiple periodic settlements. But the MIBOR compounding calculation must be precisely replicated by both parties from the same daily FBIL fixings.' Aria: 'Disputes arise when: (1) Different MIBOR history used (e.g., weekend rates applied differently). (2) Day count disagreement. (3) Business day adjustment differences. Having the full MIBOR fixing history for the life of the OIS is essential for dispute resolution.'</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OIS operations: Daily FBIL MIBOR download at 9:45 AM. Daily accrual update using compounding. CCIL clearing: same-day trade submission, daily VM. Maturity: single net settlement via RTGS. Dispute prevention: maintain complete MIBOR fixing history. Regulatory reporting: CCIL TR, RBI if large positions.</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Motion: 'OIS operations are a daily rhythm of fixing downloads, accrual updates, margin calls, and settlement instructions. The volume is high, the amounts are large, and errors are costly.' Aria: 'Mastering OIS operations builds the discipline for all derivative operations: precision with dates and fixings, rigorous reconciliation, and proactive dispute management. These skills transfer across all swap types. Next: the legal framework that governs all swaps — the ISDA Master Agreement.'</w:t>
            </w:r>
          </w:p>
        </w:tc>
      </w:tr>
    </w:tbl>
    <w:p/>
    <w:p>
      <w:r>
        <w:rPr>
          <w:b/>
          <w:color w:val="F0A800"/>
          <w:sz w:val="18"/>
        </w:rPr>
        <w:t>▶  TRANSITION — Leads to: D8.7 — ISDA Master Agreement and Swap Documentation</w:t>
      </w:r>
    </w:p>
    <w:p/>
    <w:p>
      <w:r>
        <w:br w:type="page"/>
      </w:r>
    </w:p>
    <w:p>
      <w:pPr>
        <w:spacing w:before="360"/>
      </w:pPr>
      <w:r>
        <w:rPr>
          <w:b w:val="0"/>
          <w:color w:val="CCCCCC"/>
          <w:sz w:val="16"/>
        </w:rPr>
        <w:t>────────────────────────────────────────────────────────────</w:t>
      </w:r>
    </w:p>
    <w:p>
      <w:r>
        <w:rPr>
          <w:b/>
          <w:color w:val="101C4F"/>
          <w:sz w:val="28"/>
        </w:rPr>
        <w:t>D8.7  ·  Video 1 of 3</w:t>
      </w:r>
    </w:p>
    <w:p>
      <w:r>
        <w:rPr>
          <w:b w:val="0"/>
          <w:color w:val="007A87"/>
          <w:sz w:val="22"/>
        </w:rPr>
        <w:t>ISDA Master Agreement and Swap Documentation</w:t>
      </w:r>
    </w:p>
    <w:p>
      <w:r>
        <w:rPr>
          <w:b/>
          <w:color w:val="101C4F"/>
          <w:sz w:val="20"/>
        </w:rPr>
        <w:t>🔒  INTERNAL MAPPING — D8.7</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D8.7</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ISDA Master Agreement and Swap Documentation</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Understand the ISDA Master Agreement structure, key provisions, Credit Support Annex, and swap documentation workflow in India</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Explain</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Explain the ISDA Master Agreement structure, key provisions, and its role in swap markets</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D8.6 — Overnight Index Swaps and MIBOR</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D8.7 Video 2 — Credit Support Annex and Collateral</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ISDA documentation hierarchy: (1) ISDA Master Agreement (1992 or 2002 version) — governs all OTC derivatives between two parties. (2) Schedule — amendments to Master Agreement specific to this counterparty relationship. (3) Credit Support Annex (CSA) — governs collateral exchange. (4) Trade Confirmations — individual trade economics for each transaction.</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Kavi: 'ISDA — the International Swaps and Derivatives Association — is the industry body that created standardised documentation for OTC derivatives. The ISDA Master Agreement is the legal backbone of every swap trade globally.' Ryo: 'Once two parties sign an ISDA Master Agreement, all future OTC derivatives between them are governed by that single agreement. Each new trade just adds a confirmation — no need for full re-documentation every time.'</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ISDA Master Agreement key provisions: (1) Events of Default — failure to pay, bankruptcy, misrepresentation. (2) Termination Events — illegality, tax event, credit downgrade. (3) Close-out Netting — if default occurs, all trades immediately terminated and netted to a single amount. (4) Governing Law — English or New York law. Indian parties often use English law. (5) Representations and warranties.</w:t>
            </w:r>
          </w:p>
        </w:tc>
        <w:tc>
          <w:tcPr>
            <w:tcW w:type="dxa" w:w="1994"/>
            <w:shd w:val="clear" w:color="auto" w:fill="FFFFFF"/>
          </w:tcPr>
          <w:p>
            <w:r>
              <w:rPr>
                <w:b w:val="0"/>
                <w:color w:val="404040"/>
                <w:sz w:val="16"/>
              </w:rPr>
              <w:t>KEY PROVISIONS</w:t>
            </w:r>
          </w:p>
        </w:tc>
        <w:tc>
          <w:tcPr>
            <w:tcW w:type="dxa" w:w="1994"/>
            <w:shd w:val="clear" w:color="auto" w:fill="FFFFFF"/>
          </w:tcPr>
          <w:p>
            <w:r>
              <w:rPr>
                <w:b w:val="0"/>
                <w:color w:val="404040"/>
                <w:sz w:val="16"/>
              </w:rPr>
              <w:t>Ryo: 'Close-out netting is the most important provision for risk management. If Party B defaults: instead of Party A owed ₹100 crore on some trades and owing ₹80 crore on others — all positions are immediately terminated and netted to ₹20 crore owed by Party B to Party A.' Kavi: 'Without netting, creditors could cherry-pick: claim on the ₹100 crore owed while refusing to pay the ₹80 crore owing — leaving Party A with only ₹20 crore recovery instead of the full ₹20 crore net.'</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ISDA Schedule customisation: Elected governing law (English vs New York). Specified entities (affiliates included in netting). Threshold and minimum transfer amounts for collateral. Credit support documents required (balance sheets, audit reports). Any modifications to standard Master Agreement terms. Representations about regulatory status.</w:t>
            </w:r>
          </w:p>
        </w:tc>
        <w:tc>
          <w:tcPr>
            <w:tcW w:type="dxa" w:w="1994"/>
            <w:shd w:val="clear" w:color="auto" w:fill="F0F8FA"/>
          </w:tcPr>
          <w:p>
            <w:r>
              <w:rPr>
                <w:b w:val="0"/>
                <w:color w:val="404040"/>
                <w:sz w:val="16"/>
              </w:rPr>
              <w:t>SCHEDULE</w:t>
            </w:r>
          </w:p>
        </w:tc>
        <w:tc>
          <w:tcPr>
            <w:tcW w:type="dxa" w:w="1994"/>
            <w:shd w:val="clear" w:color="auto" w:fill="F0F8FA"/>
          </w:tcPr>
          <w:p>
            <w:r>
              <w:rPr>
                <w:b w:val="0"/>
                <w:color w:val="404040"/>
                <w:sz w:val="16"/>
              </w:rPr>
              <w:t>Kavi: 'The Schedule is where parties negotiate their specific terms. A large bank dealing with a small corporate might insist on lower collateral thresholds — requiring the corporate to post collateral for smaller MTM moves.' Ryo: 'Negotiating an ISDA Schedule can take weeks or months. Operations teams cannot execute any OTC derivatives with a new counterparty until the ISDA is fully signed. The legal team leads the negotiation but operations provides input on practical requirements.'</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Trade Confirmation (trade economics): Reference: ISDA Master Agreement and Schedule (already signed). Trade date, effective date, maturity date. Notional amount. Fixed rate (or floating index + spread). Payment frequency. Day count convention. Business day convention. Any optionality (cancelable swap, etc.). Must be confirmed within ISDA timelines (T+1 for standard trades).</w:t>
            </w:r>
          </w:p>
        </w:tc>
        <w:tc>
          <w:tcPr>
            <w:tcW w:type="dxa" w:w="1994"/>
            <w:shd w:val="clear" w:color="auto" w:fill="FFFFFF"/>
          </w:tcPr>
          <w:p>
            <w:r>
              <w:rPr>
                <w:b w:val="0"/>
                <w:color w:val="404040"/>
                <w:sz w:val="16"/>
              </w:rPr>
              <w:t>TRADE CONFIRMATION</w:t>
            </w:r>
          </w:p>
        </w:tc>
        <w:tc>
          <w:tcPr>
            <w:tcW w:type="dxa" w:w="1994"/>
            <w:shd w:val="clear" w:color="auto" w:fill="FFFFFF"/>
          </w:tcPr>
          <w:p>
            <w:r>
              <w:rPr>
                <w:b w:val="0"/>
                <w:color w:val="404040"/>
                <w:sz w:val="16"/>
              </w:rPr>
              <w:t>Ryo: 'The trade confirmation is the specific contract for each individual swap. It must match exactly what was agreed verbally or electronically on the trade date.' Kavi: 'Confirmation matching is a critical operations function. If the bank's confirmation says pay fixed 7.00% and the counterparty's says 7.02%, that is a dispute that must be resolved before the first settlement. Unresolved confirmations are a regulatory red flag — SEBI and RBI track late confirmations.'</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ISDA documentation: Master Agreement (governs relationship) + Schedule (customised terms) + CSA (collateral) + Confirmation (per trade). Key provisions: Events of Default, Termination Events, close-out netting. Netting: critical risk reducer — reduces credit exposure to net MTM. Confirmations: T+1 deadline. India: English law preferred for INR swaps.</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Kavi: 'The ISDA Master Agreement transformed OTC derivatives from fragmented bilateral arrangements to a standardised global market. Without it, the $700+ trillion notional OTC derivatives market could not function.' Ryo: 'For operations professionals: ISDA documentation is not just legal paperwork. Every provision — from payment mechanics to default procedures — has direct operational implications. Knowing the ISDA is knowing how to run the business.'</w:t>
            </w:r>
          </w:p>
        </w:tc>
      </w:tr>
    </w:tbl>
    <w:p/>
    <w:p>
      <w:r>
        <w:rPr>
          <w:b/>
          <w:color w:val="F0A800"/>
          <w:sz w:val="18"/>
        </w:rPr>
        <w:t>▶  TRANSITION — Leads to: D8.7 Video 2 — Credit Support Annex and Collateral</w:t>
      </w:r>
    </w:p>
    <w:p/>
    <w:p>
      <w:r>
        <w:br w:type="page"/>
      </w:r>
    </w:p>
    <w:p>
      <w:pPr>
        <w:spacing w:before="360"/>
      </w:pPr>
      <w:r>
        <w:rPr>
          <w:b w:val="0"/>
          <w:color w:val="CCCCCC"/>
          <w:sz w:val="16"/>
        </w:rPr>
        <w:t>────────────────────────────────────────────────────────────</w:t>
      </w:r>
    </w:p>
    <w:p>
      <w:r>
        <w:rPr>
          <w:b/>
          <w:color w:val="101C4F"/>
          <w:sz w:val="28"/>
        </w:rPr>
        <w:t>D8.7  ·  Video 2 of 3</w:t>
      </w:r>
    </w:p>
    <w:p>
      <w:r>
        <w:rPr>
          <w:b w:val="0"/>
          <w:color w:val="007A87"/>
          <w:sz w:val="22"/>
        </w:rPr>
        <w:t>ISDA Master Agreement and Swap Documentation</w:t>
      </w:r>
    </w:p>
    <w:p>
      <w:r>
        <w:rPr>
          <w:b/>
          <w:color w:val="101C4F"/>
          <w:sz w:val="20"/>
        </w:rPr>
        <w:t>🔒  INTERNAL MAPPING — D8.7</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D8.7</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ISDA Master Agreement and Swap Documentation</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Understand the ISDA Master Agreement structure, key provisions, Credit Support Annex, and swap documentation workflow in India</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Apply</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Apply Credit Support Annex mechanics: collateral eligibility, threshold, MTA, and variation margin</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D8.7 Video 1 — ISDA Master Agreement Structure</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D8.7 Video 3 — ISDA in Indian Market Practice</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Credit Support Annex (CSA) terms between Bank A and Pension Fund B: Threshold (Bank A) = ₹50 crore. Threshold (Fund B) = ₹0. Minimum Transfer Amount (MTA) = ₹5 crore. Eligible collateral: Indian government bonds (haircut 2%), AAA corporate bonds (haircut 5%), cash INR. Valuation: daily, based on closing MTM prices.</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Ryo: 'The CSA governs how collateral (called credit support) flows between counterparties. Threshold: the amount of MTM exposure tolerated before collateral is required. Pension Fund threshold = ₹0 means they must post collateral for any MTM move against them.' Aria: 'Minimum Transfer Amount: the smallest amount of collateral that can be called. If the net collateral requirement is ₹4.8 crore — below the ₹5 crore MTA — no call is made. This prevents daily calls for tiny amounts.'</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Variation Margin (VM) call example: Portfolio MTM: IRS 1 = +₹30cr (bank owes), IRS 2 = −₹15cr (fund owes), IRS 3 = +₹40cr (bank owes). Net MTM = +₹55 crore owed BY bank to fund. Fund threshold = 0. Existing collateral posted by bank = ₹40 crore. VM call: ₹55cr − ₹40cr = ₹15cr. MTA check: ₹15cr &gt; ₹5cr MTA. Call goes out.</w:t>
            </w:r>
          </w:p>
        </w:tc>
        <w:tc>
          <w:tcPr>
            <w:tcW w:type="dxa" w:w="1994"/>
            <w:shd w:val="clear" w:color="auto" w:fill="FFFFFF"/>
          </w:tcPr>
          <w:p>
            <w:r>
              <w:rPr>
                <w:b w:val="0"/>
                <w:color w:val="404040"/>
                <w:sz w:val="16"/>
              </w:rPr>
              <w:t>VM CALCULATION</w:t>
            </w:r>
          </w:p>
        </w:tc>
        <w:tc>
          <w:tcPr>
            <w:tcW w:type="dxa" w:w="1994"/>
            <w:shd w:val="clear" w:color="auto" w:fill="FFFFFF"/>
          </w:tcPr>
          <w:p>
            <w:r>
              <w:rPr>
                <w:b w:val="0"/>
                <w:color w:val="404040"/>
                <w:sz w:val="16"/>
              </w:rPr>
              <w:t>Aria: 'The VM call process: (1) Compute net MTM across ALL trades under the ISDA. (2) Subtract threshold for the party in-the-money. (3) Subtract existing collateral held. (4) If residual &gt; MTA: issue a call to the out-of-the-money party.' Ryo: 'Timing: CSA calls must be issued by 10 AM (or per agreement). Counterparty must deliver collateral by 2 PM (or per agreement). For government bond collateral: delivery via CDSL/NSDL same day. For cash: RTGS payment.'</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Collateral haircuts: Indian G-Sec 10-year: 2% haircut. AAA corporate bond 5-year: 5% haircut. Cash INR: 0% haircut. Application: Pension Fund posts ₹20 crore face value G-Sec (market value ₹20.5 crore). After 2% haircut: collateral credit = 20.5 × (1−0.02) = ₹20.09 crore. Haircut reflects the risk that bond price falls before collateral can be liquidated.</w:t>
            </w:r>
          </w:p>
        </w:tc>
        <w:tc>
          <w:tcPr>
            <w:tcW w:type="dxa" w:w="1994"/>
            <w:shd w:val="clear" w:color="auto" w:fill="F0F8FA"/>
          </w:tcPr>
          <w:p>
            <w:r>
              <w:rPr>
                <w:b w:val="0"/>
                <w:color w:val="404040"/>
                <w:sz w:val="16"/>
              </w:rPr>
              <w:t>HAIRCUTS</w:t>
            </w:r>
          </w:p>
        </w:tc>
        <w:tc>
          <w:tcPr>
            <w:tcW w:type="dxa" w:w="1994"/>
            <w:shd w:val="clear" w:color="auto" w:fill="F0F8FA"/>
          </w:tcPr>
          <w:p>
            <w:r>
              <w:rPr>
                <w:b w:val="0"/>
                <w:color w:val="404040"/>
                <w:sz w:val="16"/>
              </w:rPr>
              <w:t>Ryo: 'Haircuts account for the potential fall in collateral value between the time it is received and the time it might need to be sold in a default scenario. More volatile assets get higher haircuts.' Aria: 'Operations must apply haircuts correctly to all non-cash collateral. Using the wrong haircut means either under-calling (leaving credit exposure) or over-calling (straining the counterparty's liquidity unnecessarily). Both errors have consequences — credit risk and relationship damage respectively.'</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Initial Margin (IM) — for bilateral non-cleared trades under EMIR/SEBI Phase-In: IM reflects potential future exposure over the margin period of risk (MPOR = 10 days). Based on ISDA SIMM (Standard Initial Margin Model) or grid-based approach. Posted to segregated account (not rehypothecatable). India: SEBI phasing in bilateral IM requirements for large dealers.</w:t>
            </w:r>
          </w:p>
        </w:tc>
        <w:tc>
          <w:tcPr>
            <w:tcW w:type="dxa" w:w="1994"/>
            <w:shd w:val="clear" w:color="auto" w:fill="FFFFFF"/>
          </w:tcPr>
          <w:p>
            <w:r>
              <w:rPr>
                <w:b w:val="0"/>
                <w:color w:val="404040"/>
                <w:sz w:val="16"/>
              </w:rPr>
              <w:t>INITIAL MARGIN</w:t>
            </w:r>
          </w:p>
        </w:tc>
        <w:tc>
          <w:tcPr>
            <w:tcW w:type="dxa" w:w="1994"/>
            <w:shd w:val="clear" w:color="auto" w:fill="FFFFFF"/>
          </w:tcPr>
          <w:p>
            <w:r>
              <w:rPr>
                <w:b w:val="0"/>
                <w:color w:val="404040"/>
                <w:sz w:val="16"/>
              </w:rPr>
              <w:t>Aria: 'Initial margin is the new challenge in OTC derivatives post-2008. SEBI is implementing the Basel Committee BCBS-IOSCO bilateral margin rules in phases. Large dealers must exchange both IM and VM for all non-cleared bilateral derivatives.' Ryo: 'The operational burden of IM is significant: custodian accounts, segregation agreements, SIMM model runs, daily IM reporting. Indian banks in the highest phase started complying in 2022.'</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CSA mechanics: Threshold (free exposure allowed). MTA (minimum call size). VM: daily net MTM − threshold − existing collateral. Eligible collateral + haircuts. IM: upfront margin for bilateral non-cleared trades. SEBI phasing in BCBS-IOSCO margin rules. Operations: daily CSA calls, collateral delivery, haircut application, custodian reconciliation.</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Aria: 'Collateral management is one of the fastest-growing areas of bank operations. The volume of daily collateral calls, the number of eligible assets, haircut calculations, and custodian reconciliations have increased dramatically with regulatory margin requirements.' Ryo: 'Next: how ISDA agreements work in the Indian market specifically — Indian insolvency law challenges, FEMA regulations, and the India-specific adaptations banks make to standard ISDA documentation.'</w:t>
            </w:r>
          </w:p>
        </w:tc>
      </w:tr>
    </w:tbl>
    <w:p/>
    <w:p>
      <w:r>
        <w:rPr>
          <w:b/>
          <w:color w:val="F0A800"/>
          <w:sz w:val="18"/>
        </w:rPr>
        <w:t>▶  TRANSITION — Leads to: D8.7 Video 3 — ISDA in Indian Market Practice</w:t>
      </w:r>
    </w:p>
    <w:p/>
    <w:p>
      <w:r>
        <w:br w:type="page"/>
      </w:r>
    </w:p>
    <w:p>
      <w:pPr>
        <w:spacing w:before="360"/>
      </w:pPr>
      <w:r>
        <w:rPr>
          <w:b w:val="0"/>
          <w:color w:val="CCCCCC"/>
          <w:sz w:val="16"/>
        </w:rPr>
        <w:t>────────────────────────────────────────────────────────────</w:t>
      </w:r>
    </w:p>
    <w:p>
      <w:r>
        <w:rPr>
          <w:b/>
          <w:color w:val="101C4F"/>
          <w:sz w:val="28"/>
        </w:rPr>
        <w:t>D8.7  ·  Video 3 of 3</w:t>
      </w:r>
    </w:p>
    <w:p>
      <w:r>
        <w:rPr>
          <w:b w:val="0"/>
          <w:color w:val="007A87"/>
          <w:sz w:val="22"/>
        </w:rPr>
        <w:t>ISDA Master Agreement and Swap Documentation</w:t>
      </w:r>
    </w:p>
    <w:p>
      <w:r>
        <w:rPr>
          <w:b/>
          <w:color w:val="101C4F"/>
          <w:sz w:val="20"/>
        </w:rPr>
        <w:t>🔒  INTERNAL MAPPING — D8.7</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D8.7</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ISDA Master Agreement and Swap Documentation</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Understand the ISDA Master Agreement structure, key provisions, Credit Support Annex, and swap documentation workflow in India</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Relate</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Relate ISDA documentation to Indian legal framework, FEMA, and netting enforceability challenges</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D8.7 Video 2 — CSA and Collateral Management</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D8.8 — Swap Clearing: CCIL and Central Counterparties</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Challenge: ISDA close-out netting enforceability in India. Problem: Indian insolvency law (IBC 2016) does not explicitly recognise ISDA netting for insolvent counterparties. Without legal netting recognition: creditors can cherry-pick — claim favourable trades, walk away from unfavourable ones.</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Aria: 'In the US, UK, and EU, close-out netting under ISDA is legally enforceable in insolvency — confirmed by law or court precedent. In India, this is less clear.' Motion: 'If an Indian counterparty goes bankrupt with 50 swap positions — some positive for the bank, some negative — the insolvency administrator might claim the positive ones (cherry-picking) while refusing to pay on the negative ones. The bank would lose significantly vs the netted position.'</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Indian legal developments: RBI's OTC Derivatives Framework (2020): recognises netting for CCIL-cleared positions definitively. For non-cleared bilateral positions: IBC 2016 does not explicitly exclude cherry-picking. ISDA lobbying with Finance Ministry for netting legislation — similar to Financial Contracts Act in other jurisdictions. Market practice: banks require collateral to mitigate netting uncertainty.</w:t>
            </w:r>
          </w:p>
        </w:tc>
        <w:tc>
          <w:tcPr>
            <w:tcW w:type="dxa" w:w="1994"/>
            <w:shd w:val="clear" w:color="auto" w:fill="FFFFFF"/>
          </w:tcPr>
          <w:p>
            <w:r>
              <w:rPr>
                <w:b w:val="0"/>
                <w:color w:val="404040"/>
                <w:sz w:val="16"/>
              </w:rPr>
              <w:t>INDIA LEGAL</w:t>
            </w:r>
          </w:p>
        </w:tc>
        <w:tc>
          <w:tcPr>
            <w:tcW w:type="dxa" w:w="1994"/>
            <w:shd w:val="clear" w:color="auto" w:fill="FFFFFF"/>
          </w:tcPr>
          <w:p>
            <w:r>
              <w:rPr>
                <w:b w:val="0"/>
                <w:color w:val="404040"/>
                <w:sz w:val="16"/>
              </w:rPr>
              <w:t>Motion: 'Banks dealing bilaterally with Indian NBFCs and corporates often require robust CSA arrangements with zero thresholds — precisely because netting enforceability is uncertain. Collateral reduces the risk even if netting is unenforceable.' Aria: 'For CCIL-cleared swaps, netting is fully enforceable — CCIL's clearing rules have been approved by RBI with explicit legal protection. This is another reason why mandatory clearing through CCIL reduces systemic risk.'</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FEMA (Foreign Exchange Management Act) implications: Cross-currency swaps between Indian residents and foreign banks require RBI approval or fall under specified automatic routes. ISDA confirmation for cross-currency swaps must reference FEMA compliance. Hedging requirement must be demonstrated with underlying exposure documentation. Banks must verify ECB/FEMA compliance before executing cross-currency ISDA.</w:t>
            </w:r>
          </w:p>
        </w:tc>
        <w:tc>
          <w:tcPr>
            <w:tcW w:type="dxa" w:w="1994"/>
            <w:shd w:val="clear" w:color="auto" w:fill="F0F8FA"/>
          </w:tcPr>
          <w:p>
            <w:r>
              <w:rPr>
                <w:b w:val="0"/>
                <w:color w:val="404040"/>
                <w:sz w:val="16"/>
              </w:rPr>
              <w:t>FEMA COMPLIANCE</w:t>
            </w:r>
          </w:p>
        </w:tc>
        <w:tc>
          <w:tcPr>
            <w:tcW w:type="dxa" w:w="1994"/>
            <w:shd w:val="clear" w:color="auto" w:fill="F0F8FA"/>
          </w:tcPr>
          <w:p>
            <w:r>
              <w:rPr>
                <w:b w:val="0"/>
                <w:color w:val="404040"/>
                <w:sz w:val="16"/>
              </w:rPr>
              <w:t>Aria: 'Operations at Indian banks executing cross-currency swaps must check: (1) Is the counterparty authorised to deal in FX derivatives under FEMA? (2) Is the swap for genuine hedging (required for residents with underlying exposure)? (3) Has the ECB loan documentation been provided if hedging ECB debt?' Motion: 'A swap executed without proper FEMA compliance exposes both the bank and the client to regulatory risk. FEMA violations can result in penalties up to three times the transaction value — a massive risk for large cross-currency swaps.'</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India OTC derivatives confirmation workflow: Trade agreed (voice or electronic). Bank issues confirmation (ISDA format) by T+1. Counterparty must affirm or dispute within ISDA timeline. CCIL registered for cleared trades (same day). SEBI/RBI trade repository reporting by end of day T. Confirmation unmatched for &gt;5 days: escalation required under SEBI/RBI guidance.</w:t>
            </w:r>
          </w:p>
        </w:tc>
        <w:tc>
          <w:tcPr>
            <w:tcW w:type="dxa" w:w="1994"/>
            <w:shd w:val="clear" w:color="auto" w:fill="FFFFFF"/>
          </w:tcPr>
          <w:p>
            <w:r>
              <w:rPr>
                <w:b w:val="0"/>
                <w:color w:val="404040"/>
                <w:sz w:val="16"/>
              </w:rPr>
              <w:t>CONFIRMATION WORKFLOW</w:t>
            </w:r>
          </w:p>
        </w:tc>
        <w:tc>
          <w:tcPr>
            <w:tcW w:type="dxa" w:w="1994"/>
            <w:shd w:val="clear" w:color="auto" w:fill="FFFFFF"/>
          </w:tcPr>
          <w:p>
            <w:r>
              <w:rPr>
                <w:b w:val="0"/>
                <w:color w:val="404040"/>
                <w:sz w:val="16"/>
              </w:rPr>
              <w:t>Motion: 'The confirmation workflow is the ops team's primary quality control. Late confirmations indicate either trade booking errors or counterparty disagreement. Each day a confirmation is unmatched is a day of uncontrolled credit risk.' Aria: 'SEBI requires brokers and dealers to maintain aged confirmation reports — showing all trades confirmed on time vs aged unconfirmed. This is reviewed in SEBI inspections. Operations teams must have a zero-tolerance policy for confirmation delays.'</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ISDA in India: Netting enforceability uncertain for bilateral non-cleared trades under IBC. CCIL clearing provides definitive netting protection. FEMA compliance required for cross-currency swaps. Confirmation: T+1, aged report monitored. Operations best practice: zero-threshold CSA for weaker counterparties, zero tolerance for late confirmations.</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Motion: 'The legal and regulatory framework around ISDA in India is evolving rapidly. Operations professionals must stay current with RBI circulars, ISDA guidance notes for Indian law, and FEMA regulations.' Aria: 'The combination of deep ISDA knowledge, Indian legal awareness, and FEMA compliance expertise makes an operations professional in OTC derivatives highly specialised and highly valued. Next: central clearing — the post-2008 solution that changed derivatives markets forever.'</w:t>
            </w:r>
          </w:p>
        </w:tc>
      </w:tr>
    </w:tbl>
    <w:p/>
    <w:p>
      <w:r>
        <w:rPr>
          <w:b/>
          <w:color w:val="F0A800"/>
          <w:sz w:val="18"/>
        </w:rPr>
        <w:t>▶  TRANSITION — Leads to: D8.8 — Swap Clearing: CCIL and Central Counterparties</w:t>
      </w:r>
    </w:p>
    <w:p/>
    <w:p>
      <w:r>
        <w:br w:type="page"/>
      </w:r>
    </w:p>
    <w:p>
      <w:pPr>
        <w:spacing w:before="360"/>
      </w:pPr>
      <w:r>
        <w:rPr>
          <w:b w:val="0"/>
          <w:color w:val="CCCCCC"/>
          <w:sz w:val="16"/>
        </w:rPr>
        <w:t>────────────────────────────────────────────────────────────</w:t>
      </w:r>
    </w:p>
    <w:p>
      <w:r>
        <w:rPr>
          <w:b/>
          <w:color w:val="101C4F"/>
          <w:sz w:val="28"/>
        </w:rPr>
        <w:t>D8.8  ·  Video 1 of 3</w:t>
      </w:r>
    </w:p>
    <w:p>
      <w:r>
        <w:rPr>
          <w:b w:val="0"/>
          <w:color w:val="007A87"/>
          <w:sz w:val="22"/>
        </w:rPr>
        <w:t>Swap Clearing: CCIL and Central Counterparties</w:t>
      </w:r>
    </w:p>
    <w:p>
      <w:r>
        <w:rPr>
          <w:b/>
          <w:color w:val="101C4F"/>
          <w:sz w:val="20"/>
        </w:rPr>
        <w:t>🔒  INTERNAL MAPPING — D8.8</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D8.8</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Swap Clearing: CCIL and Central Counterparties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Understand CCP clearing mechanics, CCIL's role in Indian swap markets, margin methodology, and default management</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Explain</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Explain CCP clearing mechanics: novation, netting, and the waterfall of financial resources</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D8.7 — ISDA Master Agreement</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D8.8 Video 2 — CCIL Margin Methodology</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Pre-CCP: web of bilateral swap exposures between 6 banks. Each bank has bilateral exposure to 5 others. Total bilateral exposures = 15 pairs. Each pair has its own margin, documentation, and credit risk. Post-CCP: all 6 banks face only CCIL. Net bilateral exposure collapses to 6 single CCIL-facing positions.</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Kavi: 'Before mandatory CCP clearing (pre-2008), the OTC derivatives market was a web of bilateral exposures. Lehman Brothers had $35 trillion in swap notional outstanding with hundreds of counterparties — when they failed, unravelling all bilateral positions took years.' Ryo: 'CCP clearing solves this by inserting a central counterparty between every pair of dealers. CCIL becomes the buyer to every seller and seller to every buyer — through novation. Bilateral web becomes a hub-and-spoke.'</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Novation process: Original trade — Bank A pays fixed, Bank B receives fixed. After CCIL clearing: Trade 1: Bank A pays fixed to CCIL. Trade 2: CCIL pays fixed to Bank B. Original A–B bilateral trade legally replaced by two CCIL-facing trades. Bank A no longer has any direct credit exposure to Bank B.</w:t>
            </w:r>
          </w:p>
        </w:tc>
        <w:tc>
          <w:tcPr>
            <w:tcW w:type="dxa" w:w="1994"/>
            <w:shd w:val="clear" w:color="auto" w:fill="FFFFFF"/>
          </w:tcPr>
          <w:p>
            <w:r>
              <w:rPr>
                <w:b w:val="0"/>
                <w:color w:val="404040"/>
                <w:sz w:val="16"/>
              </w:rPr>
              <w:t>NOVATION</w:t>
            </w:r>
          </w:p>
        </w:tc>
        <w:tc>
          <w:tcPr>
            <w:tcW w:type="dxa" w:w="1994"/>
            <w:shd w:val="clear" w:color="auto" w:fill="FFFFFF"/>
          </w:tcPr>
          <w:p>
            <w:r>
              <w:rPr>
                <w:b w:val="0"/>
                <w:color w:val="404040"/>
                <w:sz w:val="16"/>
              </w:rPr>
              <w:t>Ryo: 'Novation is the legal act of replacing one contract with two. The original A–B trade ceases to exist — it is replaced by an A–CCIL trade and a B–CCIL trade. CCIL has taken on the credit risk of both A and B.' Kavi: 'This is why CCPs require strong capital, margin, and default resources — they are now counterparty to everyone. If CCIL itself fails, the entire market fails. This makes CCPs systemically critical institutions, regulated very tightly.'</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Multilateral netting through CCIL: Bank A: 10 IRS trades with different counterparties. Before CCIL: 10 separate gross settlement obligations. After CCIL: CCIL nets all of Bank A's positions. Bank A has ONE net position with CCIL. Net settlement amount: much smaller than sum of gross obligations. Example: ₹5,000 crore gross → ₹200 crore net (96% reduction).</w:t>
            </w:r>
          </w:p>
        </w:tc>
        <w:tc>
          <w:tcPr>
            <w:tcW w:type="dxa" w:w="1994"/>
            <w:shd w:val="clear" w:color="auto" w:fill="F0F8FA"/>
          </w:tcPr>
          <w:p>
            <w:r>
              <w:rPr>
                <w:b w:val="0"/>
                <w:color w:val="404040"/>
                <w:sz w:val="16"/>
              </w:rPr>
              <w:t>MULTILATERAL NETTING</w:t>
            </w:r>
          </w:p>
        </w:tc>
        <w:tc>
          <w:tcPr>
            <w:tcW w:type="dxa" w:w="1994"/>
            <w:shd w:val="clear" w:color="auto" w:fill="F0F8FA"/>
          </w:tcPr>
          <w:p>
            <w:r>
              <w:rPr>
                <w:b w:val="0"/>
                <w:color w:val="404040"/>
                <w:sz w:val="16"/>
              </w:rPr>
              <w:t>Kavi: 'Multilateral netting is one of the biggest economic benefits of CCP clearing. Instead of settling 10 separate positions against 10 different counterparties, Bank A settles only the net amount with CCIL.' Ryo: 'The 96% netting efficiency means banks need far less liquidity to settle — reducing systemic liquidity demands. CCIL publishes its netting efficiency data — typically 90–97% across its services.'</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CCP default management waterfall: (1) Defaulting member's initial margin. (2) Defaulting member's default fund contribution. (3) CCIL's own capital (skin in the game). (4) Surviving members' default fund contributions (mutualized loss). (5) CCIL's remaining capital. If all exhausted → extreme measures (variation margin haircutting).</w:t>
            </w:r>
          </w:p>
        </w:tc>
        <w:tc>
          <w:tcPr>
            <w:tcW w:type="dxa" w:w="1994"/>
            <w:shd w:val="clear" w:color="auto" w:fill="FFFFFF"/>
          </w:tcPr>
          <w:p>
            <w:r>
              <w:rPr>
                <w:b w:val="0"/>
                <w:color w:val="404040"/>
                <w:sz w:val="16"/>
              </w:rPr>
              <w:t>DEFAULT WATERFALL</w:t>
            </w:r>
          </w:p>
        </w:tc>
        <w:tc>
          <w:tcPr>
            <w:tcW w:type="dxa" w:w="1994"/>
            <w:shd w:val="clear" w:color="auto" w:fill="FFFFFF"/>
          </w:tcPr>
          <w:p>
            <w:r>
              <w:rPr>
                <w:b w:val="0"/>
                <w:color w:val="404040"/>
                <w:sz w:val="16"/>
              </w:rPr>
              <w:t>Ryo: 'The waterfall ensures losses are absorbed in a specific order — first by the defaulter, then by CCIL, then by other members. This protects the broader market from one bank's failure.' Kavi: 'CCIL's Settlement Guarantee Fund (SGF) covers layers 2–5. Members contribute to the SGF based on their exposure size. The largest participants contribute the most — because their default would be the most damaging.'</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CCP clearing: Novation — original bilateral trade replaced by two CCP-facing trades. Multilateral netting — net position per member, not gross. Default waterfall: defaulter IM → default fund → CCP capital → mutual fund. CCIL: India's central CCP for IRS, OIS, G-secs, FX. Systemically critical institution — tightly regulated by RBI.</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Kavi: 'The G20 mandated central clearing for standardised OTC derivatives after 2008 — precisely because the opacity and bilateral exposure web amplified the crisis. India implemented this through CCIL mandatory clearing for rupee IRS in 2013.' Ryo: 'Operations professionals must understand CCP mechanics deeply — because clearing affects trade booking, margin management, settlement, and default procedures that are core daily responsibilities.'</w:t>
            </w:r>
          </w:p>
        </w:tc>
      </w:tr>
    </w:tbl>
    <w:p/>
    <w:p>
      <w:r>
        <w:rPr>
          <w:b/>
          <w:color w:val="F0A800"/>
          <w:sz w:val="18"/>
        </w:rPr>
        <w:t>▶  TRANSITION — Leads to: D8.8 Video 2 — CCIL Margin Methodology</w:t>
      </w:r>
    </w:p>
    <w:p/>
    <w:p>
      <w:r>
        <w:br w:type="page"/>
      </w:r>
    </w:p>
    <w:p>
      <w:pPr>
        <w:spacing w:before="360"/>
      </w:pPr>
      <w:r>
        <w:rPr>
          <w:b w:val="0"/>
          <w:color w:val="CCCCCC"/>
          <w:sz w:val="16"/>
        </w:rPr>
        <w:t>────────────────────────────────────────────────────────────</w:t>
      </w:r>
    </w:p>
    <w:p>
      <w:r>
        <w:rPr>
          <w:b/>
          <w:color w:val="101C4F"/>
          <w:sz w:val="28"/>
        </w:rPr>
        <w:t>D8.8  ·  Video 2 of 3</w:t>
      </w:r>
    </w:p>
    <w:p>
      <w:r>
        <w:rPr>
          <w:b w:val="0"/>
          <w:color w:val="007A87"/>
          <w:sz w:val="22"/>
        </w:rPr>
        <w:t>Swap Clearing: CCIL and Central Counterparties</w:t>
      </w:r>
    </w:p>
    <w:p>
      <w:r>
        <w:rPr>
          <w:b/>
          <w:color w:val="101C4F"/>
          <w:sz w:val="20"/>
        </w:rPr>
        <w:t>🔒  INTERNAL MAPPING — D8.8</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D8.8</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Swap Clearing: CCIL and Central Counterparties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Understand CCP clearing mechanics, CCIL's role in Indian swap markets, margin methodology, and default management</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Apply</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Apply CCIL margin methodology: initial margin computation, variation margin, and stress testing</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D8.8 Video 1 — CCP Clearing and Novation</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D8.8 Video 3 — CCIL Settlement Operations</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CCIL IRS margin framework: Initial Margin (IM) = maximum potential loss over 5-day margin period at 99% confidence. Variation Margin (VM) = daily MTM change. Both collected in Indian government bonds (G-Sec) or cash. IM reviewed at minimum quarterly; VM collected/paid daily by 10 AM.</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Ryo: 'CCIL's margin methodology for IRS uses a simulation-based approach: it generates thousands of scenarios of MIBOR curve changes and computes the maximum loss on the portfolio across all scenarios at 99% confidence over 5 days.' Aria: 'The 5-day margin period of risk (MPOR) reflects the time CCIL might need to close out a defaulting member's positions — 5 days accounts for time to declare default, find replacement counterparties, and execute close-out trades.'</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IM calculation example: Bank pays fixed 7% on ₹500 crore 5-year IRS. CCIL computes: if MIBOR curve shifts +100bps (yield curve moves against payer), MTM loss = ₹500cr × Duration × 100bps. 5-year duration ≈ 4.5. Loss = ₹500cr × 4.5 × 1% = ₹22.5 crore. 99% confidence scaling for 5 days: IM ≈ ₹22.5 crore (approx).</w:t>
            </w:r>
          </w:p>
        </w:tc>
        <w:tc>
          <w:tcPr>
            <w:tcW w:type="dxa" w:w="1994"/>
            <w:shd w:val="clear" w:color="auto" w:fill="FFFFFF"/>
          </w:tcPr>
          <w:p>
            <w:r>
              <w:rPr>
                <w:b w:val="0"/>
                <w:color w:val="404040"/>
                <w:sz w:val="16"/>
              </w:rPr>
              <w:t>IM CALCULATION</w:t>
            </w:r>
          </w:p>
        </w:tc>
        <w:tc>
          <w:tcPr>
            <w:tcW w:type="dxa" w:w="1994"/>
            <w:shd w:val="clear" w:color="auto" w:fill="FFFFFF"/>
          </w:tcPr>
          <w:p>
            <w:r>
              <w:rPr>
                <w:b w:val="0"/>
                <w:color w:val="404040"/>
                <w:sz w:val="16"/>
              </w:rPr>
              <w:t>Aria: 'The IM is approximately the DV01 × maximum expected curve move × 5-day scaling. For a large IRS book with offsetting positions, the portfolio IM will be less than the sum of individual IMs due to netting benefits.' Ryo: 'CCIL publishes IM calculators for members to estimate margin before executing trades. Operations teams check margin availability before accepting large IRS trades — insufficient margin could require the trading desk to unwind.'</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Daily VM process: 5 PM: CCIL marks all IRS positions at closing MIBOR curve. Computes net MTM change per member. Net gainers: CCIL credits their margin account. Net losers: CCIL issues VM call. VM must be received by CCIL by 10 AM next morning. Late VM = margin call default → position close-out.</w:t>
            </w:r>
          </w:p>
        </w:tc>
        <w:tc>
          <w:tcPr>
            <w:tcW w:type="dxa" w:w="1994"/>
            <w:shd w:val="clear" w:color="auto" w:fill="F0F8FA"/>
          </w:tcPr>
          <w:p>
            <w:r>
              <w:rPr>
                <w:b w:val="0"/>
                <w:color w:val="404040"/>
                <w:sz w:val="16"/>
              </w:rPr>
              <w:t>VM DAILY</w:t>
            </w:r>
          </w:p>
        </w:tc>
        <w:tc>
          <w:tcPr>
            <w:tcW w:type="dxa" w:w="1994"/>
            <w:shd w:val="clear" w:color="auto" w:fill="F0F8FA"/>
          </w:tcPr>
          <w:p>
            <w:r>
              <w:rPr>
                <w:b w:val="0"/>
                <w:color w:val="404040"/>
                <w:sz w:val="16"/>
              </w:rPr>
              <w:t>Ryo: 'The daily VM discipline is strict. A bank with 100 IRS trades might have total VM of ±₹50 crore daily depending on rate moves. Operations must have pre-positioned collateral or cash ready for potential VM calls.' Aria: 'Intraday margin calls: during extreme volatility (VIX events, RBI emergency rate changes), CCIL can issue intraday margin calls. Operations must respond within 2 hours. Not being able to meet an intraday call is a serious credit event.'</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CCIL stress testing: Daily stress scenarios: 10 historical stress periods (2008 GFC, 2013 taper tantrum, 2020 COVID). Hypothetical extreme scenarios: +300bps MIBOR shock, curve inversion. Stress loss vs available resources: IM + default fund must cover top-2 member default simultaneously (Cover-2 standard). If stress loss &gt; resources: CCIL adds to SGF.</w:t>
            </w:r>
          </w:p>
        </w:tc>
        <w:tc>
          <w:tcPr>
            <w:tcW w:type="dxa" w:w="1994"/>
            <w:shd w:val="clear" w:color="auto" w:fill="FFFFFF"/>
          </w:tcPr>
          <w:p>
            <w:r>
              <w:rPr>
                <w:b w:val="0"/>
                <w:color w:val="404040"/>
                <w:sz w:val="16"/>
              </w:rPr>
              <w:t>STRESS TESTING</w:t>
            </w:r>
          </w:p>
        </w:tc>
        <w:tc>
          <w:tcPr>
            <w:tcW w:type="dxa" w:w="1994"/>
            <w:shd w:val="clear" w:color="auto" w:fill="FFFFFF"/>
          </w:tcPr>
          <w:p>
            <w:r>
              <w:rPr>
                <w:b w:val="0"/>
                <w:color w:val="404040"/>
                <w:sz w:val="16"/>
              </w:rPr>
              <w:t>Aria: 'The Cover-2 standard is a global requirement for CCPs: the margin and default fund resources must be sufficient to survive the simultaneous default of the two largest members without CCIL failing.' Ryo: 'CCIL publishes quarterly quantitative disclosures on its margin resources and stress test results. Operations and risk teams review these to assess CCIL counterparty risk — because CCIL is now the counterparty for all cleared trades.'</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CCIL margin: IM = 5-day 99% VaR on portfolio. VM = daily MTM change. Collected in G-Sec or cash. VM timing: call by 5 PM, receipt by 10 AM next day. Intraday calls during stress. Default fund = mutualised loss pool. Stress testing: Cover-2 standard. Operations: pre-position collateral, monitor VM calls daily, escalate misses immediately.</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Aria: 'Margin management for CCIL-cleared swaps is a high-stakes daily operation. A missed VM call can trigger a chain of consequences: default declaration, position close-out, damage to the bank's reputation with CCIL, and regulatory reporting obligations.' Ryo: 'Operations teams at active clearing members must have real-time visibility of their CCIL margin positions, with automated alerts for calls approaching. Manual processes are insufficient for this scale and precision.'</w:t>
            </w:r>
          </w:p>
        </w:tc>
      </w:tr>
    </w:tbl>
    <w:p/>
    <w:p>
      <w:r>
        <w:rPr>
          <w:b/>
          <w:color w:val="F0A800"/>
          <w:sz w:val="18"/>
        </w:rPr>
        <w:t>▶  TRANSITION — Leads to: D8.8 Video 3 — CCIL Settlement Operations</w:t>
      </w:r>
    </w:p>
    <w:p/>
    <w:p>
      <w:r>
        <w:br w:type="page"/>
      </w:r>
    </w:p>
    <w:p>
      <w:pPr>
        <w:spacing w:before="360"/>
      </w:pPr>
      <w:r>
        <w:rPr>
          <w:b w:val="0"/>
          <w:color w:val="CCCCCC"/>
          <w:sz w:val="16"/>
        </w:rPr>
        <w:t>────────────────────────────────────────────────────────────</w:t>
      </w:r>
    </w:p>
    <w:p>
      <w:r>
        <w:rPr>
          <w:b/>
          <w:color w:val="101C4F"/>
          <w:sz w:val="28"/>
        </w:rPr>
        <w:t>D8.8  ·  Video 3 of 3</w:t>
      </w:r>
    </w:p>
    <w:p>
      <w:r>
        <w:rPr>
          <w:b w:val="0"/>
          <w:color w:val="007A87"/>
          <w:sz w:val="22"/>
        </w:rPr>
        <w:t>Swap Clearing: CCIL and Central Counterparties</w:t>
      </w:r>
    </w:p>
    <w:p>
      <w:r>
        <w:rPr>
          <w:b/>
          <w:color w:val="101C4F"/>
          <w:sz w:val="20"/>
        </w:rPr>
        <w:t>🔒  INTERNAL MAPPING — D8.8</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D8.8</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Swap Clearing: CCIL and Central Counterparties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Understand CCP clearing mechanics, CCIL's role in Indian swap markets, margin methodology, and default management</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Relate</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Relate CCIL operations to the full settlement lifecycle: trade registration, coupon settlement, and default management</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D8.8 Video 2 — CCIL Margin Methodology</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D8.9 — Swap Valuation: MTM and Accounting</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CCIL IRS settlement lifecycle: Day 0: trade registered (within 30 min). Day 0 PM: IM charged. Day 1–N: daily VM. Every payment date: net cash settlement via RBI RTGS. Maturity: final net payment + return of IM.</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Aria: 'The CCIL IRS settlement lifecycle spans from trade registration to final maturity — potentially 10+ years for long-dated swaps. Operations must track every step consistently.' Motion: 'The most critical points: (1) Same-day trade registration — failure = unauthorised bilateral exposure. (2) Daily VM — failure = default trigger. (3) Payment date settlement — failure = default trigger. Each failure point has escalating consequences.'</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IRS coupon settlement process: Payment date: CCIL calculates net payment for each member (sum of fixed payments due from all matched trades minus floating payments receivable). Net payment instruction: CCIL sends debit/credit instruction to member's RTGS account. Member must pre-fund RTGS account by 9 AM. CCIL settles by 11 AM. Confirmation from CCIL by 12 PM.</w:t>
            </w:r>
          </w:p>
        </w:tc>
        <w:tc>
          <w:tcPr>
            <w:tcW w:type="dxa" w:w="1994"/>
            <w:shd w:val="clear" w:color="auto" w:fill="FFFFFF"/>
          </w:tcPr>
          <w:p>
            <w:r>
              <w:rPr>
                <w:b w:val="0"/>
                <w:color w:val="404040"/>
                <w:sz w:val="16"/>
              </w:rPr>
              <w:t>PAYMENT SETTLEMENT</w:t>
            </w:r>
          </w:p>
        </w:tc>
        <w:tc>
          <w:tcPr>
            <w:tcW w:type="dxa" w:w="1994"/>
            <w:shd w:val="clear" w:color="auto" w:fill="FFFFFF"/>
          </w:tcPr>
          <w:p>
            <w:r>
              <w:rPr>
                <w:b w:val="0"/>
                <w:color w:val="404040"/>
                <w:sz w:val="16"/>
              </w:rPr>
              <w:t>Motion: 'Pre-funding is key. If a bank's IRS payment date is tomorrow and it owes ₹80 crore net to CCIL, the treasury must ensure ₹80 crore is available in RTGS by 9 AM.' Aria: 'Operations must produce the expected payment schedule for all upcoming IRS coupon dates — typically looking 2 weeks ahead — and coordinate with treasury for funding. Surprises on payment days indicate a failure in the payments calendar system.'</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CCIL default management procedure: Default trigger: missed VM call or payment. CCIL notifies member of default. Default confirmed: CCIL begins close-out. Hedging: CCIL executes replacement trades for defaulter's book in market. Close-out netting: all defaulter's trades terminated and netted per ISDA. Net amount owed by/to defaulter calculated. Recovered from IM; deficit covered by default fund.</w:t>
            </w:r>
          </w:p>
        </w:tc>
        <w:tc>
          <w:tcPr>
            <w:tcW w:type="dxa" w:w="1994"/>
            <w:shd w:val="clear" w:color="auto" w:fill="F0F8FA"/>
          </w:tcPr>
          <w:p>
            <w:r>
              <w:rPr>
                <w:b w:val="0"/>
                <w:color w:val="404040"/>
                <w:sz w:val="16"/>
              </w:rPr>
              <w:t>DEFAULT MANAGEMENT</w:t>
            </w:r>
          </w:p>
        </w:tc>
        <w:tc>
          <w:tcPr>
            <w:tcW w:type="dxa" w:w="1994"/>
            <w:shd w:val="clear" w:color="auto" w:fill="F0F8FA"/>
          </w:tcPr>
          <w:p>
            <w:r>
              <w:rPr>
                <w:b w:val="0"/>
                <w:color w:val="404040"/>
                <w:sz w:val="16"/>
              </w:rPr>
              <w:t>Aria: 'CCIL's default management procedure follows internationally recognized principles. Speed is critical: the longer a defaulter's open positions remain unhedged, the more CCIL is exposed to market risk.' Motion: 'Surviving members have ongoing obligations during a default: continue posting VM, continue meeting payment obligations. Defaults cannot freeze the surviving market. CCIL has tested its default management through fire drills with member banks.'</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CCIL Trade Repository reporting: Every OTC derivative trade (IRS, OIS, CCS, CDS) must be reported to CCIL TR by end of day T. Report includes: counterparties, instrument details, notional, rate, tenor. RBI accesses TR data for systemic risk monitoring. SEBI accesses for market surveillance. International reporting: CPMI-IOSCO OTC derivatives data standards.</w:t>
            </w:r>
          </w:p>
        </w:tc>
        <w:tc>
          <w:tcPr>
            <w:tcW w:type="dxa" w:w="1994"/>
            <w:shd w:val="clear" w:color="auto" w:fill="FFFFFF"/>
          </w:tcPr>
          <w:p>
            <w:r>
              <w:rPr>
                <w:b w:val="0"/>
                <w:color w:val="404040"/>
                <w:sz w:val="16"/>
              </w:rPr>
              <w:t>TR REPORTING</w:t>
            </w:r>
          </w:p>
        </w:tc>
        <w:tc>
          <w:tcPr>
            <w:tcW w:type="dxa" w:w="1994"/>
            <w:shd w:val="clear" w:color="auto" w:fill="FFFFFF"/>
          </w:tcPr>
          <w:p>
            <w:r>
              <w:rPr>
                <w:b w:val="0"/>
                <w:color w:val="404040"/>
                <w:sz w:val="16"/>
              </w:rPr>
              <w:t>Motion: 'Trade repository reporting is a regulatory obligation with zero tolerance for failure. Late or incorrect reporting triggers show-cause notices from RBI. Each unreported trade is a separate violation.' Aria: 'Operations must have automated trade reporting pipelines. Every executed OTC derivative triggers an immediate report to CCIL TR. Manual backup procedures must exist for system failures. Evidence of every report submitted must be archived for regulatory audit.'</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CCIL lifecycle: Registration (30 min). Daily IM/VM. Payment date settlement via RTGS. Default management: close-out, replacement hedging, waterfall. TR reporting: end of day T, every OTC trade. Operations best practices: automated registration and reporting, 2-week funding calendar, pre-positioned margin, real-time VM alerts.</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Motion: 'CCIL is the backbone of India's OTC derivatives market. Every bank active in IRS, OIS, or CCS depends on CCIL's clearing and settlement infrastructure. Operations professionals at CCIL member banks are, in a very real sense, keeping Indian financial markets running every single day.' Aria: 'Next: swap valuation from an accounting perspective — how MTM appears in financial statements, and how accounting treatment affects reported profits and capital.'</w:t>
            </w:r>
          </w:p>
        </w:tc>
      </w:tr>
    </w:tbl>
    <w:p/>
    <w:p>
      <w:r>
        <w:rPr>
          <w:b/>
          <w:color w:val="F0A800"/>
          <w:sz w:val="18"/>
        </w:rPr>
        <w:t>▶  TRANSITION — Leads to: D8.9 — Swap Valuation: MTM and Accounting</w:t>
      </w:r>
    </w:p>
    <w:p/>
    <w:p>
      <w:r>
        <w:br w:type="page"/>
      </w:r>
    </w:p>
    <w:p>
      <w:pPr>
        <w:spacing w:before="360"/>
      </w:pPr>
      <w:r>
        <w:rPr>
          <w:b w:val="0"/>
          <w:color w:val="CCCCCC"/>
          <w:sz w:val="16"/>
        </w:rPr>
        <w:t>────────────────────────────────────────────────────────────</w:t>
      </w:r>
    </w:p>
    <w:p>
      <w:r>
        <w:rPr>
          <w:b/>
          <w:color w:val="101C4F"/>
          <w:sz w:val="28"/>
        </w:rPr>
        <w:t>D8.9  ·  Video 1 of 3</w:t>
      </w:r>
    </w:p>
    <w:p>
      <w:r>
        <w:rPr>
          <w:b w:val="0"/>
          <w:color w:val="007A87"/>
          <w:sz w:val="22"/>
        </w:rPr>
        <w:t>Swap Valuation, MTM and Hedge Accounting</w:t>
      </w:r>
    </w:p>
    <w:p>
      <w:r>
        <w:rPr>
          <w:b/>
          <w:color w:val="101C4F"/>
          <w:sz w:val="20"/>
        </w:rPr>
        <w:t>🔒  INTERNAL MAPPING — D8.9</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D8.9</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Swap Valuation, MTM and Hedge Accounting</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Understand swap MTM methodology, fair value vs cash flow hedge accounting under Ind AS 109, and hedge effectiveness testing</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Explain</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Explain swap MTM computation: present value of legs, discount factors, and yield curve inputs</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D8.8 — Swap Clearing: CCIL and CCPs</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D8.9 Video 2 — Hedge Accounting under Ind AS 109</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IRS MTM methodology: Value of IRS = PV(fixed leg) − PV(floating leg). Each cash flow discounted at its own discount factor from the zero-coupon yield curve. Zero curve bootstrapped from market instruments: OIS rates, IRS par rates, G-sec yields.</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Kavi: 'IRS valuation requires three steps: (1) Project all future cash flows on both legs. (2) Determine the discount factor for each cash flow date. (3) Sum the present values of all future cash flows. The net result is the mark-to-market value.' Ryo: 'The discount factors come from the risk-free yield curve — in India, bootstrapped from CCIL-published OIS and IRS mid rates. Every maturity point has a discount factor = present value of ₹1 received at that date.'</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Fixed leg PV example: 3-year IRS, pay fixed 7%, ₹100 crore, semi-annual. Cash flows: 6m: 3.5cr, 12m: 3.5cr, 18m: 3.5cr, 24m: 3.5cr, 30m: 3.5cr, 36m: 3.5cr. Discount factors: d(0.5)=0.967, d(1.0)=0.935, d(1.5)=0.903, d(2.0)=0.873, d(2.5)=0.843, d(3.0)=0.815. PV(fixed leg) = Σ(cash flow × discount factor) = 3.5 × (0.967+0.935+...+0.815) crore.</w:t>
            </w:r>
          </w:p>
        </w:tc>
        <w:tc>
          <w:tcPr>
            <w:tcW w:type="dxa" w:w="1994"/>
            <w:shd w:val="clear" w:color="auto" w:fill="FFFFFF"/>
          </w:tcPr>
          <w:p>
            <w:r>
              <w:rPr>
                <w:b w:val="0"/>
                <w:color w:val="404040"/>
                <w:sz w:val="16"/>
              </w:rPr>
              <w:t>FIXED LEG PV</w:t>
            </w:r>
          </w:p>
        </w:tc>
        <w:tc>
          <w:tcPr>
            <w:tcW w:type="dxa" w:w="1994"/>
            <w:shd w:val="clear" w:color="auto" w:fill="FFFFFF"/>
          </w:tcPr>
          <w:p>
            <w:r>
              <w:rPr>
                <w:b w:val="0"/>
                <w:color w:val="404040"/>
                <w:sz w:val="16"/>
              </w:rPr>
              <w:t>Ryo: 'Each fixed cash flow is discounted at the appropriate zero-rate discount factor. The sum gives the present value of all future fixed payments.' Kavi: 'PV(fixed leg) = 3.5 × (0.967 + 0.935 + 0.903 + 0.873 + 0.843 + 0.815) × 1 crore = 3.5 × 5.336 crore = ₹18.676 crore. This is what the fixed payer will pay in present value terms.'</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Floating leg PV: At inception, PV(floating leg) = notional × (1 − d(maturity)). Because: at inception, a floating rate bond priced at par → PV of floating payments = par. PV(floating leg) = 100 × (1 − 0.815) = ₹18.5 crore. If d(3Y) has changed since inception due to rate moves, this updates.</w:t>
            </w:r>
          </w:p>
        </w:tc>
        <w:tc>
          <w:tcPr>
            <w:tcW w:type="dxa" w:w="1994"/>
            <w:shd w:val="clear" w:color="auto" w:fill="F0F8FA"/>
          </w:tcPr>
          <w:p>
            <w:r>
              <w:rPr>
                <w:b w:val="0"/>
                <w:color w:val="404040"/>
                <w:sz w:val="16"/>
              </w:rPr>
              <w:t>FLOATING LEG PV</w:t>
            </w:r>
          </w:p>
        </w:tc>
        <w:tc>
          <w:tcPr>
            <w:tcW w:type="dxa" w:w="1994"/>
            <w:shd w:val="clear" w:color="auto" w:fill="F0F8FA"/>
          </w:tcPr>
          <w:p>
            <w:r>
              <w:rPr>
                <w:b w:val="0"/>
                <w:color w:val="404040"/>
                <w:sz w:val="16"/>
              </w:rPr>
              <w:t>Kavi: 'At inception, the IRS has zero value: PV(fixed) = PV(floating) at the par swap rate. After inception, rate moves make one leg more valuable than the other.' Ryo: 'If rates rise: PV(fixed) falls (future fixed payments discounted more heavily). PV(floating) rises (floating rate will pay more). Fixed payer's position improves in value. This is why fixed payers benefit from rising rates — their fixed payments look cheap versus the higher market.'</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MTM example: IRS entered at 7% fixed (par rate). 1 year later, par swap rate for 2-year IRS = 7.8%. The existing 2-year remaining IRS is worth: approximately (7.8% − 7.0%) × DV01 per year. 0.8% × ₹100cr × 1.84 (2yr annuity PV at 7.8%) = ₹1.472 crore (MTM gain for fixed payer).</w:t>
            </w:r>
          </w:p>
        </w:tc>
        <w:tc>
          <w:tcPr>
            <w:tcW w:type="dxa" w:w="1994"/>
            <w:shd w:val="clear" w:color="auto" w:fill="FFFFFF"/>
          </w:tcPr>
          <w:p>
            <w:r>
              <w:rPr>
                <w:b w:val="0"/>
                <w:color w:val="404040"/>
                <w:sz w:val="16"/>
              </w:rPr>
              <w:t>MTM EXAMPLE</w:t>
            </w:r>
          </w:p>
        </w:tc>
        <w:tc>
          <w:tcPr>
            <w:tcW w:type="dxa" w:w="1994"/>
            <w:shd w:val="clear" w:color="auto" w:fill="FFFFFF"/>
          </w:tcPr>
          <w:p>
            <w:r>
              <w:rPr>
                <w:b w:val="0"/>
                <w:color w:val="404040"/>
                <w:sz w:val="16"/>
              </w:rPr>
              <w:t>Kavi: 'Rising rates benefit the fixed payer — their fixed rate looks cheap. The MTM gain for the fixed payer = rate increase × notional × duration (simplified).' Ryo: 'Every 1 basis point move in the yield curve changes the swap value — this is DV01. Knowing the DV01 of a swap book allows instant calculation of P&amp;L impact from yield curve shifts. A ₹500 crore IRS book with DV01 of ₹5 lakh/bp × 10bp rate move = ₹50 lakh MTM change.'</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Swap MTM: PV(fixed) − PV(floating). Discount from zero-coupon yield curve (bootstrapped from market rates). Fixed leg: Σ(coupon × discount factor). Floating leg: notional × (1 − last discount factor). DV01: MTM sensitivity to 1bp rate change. Rising rates: fixed payer gains. Falling rates: fixed receiver gains.</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Ryo: 'Swap valuation is the foundation of risk management — DV01 tells you the exact P&amp;L impact of market moves. It is used for: daily P&amp;L attribution, hedge effectiveness testing, risk limits monitoring, and regulatory capital calculation.' Kavi: 'Next: how these MTM values feed into accounting — and why the accounting treatment (P&amp;L vs OCI) matters enormously for banks'  reported results.'</w:t>
            </w:r>
          </w:p>
        </w:tc>
      </w:tr>
    </w:tbl>
    <w:p/>
    <w:p>
      <w:r>
        <w:rPr>
          <w:b/>
          <w:color w:val="F0A800"/>
          <w:sz w:val="18"/>
        </w:rPr>
        <w:t>▶  TRANSITION — Leads to: D8.9 Video 2 — Hedge Accounting under Ind AS 109</w:t>
      </w:r>
    </w:p>
    <w:p/>
    <w:p>
      <w:r>
        <w:br w:type="page"/>
      </w:r>
    </w:p>
    <w:p>
      <w:pPr>
        <w:spacing w:before="360"/>
      </w:pPr>
      <w:r>
        <w:rPr>
          <w:b w:val="0"/>
          <w:color w:val="CCCCCC"/>
          <w:sz w:val="16"/>
        </w:rPr>
        <w:t>────────────────────────────────────────────────────────────</w:t>
      </w:r>
    </w:p>
    <w:p>
      <w:r>
        <w:rPr>
          <w:b/>
          <w:color w:val="101C4F"/>
          <w:sz w:val="28"/>
        </w:rPr>
        <w:t>D8.9  ·  Video 2 of 3</w:t>
      </w:r>
    </w:p>
    <w:p>
      <w:r>
        <w:rPr>
          <w:b w:val="0"/>
          <w:color w:val="007A87"/>
          <w:sz w:val="22"/>
        </w:rPr>
        <w:t>Swap Valuation, MTM and Hedge Accounting</w:t>
      </w:r>
    </w:p>
    <w:p>
      <w:r>
        <w:rPr>
          <w:b/>
          <w:color w:val="101C4F"/>
          <w:sz w:val="20"/>
        </w:rPr>
        <w:t>🔒  INTERNAL MAPPING — D8.9</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D8.9</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Swap Valuation, MTM and Hedge Accounting</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Understand swap MTM methodology, fair value vs cash flow hedge accounting under Ind AS 109, and hedge effectiveness testing</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Apply</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Apply Ind AS 109 hedge accounting: fair value hedge vs cash flow hedge, OCI vs P&amp;L treatment</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D8.9 Video 1 — Swap MTM Computation</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D8.9 Video 3 — Hedge Effectiveness Testing</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Two hedge types under Ind AS 109: Fair Value Hedge — hedges change in fair value of a recognised asset/liability. Example: fixed-rate bond (asset) hedged with IRS. Cash Flow Hedge — hedges variability in future cash flows. Example: floating-rate loan hedged with pay-fixed IRS.</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Ryo: 'The choice of hedge type determines where the MTM gain/loss goes: fair value hedge → P&amp;L. Cash flow hedge → Other Comprehensive Income (OCI), recycled to P&amp;L when the hedged cash flow occurs.' Aria: 'For a bank with a large swap book, the hedge type classification can determine whether quarterly profits look volatile or stable. This is why hedge accounting is a strategic financial decision, not just a technical accounting choice.'</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Fair value hedge example: Bank holds ₹1,000 crore fixed-rate 5-year corporate bonds (8% coupon). Enters pay-fixed IRS at 8% to hedge interest rate risk. If rates rise: bond value falls (recognized in P&amp;L). IRS value rises (also recognized in P&amp;L). Net P&amp;L ≈ 0 (hedge offsets). Without hedge accounting: bond falls, IRS gains both in P&amp;L — net zero but large gross swings.</w:t>
            </w:r>
          </w:p>
        </w:tc>
        <w:tc>
          <w:tcPr>
            <w:tcW w:type="dxa" w:w="1994"/>
            <w:shd w:val="clear" w:color="auto" w:fill="FFFFFF"/>
          </w:tcPr>
          <w:p>
            <w:r>
              <w:rPr>
                <w:b w:val="0"/>
                <w:color w:val="404040"/>
                <w:sz w:val="16"/>
              </w:rPr>
              <w:t>FAIR VALUE HEDGE</w:t>
            </w:r>
          </w:p>
        </w:tc>
        <w:tc>
          <w:tcPr>
            <w:tcW w:type="dxa" w:w="1994"/>
            <w:shd w:val="clear" w:color="auto" w:fill="FFFFFF"/>
          </w:tcPr>
          <w:p>
            <w:r>
              <w:rPr>
                <w:b w:val="0"/>
                <w:color w:val="404040"/>
                <w:sz w:val="16"/>
              </w:rPr>
              <w:t>Aria: 'Fair value hedge accounting ensures both the hedging instrument (IRS) and the hedged item (bond) are measured at fair value through P&amp;L simultaneously. The offset should be near-perfect if the hedge is effective.' Ryo: 'Without fair value hedge accounting: the IRS MTM goes to P&amp;L but the bond might be at amortized cost — no offsetting P&amp;L from the bond. The P&amp;L would show large IRS gains/losses with no matching offset, creating artificial volatility.'</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Cash flow hedge example: Company has ₹500 crore floating-rate loan at MIBOR + 50bps. Enters pay-fixed IRS at 7.5% to lock in funding cost. IRS MTM change → goes to OCI (not P&amp;L). When IRS cash flow (quarterly settlement) occurs: recycle from OCI to P&amp;L → offset the extra floating interest cost. Net P&amp;L impact: fixed cost ≈ 7.5% every quarter.</w:t>
            </w:r>
          </w:p>
        </w:tc>
        <w:tc>
          <w:tcPr>
            <w:tcW w:type="dxa" w:w="1994"/>
            <w:shd w:val="clear" w:color="auto" w:fill="F0F8FA"/>
          </w:tcPr>
          <w:p>
            <w:r>
              <w:rPr>
                <w:b w:val="0"/>
                <w:color w:val="404040"/>
                <w:sz w:val="16"/>
              </w:rPr>
              <w:t>CASHFLOW HEDGE</w:t>
            </w:r>
          </w:p>
        </w:tc>
        <w:tc>
          <w:tcPr>
            <w:tcW w:type="dxa" w:w="1994"/>
            <w:shd w:val="clear" w:color="auto" w:fill="F0F8FA"/>
          </w:tcPr>
          <w:p>
            <w:r>
              <w:rPr>
                <w:b w:val="0"/>
                <w:color w:val="404040"/>
                <w:sz w:val="16"/>
              </w:rPr>
              <w:t>Ryo: 'Cash flow hedge keeps the IRS MTM out of the P&amp;L until it actually affects cash flows. This prevents the quarterly P&amp;L from fluctuating with every MIBOR move.' Aria: 'OCI accumulation: if IRS MTM = +₹15 crore (rates rose, company pays cheaper fixed vs market), this ₹15 crore sits in OCI as a gain. When the quarterly IRS settlement happens, ₹X is recycled to P&amp;L — offsetting the higher floating rate paid on the underlying loan.'</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Hedge accounting documentation requirements (Ind AS 109): Before inception of hedge relationship: formal designation document. Must specify: hedging instrument, hedged item, risk being hedged, hedge ratio (usually 1:1), risk management objective. Prospective effectiveness method. Must be updated at each reporting date. No retrospective designation allowed.</w:t>
            </w:r>
          </w:p>
        </w:tc>
        <w:tc>
          <w:tcPr>
            <w:tcW w:type="dxa" w:w="1994"/>
            <w:shd w:val="clear" w:color="auto" w:fill="FFFFFF"/>
          </w:tcPr>
          <w:p>
            <w:r>
              <w:rPr>
                <w:b w:val="0"/>
                <w:color w:val="404040"/>
                <w:sz w:val="16"/>
              </w:rPr>
              <w:t>HEDGE DOCUMENTATION</w:t>
            </w:r>
          </w:p>
        </w:tc>
        <w:tc>
          <w:tcPr>
            <w:tcW w:type="dxa" w:w="1994"/>
            <w:shd w:val="clear" w:color="auto" w:fill="FFFFFF"/>
          </w:tcPr>
          <w:p>
            <w:r>
              <w:rPr>
                <w:b w:val="0"/>
                <w:color w:val="404040"/>
                <w:sz w:val="16"/>
              </w:rPr>
              <w:t>Aria: 'The documentation requirement is strict — hedge accounting requires upfront documentation before the hedge starts. Operations must work with accounting to ensure all swap hedges are documented correctly on or before the hedge start date.' Ryo: 'Missing documentation means the hedge cannot receive hedge accounting treatment — even if it is economically a perfect hedge. The MTM then goes through P&amp;L creating volatility that management finds unacceptable. Documentation discipline is critical.'</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Hedge accounting types: Fair value hedge (hedged item = fixed rate asset/liability) → both go to P&amp;L. Cash flow hedge (hedged item = floating rate exposure) → IRS MTM to OCI, recycled to P&amp;L at settlement. Documentation: formal written designation before inception. Ind AS 109: aligned with IFRS 9. Operations role: maintain hedge designation register, flag undocumented swaps.</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Aria: 'Hedge accounting is where finance, accounting, and operations intersect most intensely. Operations maintains the swap trade database; accounting applies the rules; finance ensures the accounting reflects economic reality.' Ryo: 'Errors in hedge classification — treating a fair value hedge as a cash flow hedge — can materially misstate financial statements. This is a reportable error under auditing standards. Operations teams are the first line of defense against such errors.'</w:t>
            </w:r>
          </w:p>
        </w:tc>
      </w:tr>
    </w:tbl>
    <w:p/>
    <w:p>
      <w:r>
        <w:rPr>
          <w:b/>
          <w:color w:val="F0A800"/>
          <w:sz w:val="18"/>
        </w:rPr>
        <w:t>▶  TRANSITION — Leads to: D8.9 Video 3 — Hedge Effectiveness Testing</w:t>
      </w:r>
    </w:p>
    <w:p/>
    <w:p>
      <w:r>
        <w:br w:type="page"/>
      </w:r>
    </w:p>
    <w:p>
      <w:pPr>
        <w:spacing w:before="360"/>
      </w:pPr>
      <w:r>
        <w:rPr>
          <w:b w:val="0"/>
          <w:color w:val="CCCCCC"/>
          <w:sz w:val="16"/>
        </w:rPr>
        <w:t>────────────────────────────────────────────────────────────</w:t>
      </w:r>
    </w:p>
    <w:p>
      <w:r>
        <w:rPr>
          <w:b/>
          <w:color w:val="101C4F"/>
          <w:sz w:val="28"/>
        </w:rPr>
        <w:t>D8.9  ·  Video 3 of 3</w:t>
      </w:r>
    </w:p>
    <w:p>
      <w:r>
        <w:rPr>
          <w:b w:val="0"/>
          <w:color w:val="007A87"/>
          <w:sz w:val="22"/>
        </w:rPr>
        <w:t>Swap Valuation, MTM and Hedge Accounting</w:t>
      </w:r>
    </w:p>
    <w:p>
      <w:r>
        <w:rPr>
          <w:b/>
          <w:color w:val="101C4F"/>
          <w:sz w:val="20"/>
        </w:rPr>
        <w:t>🔒  INTERNAL MAPPING — D8.9</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D8.9</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Swap Valuation, MTM and Hedge Accounting</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Understand swap MTM methodology, fair value vs cash flow hedge accounting under Ind AS 109, and hedge effectiveness testing</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Relate</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Relate hedge effectiveness testing and discontinuation to operations workflow and financial statement impact</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D8.9 Video 2 — Hedge Accounting under Ind AS 109</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D8.10 — RBI and SEBI Swap Regulations</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Hedge effectiveness test framework under Ind AS 109: Qualitative assessment: is the hedge still aligned with risk management objective? Quantitative test: dollar-offset method OR regression analysis. Effectiveness range: 80–125% (traditional), replaced by 'economically related' under IFRS 9/Ind AS 109.</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Aria: 'Ind AS 109 moved away from the rigid 80–125% range from IAS 39. Now the requirement is that the hedging instrument and hedged item have an economic relationship — the hedge offsets the risk.' Kavi: 'But documentation must still quantify the expected effectiveness. Operations teams run effectiveness tests quarterly — before each financial reporting period. If a swap fails the effectiveness test, hedge accounting is discontinued immediately.'</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Dollar-offset effectiveness: Hedged item (floating loan) P&amp;L change: MIBOR rose 50bps → extra interest cost = ₹500cr × 0.5% × 0.25 = ₹0.625cr. IRS P&amp;L change: pay fixed, receive MIBOR — extra receipt = ₹0.625cr. Effectiveness ratio = 0.625/0.625 = 100%. Within acceptable range (80–125%). Hedge qualifies for cash flow hedge accounting.</w:t>
            </w:r>
          </w:p>
        </w:tc>
        <w:tc>
          <w:tcPr>
            <w:tcW w:type="dxa" w:w="1994"/>
            <w:shd w:val="clear" w:color="auto" w:fill="FFFFFF"/>
          </w:tcPr>
          <w:p>
            <w:r>
              <w:rPr>
                <w:b w:val="0"/>
                <w:color w:val="404040"/>
                <w:sz w:val="16"/>
              </w:rPr>
              <w:t>EFFECTIVENESS CALC</w:t>
            </w:r>
          </w:p>
        </w:tc>
        <w:tc>
          <w:tcPr>
            <w:tcW w:type="dxa" w:w="1994"/>
            <w:shd w:val="clear" w:color="auto" w:fill="FFFFFF"/>
          </w:tcPr>
          <w:p>
            <w:r>
              <w:rPr>
                <w:b w:val="0"/>
                <w:color w:val="404040"/>
                <w:sz w:val="16"/>
              </w:rPr>
              <w:t>Kavi: 'The dollar-offset test compares the P&amp;L change on the hedging instrument to the P&amp;L change on the hedged item. 100% = perfect offset. Within 80–125%: hedge accounting maintained.' Aria: 'Operations runs this test for every hedge relationship at quarter-end: pull MIBOR curve changes, revalue both the IRS and the notional hedged item, compute the ratio. Any ratio outside range triggers a report to the finance and compliance teams.'</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Hedge discontinuation: Mandatory discontinuation when: (1) Hedging instrument sold or terminated. (2) Hedge no longer meets effectiveness criteria. (3) Hedged item no longer exists. Actions: for cash flow hedge: OCI balance relating to expired hedge recycled to P&amp;L immediately if hedged transaction no longer expected. For fair value hedge: stop adjusting hedged item's carrying value.</w:t>
            </w:r>
          </w:p>
        </w:tc>
        <w:tc>
          <w:tcPr>
            <w:tcW w:type="dxa" w:w="1994"/>
            <w:shd w:val="clear" w:color="auto" w:fill="F0F8FA"/>
          </w:tcPr>
          <w:p>
            <w:r>
              <w:rPr>
                <w:b w:val="0"/>
                <w:color w:val="404040"/>
                <w:sz w:val="16"/>
              </w:rPr>
              <w:t>DISCONTINUATION</w:t>
            </w:r>
          </w:p>
        </w:tc>
        <w:tc>
          <w:tcPr>
            <w:tcW w:type="dxa" w:w="1994"/>
            <w:shd w:val="clear" w:color="auto" w:fill="F0F8FA"/>
          </w:tcPr>
          <w:p>
            <w:r>
              <w:rPr>
                <w:b w:val="0"/>
                <w:color w:val="404040"/>
                <w:sz w:val="16"/>
              </w:rPr>
              <w:t>Aria: 'Discontinuation can create a large one-time P&amp;L charge. If a cash flow hedge IRS is discontinued and there is ₹20 crore in OCI, this is immediately released to P&amp;L — creating a ₹20 crore hit or gain depending on sign.' Kavi: 'This is why operations must alert management immediately when a swap is terminated — especially if it is in a hedge accounting relationship. The accounting impact can be significant and must be planned.'</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Audit trail requirements: For each hedge relationship: all effectiveness test results maintained. Trade confirmations linking hedging instrument to hedged item. Hedge designation memo (original and updates). Board or ALCO approval for hedge policy. External auditors review: accounting treatment, designation, effectiveness documentation. RBI inspection: swap documentation, hedge policy, MTM accuracy.</w:t>
            </w:r>
          </w:p>
        </w:tc>
        <w:tc>
          <w:tcPr>
            <w:tcW w:type="dxa" w:w="1994"/>
            <w:shd w:val="clear" w:color="auto" w:fill="FFFFFF"/>
          </w:tcPr>
          <w:p>
            <w:r>
              <w:rPr>
                <w:b w:val="0"/>
                <w:color w:val="404040"/>
                <w:sz w:val="16"/>
              </w:rPr>
              <w:t>AUDIT TRAIL</w:t>
            </w:r>
          </w:p>
        </w:tc>
        <w:tc>
          <w:tcPr>
            <w:tcW w:type="dxa" w:w="1994"/>
            <w:shd w:val="clear" w:color="auto" w:fill="FFFFFF"/>
          </w:tcPr>
          <w:p>
            <w:r>
              <w:rPr>
                <w:b w:val="0"/>
                <w:color w:val="404040"/>
                <w:sz w:val="16"/>
              </w:rPr>
              <w:t>Kavi: 'Operations must maintain a complete audit trail for every hedged swap. This includes: the original hedge designation, all quarterly effectiveness tests, any modifications to the hedge, and the final discontinuation documentation.' Aria: 'RBI inspections of bank treasury operations specifically review IRS hedge accounting — checking whether swaps designated as hedges genuinely offset the risks claimed. Any designation without proper economic justification is a regulatory finding.'</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Hedge effectiveness: quarterly test under Ind AS 109. Dollar-offset method. Discontinuation: immediate OCI recycling to P&amp;L. Operations role: run effectiveness tests, maintain documentation, alert finance on terminations. Audit trail: critical for external audit and RBI inspection. Errors = financial restatement risk.</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Kavi: 'Hedge accounting is the interface between derivatives trading and financial reporting. Operations professionals who understand both dimensions are genuinely rare and valuable — capable of bridging the trading desk, treasury, accounting, and audit teams.' Aria: 'The last module in our Swaps series: the full regulatory framework from RBI and SEBI governing the Indian swap market — bringing together everything we've learned about specific swap types and their rules.'</w:t>
            </w:r>
          </w:p>
        </w:tc>
      </w:tr>
    </w:tbl>
    <w:p/>
    <w:p>
      <w:r>
        <w:rPr>
          <w:b/>
          <w:color w:val="F0A800"/>
          <w:sz w:val="18"/>
        </w:rPr>
        <w:t>▶  TRANSITION — Leads to: D8.10 — RBI and SEBI Swap Regulations</w:t>
      </w:r>
    </w:p>
    <w:p/>
    <w:p>
      <w:r>
        <w:br w:type="page"/>
      </w:r>
    </w:p>
    <w:p>
      <w:pPr>
        <w:spacing w:before="360"/>
      </w:pPr>
      <w:r>
        <w:rPr>
          <w:b w:val="0"/>
          <w:color w:val="CCCCCC"/>
          <w:sz w:val="16"/>
        </w:rPr>
        <w:t>────────────────────────────────────────────────────────────</w:t>
      </w:r>
    </w:p>
    <w:p>
      <w:r>
        <w:rPr>
          <w:b/>
          <w:color w:val="101C4F"/>
          <w:sz w:val="28"/>
        </w:rPr>
        <w:t>D8.10  ·  Video 1 of 3</w:t>
      </w:r>
    </w:p>
    <w:p>
      <w:r>
        <w:rPr>
          <w:b w:val="0"/>
          <w:color w:val="007A87"/>
          <w:sz w:val="22"/>
        </w:rPr>
        <w:t>RBI and SEBI Swap Regulations</w:t>
      </w:r>
    </w:p>
    <w:p>
      <w:r>
        <w:rPr>
          <w:b/>
          <w:color w:val="101C4F"/>
          <w:sz w:val="20"/>
        </w:rPr>
        <w:t>🔒  INTERNAL MAPPING — D8.10</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D8.10</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RBI and SEBI Swap Regulations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Understand the complete RBI/SEBI regulatory framework for swaps in India, including permitted users, reporting, IBOR transition, and compliance obligations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Explain</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Explain RBI's Master Direction on derivatives: permitted instruments, eligible users, and purpose restrictions</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D8.9 — Swap Valuation and Hedge Accounting</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D8.10 Video 2 — IBOR Transition: LIBOR to SOFR/MIBOR</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RBI Master Direction — Risk Management and Inter-Bank Dealings (updated periodically). Structure: (1) Generic provisions (eligible participants, permitted products). (2) Foreign currency derivatives. (3) Interest rate derivatives (IRS, OIS). (4) Credit derivatives (CDS). (5) Commodity derivatives. (6) Reporting and disclosure.</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Kavi: 'The RBI Master Direction is the comprehensive rulebook for OTC derivatives in India. It consolidates multiple earlier circulars and defines who can do what, with whom, and for what purpose.' Ryo: 'The fundamental principle: derivatives are permitted for hedging genuine underlying exposures. Speculative positions — taking derivatives risk without an underlying — are restricted to market makers (scheduled commercial banks and primary dealers).'</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Permitted users by category: Category A (full access): Scheduled commercial banks, PDs — can take proprietary positions (hedging + speculation). Category B (hedging only): Insurance companies, MFs, NBFCs, AIFs, FPIs — must demonstrate underlying exposure. Category C (specific products only): Large corporates, SMEs — IRS and CCS for genuine hedging of interest rate/FX exposures. Retail: no direct access to OTC derivatives.</w:t>
            </w:r>
          </w:p>
        </w:tc>
        <w:tc>
          <w:tcPr>
            <w:tcW w:type="dxa" w:w="1994"/>
            <w:shd w:val="clear" w:color="auto" w:fill="FFFFFF"/>
          </w:tcPr>
          <w:p>
            <w:r>
              <w:rPr>
                <w:b w:val="0"/>
                <w:color w:val="404040"/>
                <w:sz w:val="16"/>
              </w:rPr>
              <w:t>PERMITTED USERS</w:t>
            </w:r>
          </w:p>
        </w:tc>
        <w:tc>
          <w:tcPr>
            <w:tcW w:type="dxa" w:w="1994"/>
            <w:shd w:val="clear" w:color="auto" w:fill="FFFFFF"/>
          </w:tcPr>
          <w:p>
            <w:r>
              <w:rPr>
                <w:b w:val="0"/>
                <w:color w:val="404040"/>
                <w:sz w:val="16"/>
              </w:rPr>
              <w:t>Ryo: 'Category B and C participants must demonstrate the underlying exposure before entering a swap. A corporate wanting an IRS must show its floating-rate loan. A company wanting a CCS must show its ECB or foreign currency receivable.' Kavi: 'This is operationally verified by the arranging bank. Operations teams at banks must collect and retain the underlying exposure documentation — a commercial mortgage statement, ECB approval letter, export contract — before booking any derivative for a non-Category-A client.'</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Rupee IRS specific rules: Eligible underlying: floating-rate domestic borrowings, bonds, fixed deposits. Maximum tenor: no restriction (market standard up to 10 years). Minimum notional: no RBI minimum (market practice varies). Mandatory CCIL clearing: yes for all inter-bank INR IRS. Corporates: bilateral with banks, reported to CCIL TR. Permitted benchmarks: MIBOR (FBIL), G-sec yield.</w:t>
            </w:r>
          </w:p>
        </w:tc>
        <w:tc>
          <w:tcPr>
            <w:tcW w:type="dxa" w:w="1994"/>
            <w:shd w:val="clear" w:color="auto" w:fill="F0F8FA"/>
          </w:tcPr>
          <w:p>
            <w:r>
              <w:rPr>
                <w:b w:val="0"/>
                <w:color w:val="404040"/>
                <w:sz w:val="16"/>
              </w:rPr>
              <w:t>RUPEE IRS RULES</w:t>
            </w:r>
          </w:p>
        </w:tc>
        <w:tc>
          <w:tcPr>
            <w:tcW w:type="dxa" w:w="1994"/>
            <w:shd w:val="clear" w:color="auto" w:fill="F0F8FA"/>
          </w:tcPr>
          <w:p>
            <w:r>
              <w:rPr>
                <w:b w:val="0"/>
                <w:color w:val="404040"/>
                <w:sz w:val="16"/>
              </w:rPr>
              <w:t>Kavi: 'Rupee IRS is the most developed segment of India's OTC derivatives market. Banks actively quote IRS for tenors from 1-year to 10-years, with liquid markets for standard tenors.' Ryo: 'The CCIL mandatory clearing requirement for inter-bank IRS (2013) significantly improved market transparency and reduced systemic risk. Corporate IRS is still bilateral, but must be reported to CCIL TR by the bank arranging it.'</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KAVI</w:t>
            </w:r>
          </w:p>
        </w:tc>
        <w:tc>
          <w:tcPr>
            <w:tcW w:type="dxa" w:w="1994"/>
            <w:shd w:val="clear" w:color="auto" w:fill="FFFFFF"/>
          </w:tcPr>
          <w:p>
            <w:r>
              <w:rPr>
                <w:b w:val="0"/>
                <w:color w:val="404040"/>
                <w:sz w:val="16"/>
              </w:rPr>
              <w:t>Cross-currency swap rules: Permitted purpose: hedge foreign currency borrowings (ECB), foreign currency assets, cross-border trade flows. Eligible currencies: major freely convertible currencies (USD, EUR, GBP, JPY). Tenor: up to maturity of underlying exposure. Documentation: underlying exposure evidence mandatory. Reporting: RBI's Authorised Dealer reporting.</w:t>
            </w:r>
          </w:p>
        </w:tc>
        <w:tc>
          <w:tcPr>
            <w:tcW w:type="dxa" w:w="1994"/>
            <w:shd w:val="clear" w:color="auto" w:fill="FFFFFF"/>
          </w:tcPr>
          <w:p>
            <w:r>
              <w:rPr>
                <w:b w:val="0"/>
                <w:color w:val="404040"/>
                <w:sz w:val="16"/>
              </w:rPr>
              <w:t>CROSS CURRENCY RULES</w:t>
            </w:r>
          </w:p>
        </w:tc>
        <w:tc>
          <w:tcPr>
            <w:tcW w:type="dxa" w:w="1994"/>
            <w:shd w:val="clear" w:color="auto" w:fill="FFFFFF"/>
          </w:tcPr>
          <w:p>
            <w:r>
              <w:rPr>
                <w:b w:val="0"/>
                <w:color w:val="404040"/>
                <w:sz w:val="16"/>
              </w:rPr>
              <w:t>Ryo: 'Cross-currency swaps are the most regulated segment. Every CCS for an Indian corporate requires: (1) Board approval for the hedging policy. (2) RBI ECB registration (if hedging ECB). (3) FEMA compliance certification. (4) AD bank reporting to RBI.' Kavi: 'Operations at banks arranging CCS must maintain a checklist: all regulatory documents received, verified, and filed before executing the swap. A CCS executed without underlying documentation is a FEMA violation.'</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KAVI</w:t>
            </w:r>
          </w:p>
        </w:tc>
        <w:tc>
          <w:tcPr>
            <w:tcW w:type="dxa" w:w="1994"/>
            <w:shd w:val="clear" w:color="auto" w:fill="F0F8FA"/>
          </w:tcPr>
          <w:p>
            <w:r>
              <w:rPr>
                <w:b w:val="0"/>
                <w:color w:val="404040"/>
                <w:sz w:val="16"/>
              </w:rPr>
              <w:t>RBI regulatory framework: Hedging purpose requirement for non-bank participants. Category A (banks/PDs) — full access. Category B/C — hedging only with documentation. Rupee IRS: CCIL clearing mandatory for inter-bank. CCS: FEMA compliance required. All OTC derivatives: CCIL TR reporting by T. Violations: FEMA penalties, RBI show-cause.</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Ryo: 'The RBI regulatory framework is designed to develop India's derivatives market while preventing systemic risk from speculative activity. Operations professionals are the compliance interface between regulatory requirements and trading activity.' Kavi: 'Next: the most significant regulatory change in the global derivatives market in decades — the LIBOR transition, and its specific implications for India's MIBOR market.'</w:t>
            </w:r>
          </w:p>
        </w:tc>
      </w:tr>
    </w:tbl>
    <w:p/>
    <w:p>
      <w:r>
        <w:rPr>
          <w:b/>
          <w:color w:val="F0A800"/>
          <w:sz w:val="18"/>
        </w:rPr>
        <w:t>▶  TRANSITION — Leads to: D8.10 Video 2 — IBOR Transition: LIBOR to SOFR/MIBOR</w:t>
      </w:r>
    </w:p>
    <w:p/>
    <w:p>
      <w:r>
        <w:br w:type="page"/>
      </w:r>
    </w:p>
    <w:p>
      <w:pPr>
        <w:spacing w:before="360"/>
      </w:pPr>
      <w:r>
        <w:rPr>
          <w:b w:val="0"/>
          <w:color w:val="CCCCCC"/>
          <w:sz w:val="16"/>
        </w:rPr>
        <w:t>────────────────────────────────────────────────────────────</w:t>
      </w:r>
    </w:p>
    <w:p>
      <w:r>
        <w:rPr>
          <w:b/>
          <w:color w:val="101C4F"/>
          <w:sz w:val="28"/>
        </w:rPr>
        <w:t>D8.10  ·  Video 2 of 3</w:t>
      </w:r>
    </w:p>
    <w:p>
      <w:r>
        <w:rPr>
          <w:b w:val="0"/>
          <w:color w:val="007A87"/>
          <w:sz w:val="22"/>
        </w:rPr>
        <w:t>RBI and SEBI Swap Regulations</w:t>
      </w:r>
    </w:p>
    <w:p>
      <w:r>
        <w:rPr>
          <w:b/>
          <w:color w:val="101C4F"/>
          <w:sz w:val="20"/>
        </w:rPr>
        <w:t>🔒  INTERNAL MAPPING — D8.10</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D8.10</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RBI and SEBI Swap Regulations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Understand the complete RBI/SEBI regulatory framework for swaps in India, including permitted users, reporting, IBOR transition, and compliance obligations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Apply</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Apply IBOR transition knowledge to understand the LIBOR-to-SOFR shift and India's MIBOR reform</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D8.10 Video 1 — RBI Master Direction Framework</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D8.10 Video 3 — Compliance Operations and Regulatory Reporting</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LIBOR history and scandal: LIBOR (London Inter-Bank Offered Rate) — daily rate submitted by banks estimating their borrowing costs. Used as floating benchmark for $400 trillion+ in derivatives and loans. 2012: LIBOR manipulation scandal — Barclays, UBS, Deutsche Bank found manipulating submissions. FCA announced LIBOR cessation by end of 2021.</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Ryo: 'LIBOR was the most important number in finance for 30+ years. The scandal revealed that panel banks were submitting false rates to benefit their derivatives books — a systemic manipulation affecting hundreds of trillions in contracts.' Aria: 'The LIBOR cessation in June 2023 (for the last remaining USD LIBOR tenors) triggered the largest ever financial contract transition — all LIBOR-linked derivatives had to move to alternative risk-free rates (ARRs).'</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USD LIBOR → SOFR (Secured Overnight Financing Rate): SOFR: overnight rate based on US Treasury repo transactions (transaction-based, manipulation-resistant). Published by New York Federal Reserve. SOFR-based OIS replaced USD LIBOR OIS. Term SOFR (1m, 3m, 6m) published by CME Group for loan market. India impact: all USD-denominated IRS and CCS referencing USD LIBOR required fallback provisions.</w:t>
            </w:r>
          </w:p>
        </w:tc>
        <w:tc>
          <w:tcPr>
            <w:tcW w:type="dxa" w:w="1994"/>
            <w:shd w:val="clear" w:color="auto" w:fill="FFFFFF"/>
          </w:tcPr>
          <w:p>
            <w:r>
              <w:rPr>
                <w:b w:val="0"/>
                <w:color w:val="404040"/>
                <w:sz w:val="16"/>
              </w:rPr>
              <w:t>SOFR TRANSITION</w:t>
            </w:r>
          </w:p>
        </w:tc>
        <w:tc>
          <w:tcPr>
            <w:tcW w:type="dxa" w:w="1994"/>
            <w:shd w:val="clear" w:color="auto" w:fill="FFFFFF"/>
          </w:tcPr>
          <w:p>
            <w:r>
              <w:rPr>
                <w:b w:val="0"/>
                <w:color w:val="404040"/>
                <w:sz w:val="16"/>
              </w:rPr>
              <w:t>Aria: 'Indian banks and corporates with USD swap books had to convert LIBOR references to SOFR. The International Swaps and Derivatives Association (ISDA) published standardised fallback language — contracts automatically switch to SOFR + a spread adjustment upon LIBOR cessation.' Ryo: 'ISDA IBOR Fallback Protocol: banks and clients that adhered to the protocol had their contracts automatically updated. Those who didn't adhere needed bilateral amendment agreements — a major operational project for India's derivative operations teams in 2021–2023.'</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India MIBOR transition: Pre-2015: NSE MIBOR (quote-based — banks submitted borrowing estimates). 2015: FBIL transaction-based MIBOR launched (actual call money transactions). NSE MIBOR discontinued. FBIL MIBOR now the official INR overnight benchmark. INR OIS and IRS now reference FBIL MIBOR. Financial Benchmarks India Ltd (FBIL) authorised by RBI.</w:t>
            </w:r>
          </w:p>
        </w:tc>
        <w:tc>
          <w:tcPr>
            <w:tcW w:type="dxa" w:w="1994"/>
            <w:shd w:val="clear" w:color="auto" w:fill="F0F8FA"/>
          </w:tcPr>
          <w:p>
            <w:r>
              <w:rPr>
                <w:b w:val="0"/>
                <w:color w:val="404040"/>
                <w:sz w:val="16"/>
              </w:rPr>
              <w:t>INDIA MIBOR REFORM</w:t>
            </w:r>
          </w:p>
        </w:tc>
        <w:tc>
          <w:tcPr>
            <w:tcW w:type="dxa" w:w="1994"/>
            <w:shd w:val="clear" w:color="auto" w:fill="F0F8FA"/>
          </w:tcPr>
          <w:p>
            <w:r>
              <w:rPr>
                <w:b w:val="0"/>
                <w:color w:val="404040"/>
                <w:sz w:val="16"/>
              </w:rPr>
              <w:t>Ryo: 'India preemptively reformed its benchmark before the global IBOR scandal by transitioning to transaction-based FBIL MIBOR in 2015. This made India ahead of the curve in benchmark reform.' Aria: 'The transition required updating all existing OIS and IRS contracts that referenced NSE MIBOR — a significant operational project. New contracts since 2015 reference FBIL MIBOR by default. Any contract still referencing old NSE MIBOR would need to be remediated.'</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RYO</w:t>
            </w:r>
          </w:p>
        </w:tc>
        <w:tc>
          <w:tcPr>
            <w:tcW w:type="dxa" w:w="1994"/>
            <w:shd w:val="clear" w:color="auto" w:fill="FFFFFF"/>
          </w:tcPr>
          <w:p>
            <w:r>
              <w:rPr>
                <w:b w:val="0"/>
                <w:color w:val="404040"/>
                <w:sz w:val="16"/>
              </w:rPr>
              <w:t>Fallback provisions in swap contracts: ISDA 2020 IBOR Fallback Protocol: automatic switch to overnight compounded RFR (Risk-Free Rate) + spread adjustment upon benchmark cessation. Spread adjustment: historic median spread between IBOR and compounded overnight RFR over 5 years. Purpose: preserve economic value of contracts through transition.</w:t>
            </w:r>
          </w:p>
        </w:tc>
        <w:tc>
          <w:tcPr>
            <w:tcW w:type="dxa" w:w="1994"/>
            <w:shd w:val="clear" w:color="auto" w:fill="FFFFFF"/>
          </w:tcPr>
          <w:p>
            <w:r>
              <w:rPr>
                <w:b w:val="0"/>
                <w:color w:val="404040"/>
                <w:sz w:val="16"/>
              </w:rPr>
              <w:t>FALLBACK PROVISIONS</w:t>
            </w:r>
          </w:p>
        </w:tc>
        <w:tc>
          <w:tcPr>
            <w:tcW w:type="dxa" w:w="1994"/>
            <w:shd w:val="clear" w:color="auto" w:fill="FFFFFF"/>
          </w:tcPr>
          <w:p>
            <w:r>
              <w:rPr>
                <w:b w:val="0"/>
                <w:color w:val="404040"/>
                <w:sz w:val="16"/>
              </w:rPr>
              <w:t>Aria: 'The spread adjustment is critical. SOFR was typically 25–30bps below 3-month USD LIBOR (because LIBOR had bank credit risk; SOFR is secured). Without adjustment, contracts would have received a lower rate — benefiting floating-rate borrowers at the expense of lenders.' Ryo: 'Operations teams must verify that all legacy LIBOR contracts either adhere to the ISDA fallback protocol or have been bilaterally amended. Any remaining unconverted contract is a significant legal and financial risk — it references a rate that no longer exists.'</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RYO</w:t>
            </w:r>
          </w:p>
        </w:tc>
        <w:tc>
          <w:tcPr>
            <w:tcW w:type="dxa" w:w="1994"/>
            <w:shd w:val="clear" w:color="auto" w:fill="F0F8FA"/>
          </w:tcPr>
          <w:p>
            <w:r>
              <w:rPr>
                <w:b w:val="0"/>
                <w:color w:val="404040"/>
                <w:sz w:val="16"/>
              </w:rPr>
              <w:t>IBOR transition: LIBOR → SOFR (USD). NSE MIBOR → FBIL MIBOR (INR, 2015). ISDA fallback protocol: automatic conversion with spread adjustment. Operations impact: contract remediation, system updates, confirmation amendments. India: largely completed — FBIL MIBOR now standard. Remaining risk: any unconverted USD LIBOR-linked contracts.</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Aria: 'The IBOR transition was the largest operational project in derivatives history. Banks spent billions globally on contract remediation, system changes, and client outreach.' Ryo: 'For India, the transition highlighted the importance of robust benchmark governance — why FBIL's transaction-based MIBOR is more reliable and manipulation-resistant than the old quote-based approach. Understanding this history helps operations professionals appreciate why benchmark selection matters.'</w:t>
            </w:r>
          </w:p>
        </w:tc>
      </w:tr>
    </w:tbl>
    <w:p/>
    <w:p>
      <w:r>
        <w:rPr>
          <w:b/>
          <w:color w:val="F0A800"/>
          <w:sz w:val="18"/>
        </w:rPr>
        <w:t>▶  TRANSITION — Leads to: D8.10 Video 3 — Compliance Operations and Regulatory Reporting</w:t>
      </w:r>
    </w:p>
    <w:p/>
    <w:p>
      <w:r>
        <w:br w:type="page"/>
      </w:r>
    </w:p>
    <w:p>
      <w:pPr>
        <w:spacing w:before="360"/>
      </w:pPr>
      <w:r>
        <w:rPr>
          <w:b w:val="0"/>
          <w:color w:val="CCCCCC"/>
          <w:sz w:val="16"/>
        </w:rPr>
        <w:t>────────────────────────────────────────────────────────────</w:t>
      </w:r>
    </w:p>
    <w:p>
      <w:r>
        <w:rPr>
          <w:b/>
          <w:color w:val="101C4F"/>
          <w:sz w:val="28"/>
        </w:rPr>
        <w:t>D8.10  ·  Video 3 of 3</w:t>
      </w:r>
    </w:p>
    <w:p>
      <w:r>
        <w:rPr>
          <w:b w:val="0"/>
          <w:color w:val="007A87"/>
          <w:sz w:val="22"/>
        </w:rPr>
        <w:t>RBI and SEBI Swap Regulations</w:t>
      </w:r>
    </w:p>
    <w:p>
      <w:r>
        <w:rPr>
          <w:b/>
          <w:color w:val="101C4F"/>
          <w:sz w:val="20"/>
        </w:rPr>
        <w:t>🔒  INTERNAL MAPPING — D8.10</w:t>
      </w:r>
    </w:p>
    <w:tbl>
      <w:tblPr>
        <w:tblStyle w:val="TableGrid"/>
        <w:tblW w:type="auto" w:w="0"/>
        <w:tblLook w:firstColumn="1" w:firstRow="1" w:lastColumn="0" w:lastRow="0" w:noHBand="0" w:noVBand="1" w:val="04A0"/>
      </w:tblPr>
      <w:tblGrid>
        <w:gridCol w:w="4986"/>
        <w:gridCol w:w="4986"/>
      </w:tblGrid>
      <w:tr>
        <w:tc>
          <w:tcPr>
            <w:tcW w:type="dxa" w:w="4986"/>
            <w:shd w:val="clear" w:color="auto" w:fill="101C4F"/>
          </w:tcPr>
          <w:p>
            <w:r>
              <w:rPr>
                <w:b/>
                <w:color w:val="FFFFFF"/>
                <w:sz w:val="18"/>
              </w:rPr>
              <w:t>UOR Code</w:t>
            </w:r>
          </w:p>
        </w:tc>
        <w:tc>
          <w:tcPr>
            <w:tcW w:type="dxa" w:w="4986"/>
            <w:shd w:val="clear" w:color="auto" w:fill="F7F7F7"/>
          </w:tcPr>
          <w:p>
            <w:r>
              <w:rPr>
                <w:b w:val="0"/>
                <w:color w:val="404040"/>
                <w:sz w:val="18"/>
              </w:rPr>
              <w:t>D8.10</w:t>
            </w:r>
          </w:p>
        </w:tc>
      </w:tr>
      <w:tr>
        <w:tc>
          <w:tcPr>
            <w:tcW w:type="dxa" w:w="4986"/>
            <w:shd w:val="clear" w:color="auto" w:fill="101C4F"/>
          </w:tcPr>
          <w:p>
            <w:r>
              <w:rPr>
                <w:b/>
                <w:color w:val="FFFFFF"/>
                <w:sz w:val="18"/>
              </w:rPr>
              <w:t>UOR Title</w:t>
            </w:r>
          </w:p>
        </w:tc>
        <w:tc>
          <w:tcPr>
            <w:tcW w:type="dxa" w:w="4986"/>
            <w:shd w:val="clear" w:color="auto" w:fill="F7F7F7"/>
          </w:tcPr>
          <w:p>
            <w:r>
              <w:rPr>
                <w:b w:val="0"/>
                <w:color w:val="404040"/>
                <w:sz w:val="18"/>
              </w:rPr>
              <w:t>RBI and SEBI Swap Regulations</w:t>
            </w:r>
          </w:p>
        </w:tc>
      </w:tr>
      <w:tr>
        <w:tc>
          <w:tcPr>
            <w:tcW w:type="dxa" w:w="4986"/>
            <w:shd w:val="clear" w:color="auto" w:fill="101C4F"/>
          </w:tcPr>
          <w:p>
            <w:r>
              <w:rPr>
                <w:b/>
                <w:color w:val="FFFFFF"/>
                <w:sz w:val="18"/>
              </w:rPr>
              <w:t>Competency</w:t>
            </w:r>
          </w:p>
        </w:tc>
        <w:tc>
          <w:tcPr>
            <w:tcW w:type="dxa" w:w="4986"/>
            <w:shd w:val="clear" w:color="auto" w:fill="F7F7F7"/>
          </w:tcPr>
          <w:p>
            <w:r>
              <w:rPr>
                <w:b w:val="0"/>
                <w:color w:val="404040"/>
                <w:sz w:val="18"/>
              </w:rPr>
              <w:t>Understand the complete RBI/SEBI regulatory framework for swaps in India, including permitted users, reporting, IBOR transition, and compliance obligations</w:t>
            </w:r>
          </w:p>
        </w:tc>
      </w:tr>
      <w:tr>
        <w:tc>
          <w:tcPr>
            <w:tcW w:type="dxa" w:w="4986"/>
            <w:shd w:val="clear" w:color="auto" w:fill="101C4F"/>
          </w:tcPr>
          <w:p>
            <w:r>
              <w:rPr>
                <w:b/>
                <w:color w:val="FFFFFF"/>
                <w:sz w:val="18"/>
              </w:rPr>
              <w:t>EAR Focus</w:t>
            </w:r>
          </w:p>
        </w:tc>
        <w:tc>
          <w:tcPr>
            <w:tcW w:type="dxa" w:w="4986"/>
            <w:shd w:val="clear" w:color="auto" w:fill="F7F7F7"/>
          </w:tcPr>
          <w:p>
            <w:r>
              <w:rPr>
                <w:b w:val="0"/>
                <w:color w:val="404040"/>
                <w:sz w:val="18"/>
              </w:rPr>
              <w:t>Relate</w:t>
            </w:r>
          </w:p>
        </w:tc>
      </w:tr>
      <w:tr>
        <w:tc>
          <w:tcPr>
            <w:tcW w:type="dxa" w:w="4986"/>
            <w:shd w:val="clear" w:color="auto" w:fill="101C4F"/>
          </w:tcPr>
          <w:p>
            <w:r>
              <w:rPr>
                <w:b/>
                <w:color w:val="FFFFFF"/>
                <w:sz w:val="18"/>
              </w:rPr>
              <w:t>Objective</w:t>
            </w:r>
          </w:p>
        </w:tc>
        <w:tc>
          <w:tcPr>
            <w:tcW w:type="dxa" w:w="4986"/>
            <w:shd w:val="clear" w:color="auto" w:fill="F7F7F7"/>
          </w:tcPr>
          <w:p>
            <w:r>
              <w:rPr>
                <w:b w:val="0"/>
                <w:color w:val="404040"/>
                <w:sz w:val="18"/>
              </w:rPr>
              <w:t>Relate swap compliance obligations to the full operations lifecycle: onboarding, reporting, breach management, and RBI inspection</w:t>
            </w:r>
          </w:p>
        </w:tc>
      </w:tr>
      <w:tr>
        <w:tc>
          <w:tcPr>
            <w:tcW w:type="dxa" w:w="4986"/>
            <w:shd w:val="clear" w:color="auto" w:fill="101C4F"/>
          </w:tcPr>
          <w:p>
            <w:r>
              <w:rPr>
                <w:b/>
                <w:color w:val="FFFFFF"/>
                <w:sz w:val="18"/>
              </w:rPr>
              <w:t>Prerequisite</w:t>
            </w:r>
          </w:p>
        </w:tc>
        <w:tc>
          <w:tcPr>
            <w:tcW w:type="dxa" w:w="4986"/>
            <w:shd w:val="clear" w:color="auto" w:fill="F7F7F7"/>
          </w:tcPr>
          <w:p>
            <w:r>
              <w:rPr>
                <w:b w:val="0"/>
                <w:color w:val="404040"/>
                <w:sz w:val="18"/>
              </w:rPr>
              <w:t>D8.10 Video 2 — IBOR Transition</w:t>
            </w:r>
          </w:p>
        </w:tc>
      </w:tr>
      <w:tr>
        <w:tc>
          <w:tcPr>
            <w:tcW w:type="dxa" w:w="4986"/>
            <w:shd w:val="clear" w:color="auto" w:fill="101C4F"/>
          </w:tcPr>
          <w:p>
            <w:r>
              <w:rPr>
                <w:b/>
                <w:color w:val="FFFFFF"/>
                <w:sz w:val="18"/>
              </w:rPr>
              <w:t>Leads To</w:t>
            </w:r>
          </w:p>
        </w:tc>
        <w:tc>
          <w:tcPr>
            <w:tcW w:type="dxa" w:w="4986"/>
            <w:shd w:val="clear" w:color="auto" w:fill="F7F7F7"/>
          </w:tcPr>
          <w:p>
            <w:r>
              <w:rPr>
                <w:b w:val="0"/>
                <w:color w:val="404040"/>
                <w:sz w:val="18"/>
              </w:rPr>
              <w:t>Module D9 — FX Markets and Currency Risk</w:t>
            </w:r>
          </w:p>
        </w:tc>
      </w:tr>
    </w:tbl>
    <w:p/>
    <w:p>
      <w:r>
        <w:rPr>
          <w:b/>
          <w:color w:val="007A87"/>
          <w:sz w:val="20"/>
        </w:rPr>
        <w:t>🎬  PRODUCTION SCRIPT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007A87"/>
          </w:tcPr>
          <w:p>
            <w:r>
              <w:rPr>
                <w:b/>
                <w:color w:val="FFFFFF"/>
                <w:sz w:val="16"/>
              </w:rPr>
              <w:t>#</w:t>
            </w:r>
          </w:p>
        </w:tc>
        <w:tc>
          <w:tcPr>
            <w:tcW w:type="dxa" w:w="1994"/>
            <w:shd w:val="clear" w:color="auto" w:fill="007A87"/>
          </w:tcPr>
          <w:p>
            <w:r>
              <w:rPr>
                <w:b/>
                <w:color w:val="FFFFFF"/>
                <w:sz w:val="16"/>
              </w:rPr>
              <w:t>Char</w:t>
            </w:r>
          </w:p>
        </w:tc>
        <w:tc>
          <w:tcPr>
            <w:tcW w:type="dxa" w:w="1994"/>
            <w:shd w:val="clear" w:color="auto" w:fill="007A87"/>
          </w:tcPr>
          <w:p>
            <w:r>
              <w:rPr>
                <w:b/>
                <w:color w:val="FFFFFF"/>
                <w:sz w:val="16"/>
              </w:rPr>
              <w:t>Visual Cue</w:t>
            </w:r>
          </w:p>
        </w:tc>
        <w:tc>
          <w:tcPr>
            <w:tcW w:type="dxa" w:w="1994"/>
            <w:shd w:val="clear" w:color="auto" w:fill="007A87"/>
          </w:tcPr>
          <w:p>
            <w:r>
              <w:rPr>
                <w:b/>
                <w:color w:val="FFFFFF"/>
                <w:sz w:val="16"/>
              </w:rPr>
              <w:t>On-Screen Text</w:t>
            </w:r>
          </w:p>
        </w:tc>
        <w:tc>
          <w:tcPr>
            <w:tcW w:type="dxa" w:w="1994"/>
            <w:shd w:val="clear" w:color="auto" w:fill="007A87"/>
          </w:tcPr>
          <w:p>
            <w:r>
              <w:rPr>
                <w:b/>
                <w:color w:val="FFFFFF"/>
                <w:sz w:val="16"/>
              </w:rPr>
              <w:t>Voice Over</w:t>
            </w:r>
          </w:p>
        </w:tc>
      </w:tr>
      <w:tr>
        <w:tc>
          <w:tcPr>
            <w:tcW w:type="dxa" w:w="1994"/>
            <w:shd w:val="clear" w:color="auto" w:fill="F0F8FA"/>
          </w:tcPr>
          <w:p>
            <w:r>
              <w:rPr>
                <w:b w:val="0"/>
                <w:color w:val="404040"/>
                <w:sz w:val="16"/>
              </w:rPr>
              <w:t>1</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Full swap compliance lifecycle at a bank: Pre-trade: counterparty KYC, ISDA negotiation, underlying documentation check. On-trade: CCIL reporting (30 min), trade confirmation (T+1), FEMA check for CCS. Post-trade: daily MTM, daily VM calls, monthly regulatory reports, quarterly effectiveness tests, annual ALCO review.</w:t>
            </w:r>
          </w:p>
        </w:tc>
        <w:tc>
          <w:tcPr>
            <w:tcW w:type="dxa" w:w="1994"/>
            <w:shd w:val="clear" w:color="auto" w:fill="F0F8FA"/>
          </w:tcPr>
          <w:p>
            <w:r>
              <w:rPr>
                <w:b w:val="0"/>
                <w:color w:val="404040"/>
                <w:sz w:val="16"/>
              </w:rPr>
              <w:t>INTRO</w:t>
            </w:r>
          </w:p>
        </w:tc>
        <w:tc>
          <w:tcPr>
            <w:tcW w:type="dxa" w:w="1994"/>
            <w:shd w:val="clear" w:color="auto" w:fill="F0F8FA"/>
          </w:tcPr>
          <w:p>
            <w:r>
              <w:rPr>
                <w:b w:val="0"/>
                <w:color w:val="404040"/>
                <w:sz w:val="16"/>
              </w:rPr>
              <w:t>Aria: 'Swap compliance is not a one-time event — it is a continuous lifecycle. Every day there are regulatory obligations. Every month there are reports. Every quarter there are effectiveness tests. Every year there is an ALCO policy review.' Motion: 'Operations teams are responsible for the post-trade phase: the daily and periodic obligations. Failure at any point creates regulatory risk for the bank.'</w:t>
            </w:r>
          </w:p>
        </w:tc>
      </w:tr>
      <w:tr>
        <w:tc>
          <w:tcPr>
            <w:tcW w:type="dxa" w:w="1994"/>
            <w:shd w:val="clear" w:color="auto" w:fill="FFFFFF"/>
          </w:tcPr>
          <w:p>
            <w:r>
              <w:rPr>
                <w:b w:val="0"/>
                <w:color w:val="404040"/>
                <w:sz w:val="16"/>
              </w:rPr>
              <w:t>2</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RBI regulatory reporting for swaps: Monthly: Statement of outstanding derivative transactions (by product type, notional, MTM). Quarterly: ALCO report on interest rate risk (including IRS hedges). Annually: Large exposure framework reporting (for large derivative counterparties). Ad hoc: material adverse change notifications, credit event reports.</w:t>
            </w:r>
          </w:p>
        </w:tc>
        <w:tc>
          <w:tcPr>
            <w:tcW w:type="dxa" w:w="1994"/>
            <w:shd w:val="clear" w:color="auto" w:fill="FFFFFF"/>
          </w:tcPr>
          <w:p>
            <w:r>
              <w:rPr>
                <w:b w:val="0"/>
                <w:color w:val="404040"/>
                <w:sz w:val="16"/>
              </w:rPr>
              <w:t>RBI REPORTING</w:t>
            </w:r>
          </w:p>
        </w:tc>
        <w:tc>
          <w:tcPr>
            <w:tcW w:type="dxa" w:w="1994"/>
            <w:shd w:val="clear" w:color="auto" w:fill="FFFFFF"/>
          </w:tcPr>
          <w:p>
            <w:r>
              <w:rPr>
                <w:b w:val="0"/>
                <w:color w:val="404040"/>
                <w:sz w:val="16"/>
              </w:rPr>
              <w:t>Motion: 'RBI uses the monthly derivative statement to monitor aggregate interest rate and credit risk across the banking system. If the aggregate IRS notional grows rapidly, RBI may issue guidance on prudent hedge practices.' Aria: 'Operations generates these reports from the trade booking system. The data must reconcile: (1) Against CCIL's records. (2) Against the internal general ledger. (3) Against counterparty statements. Three-way reconciliation is the gold standard.'</w:t>
            </w:r>
          </w:p>
        </w:tc>
      </w:tr>
      <w:tr>
        <w:tc>
          <w:tcPr>
            <w:tcW w:type="dxa" w:w="1994"/>
            <w:shd w:val="clear" w:color="auto" w:fill="F0F8FA"/>
          </w:tcPr>
          <w:p>
            <w:r>
              <w:rPr>
                <w:b w:val="0"/>
                <w:color w:val="404040"/>
                <w:sz w:val="16"/>
              </w:rPr>
              <w:t>3</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Breach and escalation management: Regulatory breach types: late CCIL reporting, missing underlying documentation for client CDS/CCS, IRS with ineligible counterparty. Internal breach: risk limit exceeded (DV01, net Vega), MTM beyond approved range. Escalation: operations → risk management → compliance → senior management → Board ALCO. Documentation: all breaches recorded in breach register.</w:t>
            </w:r>
          </w:p>
        </w:tc>
        <w:tc>
          <w:tcPr>
            <w:tcW w:type="dxa" w:w="1994"/>
            <w:shd w:val="clear" w:color="auto" w:fill="F0F8FA"/>
          </w:tcPr>
          <w:p>
            <w:r>
              <w:rPr>
                <w:b w:val="0"/>
                <w:color w:val="404040"/>
                <w:sz w:val="16"/>
              </w:rPr>
              <w:t>BREACH MANAGEMENT</w:t>
            </w:r>
          </w:p>
        </w:tc>
        <w:tc>
          <w:tcPr>
            <w:tcW w:type="dxa" w:w="1994"/>
            <w:shd w:val="clear" w:color="auto" w:fill="F0F8FA"/>
          </w:tcPr>
          <w:p>
            <w:r>
              <w:rPr>
                <w:b w:val="0"/>
                <w:color w:val="404040"/>
                <w:sz w:val="16"/>
              </w:rPr>
              <w:t>Aria: 'Breaches must be escalated promptly — even self-discovered ones. Regulators view self-reported breaches more leniently than those found during inspections.' Motion: 'Operations teams must have a breach management framework: (1) Identify breach. (2) Assess severity (materiality). (3) Escalate to compliance within 24 hours for material breaches. (4) Remediate (close out non-compliant trade, file corrected report). (5) Document root cause and preventive measures.'</w:t>
            </w:r>
          </w:p>
        </w:tc>
      </w:tr>
      <w:tr>
        <w:tc>
          <w:tcPr>
            <w:tcW w:type="dxa" w:w="1994"/>
            <w:shd w:val="clear" w:color="auto" w:fill="FFFFFF"/>
          </w:tcPr>
          <w:p>
            <w:r>
              <w:rPr>
                <w:b w:val="0"/>
                <w:color w:val="404040"/>
                <w:sz w:val="16"/>
              </w:rPr>
              <w:t>4</w:t>
            </w:r>
          </w:p>
        </w:tc>
        <w:tc>
          <w:tcPr>
            <w:tcW w:type="dxa" w:w="1994"/>
            <w:shd w:val="clear" w:color="auto" w:fill="FFFFFF"/>
          </w:tcPr>
          <w:p>
            <w:r>
              <w:rPr>
                <w:b w:val="0"/>
                <w:color w:val="404040"/>
                <w:sz w:val="16"/>
              </w:rPr>
              <w:t>ARIA</w:t>
            </w:r>
          </w:p>
        </w:tc>
        <w:tc>
          <w:tcPr>
            <w:tcW w:type="dxa" w:w="1994"/>
            <w:shd w:val="clear" w:color="auto" w:fill="FFFFFF"/>
          </w:tcPr>
          <w:p>
            <w:r>
              <w:rPr>
                <w:b w:val="0"/>
                <w:color w:val="404040"/>
                <w:sz w:val="16"/>
              </w:rPr>
              <w:t>RBI inspection of bank derivative operations: Scope: all OTC derivative trades and documentation. Sample verification: random selection of IRS, OIS, CCS trades. Check: ISDA documentation signed. Underlying documentation for client trades. CCIL reporting compliance. Hedge accounting documentation. Effectiveness tests. MTM valuation methodology. FEMA compliance for cross-currency.</w:t>
            </w:r>
          </w:p>
        </w:tc>
        <w:tc>
          <w:tcPr>
            <w:tcW w:type="dxa" w:w="1994"/>
            <w:shd w:val="clear" w:color="auto" w:fill="FFFFFF"/>
          </w:tcPr>
          <w:p>
            <w:r>
              <w:rPr>
                <w:b w:val="0"/>
                <w:color w:val="404040"/>
                <w:sz w:val="16"/>
              </w:rPr>
              <w:t>RBI INSPECTION</w:t>
            </w:r>
          </w:p>
        </w:tc>
        <w:tc>
          <w:tcPr>
            <w:tcW w:type="dxa" w:w="1994"/>
            <w:shd w:val="clear" w:color="auto" w:fill="FFFFFF"/>
          </w:tcPr>
          <w:p>
            <w:r>
              <w:rPr>
                <w:b w:val="0"/>
                <w:color w:val="404040"/>
                <w:sz w:val="16"/>
              </w:rPr>
              <w:t>Motion: 'RBI inspection findings in derivatives operations are treated seriously. Common findings: (1) Missing or outdated ISDA schedules with counterparties. (2) Underlying documentation not collected before trade execution. (3) Late CCIL trade reporting. (4) Hedge designation documents not prepared before hedge inception.' Aria: 'Each finding results in a formal RBI communication requiring a board-level response with a remediation plan. Repeated findings in the same area can result in enhanced supervision or restrictions on new derivative activities.'</w:t>
            </w:r>
          </w:p>
        </w:tc>
      </w:tr>
      <w:tr>
        <w:tc>
          <w:tcPr>
            <w:tcW w:type="dxa" w:w="1994"/>
            <w:shd w:val="clear" w:color="auto" w:fill="F0F8FA"/>
          </w:tcPr>
          <w:p>
            <w:r>
              <w:rPr>
                <w:b w:val="0"/>
                <w:color w:val="404040"/>
                <w:sz w:val="16"/>
              </w:rPr>
              <w:t>5</w:t>
            </w:r>
          </w:p>
        </w:tc>
        <w:tc>
          <w:tcPr>
            <w:tcW w:type="dxa" w:w="1994"/>
            <w:shd w:val="clear" w:color="auto" w:fill="F0F8FA"/>
          </w:tcPr>
          <w:p>
            <w:r>
              <w:rPr>
                <w:b w:val="0"/>
                <w:color w:val="404040"/>
                <w:sz w:val="16"/>
              </w:rPr>
              <w:t>ARIA</w:t>
            </w:r>
          </w:p>
        </w:tc>
        <w:tc>
          <w:tcPr>
            <w:tcW w:type="dxa" w:w="1994"/>
            <w:shd w:val="clear" w:color="auto" w:fill="F0F8FA"/>
          </w:tcPr>
          <w:p>
            <w:r>
              <w:rPr>
                <w:b w:val="0"/>
                <w:color w:val="404040"/>
                <w:sz w:val="16"/>
              </w:rPr>
              <w:t>Swap compliance at a bank: Pre-trade KYC + ISDA + underlying docs. On-trade CCIL reporting (30 min). Post-trade: daily VM, monthly RBI reports, quarterly effectiveness tests, annual ALCO. Breach management: escalate within 24 hours, document, remediate. RBI inspection: comprehensive documentation review. Best practice: proactive compliance culture, no regulatory surprises.</w:t>
            </w:r>
          </w:p>
        </w:tc>
        <w:tc>
          <w:tcPr>
            <w:tcW w:type="dxa" w:w="1994"/>
            <w:shd w:val="clear" w:color="auto" w:fill="F0F8FA"/>
          </w:tcPr>
          <w:p>
            <w:r>
              <w:rPr>
                <w:b w:val="0"/>
                <w:color w:val="404040"/>
                <w:sz w:val="16"/>
              </w:rPr>
              <w:t>SUMMARY</w:t>
            </w:r>
          </w:p>
        </w:tc>
        <w:tc>
          <w:tcPr>
            <w:tcW w:type="dxa" w:w="1994"/>
            <w:shd w:val="clear" w:color="auto" w:fill="F0F8FA"/>
          </w:tcPr>
          <w:p>
            <w:r>
              <w:rPr>
                <w:b w:val="0"/>
                <w:color w:val="404040"/>
                <w:sz w:val="16"/>
              </w:rPr>
              <w:t>Motion: 'Completing this module, you have covered the full arc of swaps — from what they are, to how they are structured, priced, cleared, accounted for, and regulated. This is the complete lifecycle of a swap professional.' Aria: 'Congratulations — Module D8: Derivatives Swaps is complete. The knowledge you've gained — IRS, currency swaps, CDS, TRS, OIS, ISDA, CCIL, hedge accounting, and RBI/SEBI regulations — represents the full toolkit of a professional in Indian fixed income and derivatives operations. Next: FX Markets and Currency Risk.'</w:t>
            </w:r>
          </w:p>
        </w:tc>
      </w:tr>
    </w:tbl>
    <w:p/>
    <w:p>
      <w:r>
        <w:rPr>
          <w:b/>
          <w:color w:val="F0A800"/>
          <w:sz w:val="18"/>
        </w:rPr>
        <w:t>▶  TRANSITION — Leads to: Module D9 — FX Markets and Currency Risk</w:t>
      </w:r>
    </w:p>
    <w:p/>
    <w:p>
      <w:r>
        <w:br w:type="page"/>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