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01C4F"/>
        </w:rPr>
        <w:t>CIBOP — Exchange Trade Life Cycle: Assessment</w:t>
      </w:r>
    </w:p>
    <w:p>
      <w:r>
        <w:t>40 Questions · 4 per UOR · UORs E9.1–E9.10 · Imarticus Learning</w:t>
      </w:r>
    </w:p>
    <w:p/>
    <w:p>
      <w:pPr>
        <w:shd w:val="clear" w:color="auto" w:fill="101C4F"/>
      </w:pPr>
      <w:r>
        <w:rPr>
          <w:rFonts w:ascii="Calibri" w:hAnsi="Calibri"/>
          <w:b/>
          <w:i w:val="0"/>
          <w:color w:val="FFFFFF"/>
          <w:sz w:val="24"/>
        </w:rPr>
        <w:t xml:space="preserve">  E9.1: Exchange TLC Overview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Q1. </w:t>
      </w:r>
      <w:r>
        <w:rPr>
          <w:rFonts w:ascii="Calibri" w:hAnsi="Calibri"/>
          <w:b w:val="0"/>
          <w:i w:val="0"/>
          <w:sz w:val="22"/>
        </w:rPr>
        <w:t>How many distinct stages are there in the Exchange Trade Life Cycle?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A. 7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B. 9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C. 11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D. 13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Answer: </w:t>
      </w:r>
      <w:r>
        <w:rPr>
          <w:rFonts w:ascii="Calibri" w:hAnsi="Calibri"/>
          <w:b w:val="0"/>
          <w:i w:val="0"/>
          <w:sz w:val="20"/>
        </w:rPr>
        <w:t>C. 11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The Exchange TLC has 11 stages: Initiation, Execution, Reporting, Capture, Enrichment, Validation, Verification, Confirmation, Transaction Reporting, Settlement, and Reconciliation.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Q2. </w:t>
      </w:r>
      <w:r>
        <w:rPr>
          <w:rFonts w:ascii="Calibri" w:hAnsi="Calibri"/>
          <w:b w:val="0"/>
          <w:i w:val="0"/>
          <w:sz w:val="22"/>
        </w:rPr>
        <w:t>Classify each TLC stage as Front Office (FO), Middle Office (MO), or Back Office (BO) — True or False for each: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Trade Initiation belongs to Front Office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Trade Enrichment belongs to Back Office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Settlement belongs to Back Office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Trade Validation belongs to Middle Office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Answers: </w:t>
      </w:r>
      <w:r>
        <w:rPr>
          <w:rFonts w:ascii="Calibri" w:hAnsi="Calibri"/>
          <w:b w:val="0"/>
          <w:i w:val="0"/>
          <w:sz w:val="20"/>
        </w:rPr>
        <w:t>True | False — MO | True | True</w:t>
      </w:r>
      <w:r>
        <w:rPr>
          <w:rFonts w:ascii="Calibri" w:hAnsi="Calibri"/>
          <w:b w:val="0"/>
          <w:i w:val="0"/>
          <w:color w:val="404040"/>
          <w:sz w:val="20"/>
        </w:rPr>
        <w:t xml:space="preserve">  —  </w:t>
      </w:r>
      <w:r>
        <w:rPr>
          <w:rFonts w:ascii="Calibri" w:hAnsi="Calibri"/>
          <w:b w:val="0"/>
          <w:i/>
          <w:color w:val="404040"/>
          <w:sz w:val="20"/>
        </w:rPr>
        <w:t>FO owns stages 1–2 (Initiation, Execution). MO owns stages 3–8. BO owns stages 9–11.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Q3. </w:t>
      </w:r>
      <w:r>
        <w:rPr>
          <w:rFonts w:ascii="Calibri" w:hAnsi="Calibri"/>
          <w:b w:val="0"/>
          <w:i w:val="0"/>
          <w:sz w:val="22"/>
        </w:rPr>
        <w:t>In India, equity trades settle on T+___ — one business day after execution. This makes India one of the fastest-settling major markets in the world.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Answer: </w:t>
      </w:r>
      <w:r>
        <w:rPr>
          <w:rFonts w:ascii="Calibri" w:hAnsi="Calibri"/>
          <w:b w:val="0"/>
          <w:i w:val="0"/>
          <w:sz w:val="20"/>
        </w:rPr>
        <w:t>T+1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India moved to T+1 settlement in phases during 2022–2023. The US and EU have historically operated on T+2.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Q4. </w:t>
      </w:r>
      <w:r>
        <w:rPr>
          <w:rFonts w:ascii="Calibri" w:hAnsi="Calibri"/>
          <w:b w:val="0"/>
          <w:i w:val="0"/>
          <w:sz w:val="22"/>
        </w:rPr>
        <w:t>Match each STP concept to its correct description.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7A8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 A</w:t>
            </w:r>
          </w:p>
        </w:tc>
        <w:tc>
          <w:tcPr>
            <w:tcW w:type="dxa" w:w="4986"/>
            <w:shd w:val="clear" w:color="auto" w:fill="007A8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 B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A. STP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1. % of trades processed without manual intervention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B. STP break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2. Automated end-to-end flow without manual re-keying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C. STP rate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3. Hosting broker servers inside the exchange data centre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D. Co-location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4. Failure of automated processing requiring manual fix</w:t>
            </w:r>
          </w:p>
        </w:tc>
      </w:tr>
    </w:tbl>
    <w:p>
      <w:r>
        <w:rPr>
          <w:rFonts w:ascii="Calibri" w:hAnsi="Calibri"/>
          <w:b/>
          <w:i w:val="0"/>
          <w:color w:val="F0A800"/>
          <w:sz w:val="20"/>
        </w:rPr>
        <w:t xml:space="preserve">Key: </w:t>
      </w:r>
      <w:r>
        <w:rPr>
          <w:rFonts w:ascii="Calibri" w:hAnsi="Calibri"/>
          <w:b w:val="0"/>
          <w:i w:val="0"/>
          <w:sz w:val="20"/>
        </w:rPr>
        <w:t>A-2, B-4, C-1, D-3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STP = Straight-Through Processing. A high STP rate (97–99%) is a key operations KPI. Co-location reduces order latency to microseconds.</w:t>
      </w:r>
    </w:p>
    <w:p/>
    <w:p>
      <w:pPr>
        <w:shd w:val="clear" w:color="auto" w:fill="101C4F"/>
      </w:pPr>
      <w:r>
        <w:rPr>
          <w:rFonts w:ascii="Calibri" w:hAnsi="Calibri"/>
          <w:b/>
          <w:i w:val="0"/>
          <w:color w:val="FFFFFF"/>
          <w:sz w:val="24"/>
        </w:rPr>
        <w:t xml:space="preserve">  E9.2: Trade Initiation — From Decision to Order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Q5. </w:t>
      </w:r>
      <w:r>
        <w:rPr>
          <w:rFonts w:ascii="Calibri" w:hAnsi="Calibri"/>
          <w:b w:val="0"/>
          <w:i w:val="0"/>
          <w:sz w:val="22"/>
        </w:rPr>
        <w:t>Which of the following is NOT a mandatory field in an order submitted via an OMS?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A. ISIN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B. Order type (Market/Limit)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C. Analyst recommendation date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D. Quantity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Answer: </w:t>
      </w:r>
      <w:r>
        <w:rPr>
          <w:rFonts w:ascii="Calibri" w:hAnsi="Calibri"/>
          <w:b w:val="0"/>
          <w:i w:val="0"/>
          <w:sz w:val="20"/>
        </w:rPr>
        <w:t>C. Analyst recommendation date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Mandatory order fields include: ISIN, direction (buy/sell), quantity, order type, validity, exchange, and account. The analyst recommendation date is not a trade order field.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Q6. </w:t>
      </w:r>
      <w:r>
        <w:rPr>
          <w:rFonts w:ascii="Calibri" w:hAnsi="Calibri"/>
          <w:b w:val="0"/>
          <w:i w:val="0"/>
          <w:sz w:val="22"/>
        </w:rPr>
        <w:t>Indicate True or False for each statement about DMA and algorithmic trading — True or False for each: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DMA routes orders directly to the exchange, bypassing the dealer desk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VWAP executes all shares at the opening price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DMA reduces order execution time from minutes to milliseconds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Slippage is the difference between decision price and execution price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Answers: </w:t>
      </w:r>
      <w:r>
        <w:rPr>
          <w:rFonts w:ascii="Calibri" w:hAnsi="Calibri"/>
          <w:b w:val="0"/>
          <w:i w:val="0"/>
          <w:sz w:val="20"/>
        </w:rPr>
        <w:t>True | False — VWAP spreads execution over time matching volume patterns | True | True</w:t>
      </w:r>
      <w:r>
        <w:rPr>
          <w:rFonts w:ascii="Calibri" w:hAnsi="Calibri"/>
          <w:b w:val="0"/>
          <w:i w:val="0"/>
          <w:color w:val="404040"/>
          <w:sz w:val="20"/>
        </w:rPr>
        <w:t xml:space="preserve">  —  </w:t>
      </w:r>
      <w:r>
        <w:rPr>
          <w:rFonts w:ascii="Calibri" w:hAnsi="Calibri"/>
          <w:b w:val="0"/>
          <w:i/>
          <w:color w:val="404040"/>
          <w:sz w:val="20"/>
        </w:rPr>
        <w:t>VWAP (Volume-Weighted Average Price) tracks historical volume patterns to spread execution, not execute at open.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Q7. </w:t>
      </w:r>
      <w:r>
        <w:rPr>
          <w:rFonts w:ascii="Calibri" w:hAnsi="Calibri"/>
          <w:b w:val="0"/>
          <w:i w:val="0"/>
          <w:sz w:val="22"/>
        </w:rPr>
        <w:t>The ___ protocol is the universal electronic messaging standard used to route orders from an OMS to the exchange matching engine.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Answer: </w:t>
      </w:r>
      <w:r>
        <w:rPr>
          <w:rFonts w:ascii="Calibri" w:hAnsi="Calibri"/>
          <w:b w:val="0"/>
          <w:i w:val="0"/>
          <w:sz w:val="20"/>
        </w:rPr>
        <w:t>FIX (Financial Information eXchange)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FIX protocol is used globally for electronic order routing. A FIX NewOrderSingle message (MsgType D) contains all order details.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Q8. </w:t>
      </w:r>
      <w:r>
        <w:rPr>
          <w:rFonts w:ascii="Calibri" w:hAnsi="Calibri"/>
          <w:b w:val="0"/>
          <w:i w:val="0"/>
          <w:sz w:val="22"/>
        </w:rPr>
        <w:t>Match each algorithmic execution strategy to its primary objective.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7A8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 A</w:t>
            </w:r>
          </w:p>
        </w:tc>
        <w:tc>
          <w:tcPr>
            <w:tcW w:type="dxa" w:w="4986"/>
            <w:shd w:val="clear" w:color="auto" w:fill="007A8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 B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A. TWAP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1. Minimise difference between decision price and average fill price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B. VWAP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2. Execute in proportion to historical market volume patterns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C. Implementation Shortfall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3. Execute as a fixed % of real-time market volume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D. Participation Rate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4. Spread execution evenly across a defined time window</w:t>
            </w:r>
          </w:p>
        </w:tc>
      </w:tr>
    </w:tbl>
    <w:p>
      <w:r>
        <w:rPr>
          <w:rFonts w:ascii="Calibri" w:hAnsi="Calibri"/>
          <w:b/>
          <w:i w:val="0"/>
          <w:color w:val="F0A800"/>
          <w:sz w:val="20"/>
        </w:rPr>
        <w:t xml:space="preserve">Key: </w:t>
      </w:r>
      <w:r>
        <w:rPr>
          <w:rFonts w:ascii="Calibri" w:hAnsi="Calibri"/>
          <w:b w:val="0"/>
          <w:i w:val="0"/>
          <w:sz w:val="20"/>
        </w:rPr>
        <w:t>A-4, B-2, C-1, D-3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TWAP = Time-Weighted Average Price (even time spread). VWAP = Volume-Weighted (volume-proportional). IS = Implementation Shortfall (minimise slippage). Participation Rate = fixed % of live volume.</w:t>
      </w:r>
    </w:p>
    <w:p/>
    <w:p>
      <w:pPr>
        <w:shd w:val="clear" w:color="auto" w:fill="101C4F"/>
      </w:pPr>
      <w:r>
        <w:rPr>
          <w:rFonts w:ascii="Calibri" w:hAnsi="Calibri"/>
          <w:b/>
          <w:i w:val="0"/>
          <w:color w:val="FFFFFF"/>
          <w:sz w:val="24"/>
        </w:rPr>
        <w:t xml:space="preserve">  E9.3: Order Types and Market Participants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Q9. </w:t>
      </w:r>
      <w:r>
        <w:rPr>
          <w:rFonts w:ascii="Calibri" w:hAnsi="Calibri"/>
          <w:b w:val="0"/>
          <w:i w:val="0"/>
          <w:sz w:val="22"/>
        </w:rPr>
        <w:t>An investor holds Wipro shares purchased at ₹450. She wants to automatically exit if the price falls to ₹400. Which order type should she place?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A. Limit order at ₹400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B. Market order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C. Stop-loss order at ₹400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D. AMO at ₹400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Answer: </w:t>
      </w:r>
      <w:r>
        <w:rPr>
          <w:rFonts w:ascii="Calibri" w:hAnsi="Calibri"/>
          <w:b w:val="0"/>
          <w:i w:val="0"/>
          <w:sz w:val="20"/>
        </w:rPr>
        <w:t>C. Stop-loss order at ₹400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A stop-loss triggers when the market trades at or below ₹400, converting to a market order. A limit order at ₹400 would only buy more at ₹400, not protect against a fall.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Q10. </w:t>
      </w:r>
      <w:r>
        <w:rPr>
          <w:rFonts w:ascii="Calibri" w:hAnsi="Calibri"/>
          <w:b w:val="0"/>
          <w:i w:val="0"/>
          <w:sz w:val="22"/>
        </w:rPr>
        <w:t>Indicate True or False for each statement about market participants — True or False for each: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NSCC (India) is a subsidiary of DTCC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NSDL and CDSL are India's two central securities depositories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 custodian bank holds client assets and processes settlement on their behalf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The CCP eliminates bilateral counterparty risk between buyer and seller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Answers: </w:t>
      </w:r>
      <w:r>
        <w:rPr>
          <w:rFonts w:ascii="Calibri" w:hAnsi="Calibri"/>
          <w:b w:val="0"/>
          <w:i w:val="0"/>
          <w:sz w:val="20"/>
        </w:rPr>
        <w:t>False — NSCC India is a subsidiary of NSE | True | True | True</w:t>
      </w:r>
      <w:r>
        <w:rPr>
          <w:rFonts w:ascii="Calibri" w:hAnsi="Calibri"/>
          <w:b w:val="0"/>
          <w:i w:val="0"/>
          <w:color w:val="404040"/>
          <w:sz w:val="20"/>
        </w:rPr>
        <w:t xml:space="preserve">  —  </w:t>
      </w:r>
      <w:r>
        <w:rPr>
          <w:rFonts w:ascii="Calibri" w:hAnsi="Calibri"/>
          <w:b w:val="0"/>
          <w:i/>
          <w:color w:val="404040"/>
          <w:sz w:val="20"/>
        </w:rPr>
        <w:t>India's NSCC is owned by NSE. DTCC is the US parent of NSCC US. NSDL (1996) and CDSL (1999) are India's two depositories.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Q11. </w:t>
      </w:r>
      <w:r>
        <w:rPr>
          <w:rFonts w:ascii="Calibri" w:hAnsi="Calibri"/>
          <w:b w:val="0"/>
          <w:i w:val="0"/>
          <w:sz w:val="22"/>
        </w:rPr>
        <w:t>NSE's pre-open call auction session runs from ___ to ___ AM, during which all orders are collected to determine the opening price.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Answer: </w:t>
      </w:r>
      <w:r>
        <w:rPr>
          <w:rFonts w:ascii="Calibri" w:hAnsi="Calibri"/>
          <w:b w:val="0"/>
          <w:i w:val="0"/>
          <w:sz w:val="20"/>
        </w:rPr>
        <w:t>9:00 to 9:15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During the 9:00–9:15 AM call auction, all orders are collected and a single equilibrium price that maximises matches is determined as the opening price.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Q12. </w:t>
      </w:r>
      <w:r>
        <w:rPr>
          <w:rFonts w:ascii="Calibri" w:hAnsi="Calibri"/>
          <w:b w:val="0"/>
          <w:i w:val="0"/>
          <w:sz w:val="22"/>
        </w:rPr>
        <w:t>Match each order type to its key characteristic.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7A8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 A</w:t>
            </w:r>
          </w:p>
        </w:tc>
        <w:tc>
          <w:tcPr>
            <w:tcW w:type="dxa" w:w="4986"/>
            <w:shd w:val="clear" w:color="auto" w:fill="007A8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 B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A. Market Order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1. Remains active until filled or manually cancelled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B. Limit Order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2. Executes immediately; any unfilled portion cancelled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C. IOC Order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3. Fills only at specified price or better; may not fill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D. GTC Order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4. Executes immediately at best available price</w:t>
            </w:r>
          </w:p>
        </w:tc>
      </w:tr>
    </w:tbl>
    <w:p>
      <w:r>
        <w:rPr>
          <w:rFonts w:ascii="Calibri" w:hAnsi="Calibri"/>
          <w:b/>
          <w:i w:val="0"/>
          <w:color w:val="F0A800"/>
          <w:sz w:val="20"/>
        </w:rPr>
        <w:t xml:space="preserve">Key: </w:t>
      </w:r>
      <w:r>
        <w:rPr>
          <w:rFonts w:ascii="Calibri" w:hAnsi="Calibri"/>
          <w:b w:val="0"/>
          <w:i w:val="0"/>
          <w:sz w:val="20"/>
        </w:rPr>
        <w:t>A-4, B-3, C-2, D-1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Market = immediate fill at any price. Limit = price-controlled, may not fill. IOC = fill what you can, cancel rest. GTC = patient limit order that waits indefinitely.</w:t>
      </w:r>
    </w:p>
    <w:p/>
    <w:p>
      <w:pPr>
        <w:shd w:val="clear" w:color="auto" w:fill="101C4F"/>
      </w:pPr>
      <w:r>
        <w:rPr>
          <w:rFonts w:ascii="Calibri" w:hAnsi="Calibri"/>
          <w:b/>
          <w:i w:val="0"/>
          <w:color w:val="FFFFFF"/>
          <w:sz w:val="24"/>
        </w:rPr>
        <w:t xml:space="preserve">  E9.4: Trade Execution — Quality, Reporting, and Capture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Q13. </w:t>
      </w:r>
      <w:r>
        <w:rPr>
          <w:rFonts w:ascii="Calibri" w:hAnsi="Calibri"/>
          <w:b w:val="0"/>
          <w:i w:val="0"/>
          <w:sz w:val="22"/>
        </w:rPr>
        <w:t>Which FIX message type does the exchange send to the broker to confirm a trade has been executed?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A. MsgType D (NewOrderSingle)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B. MsgType 8 (ExecutionReport)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C. MsgType G (OrderCancelReplaceRequest)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D. MsgType V (MarketDataRequest)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Answer: </w:t>
      </w:r>
      <w:r>
        <w:rPr>
          <w:rFonts w:ascii="Calibri" w:hAnsi="Calibri"/>
          <w:b w:val="0"/>
          <w:i w:val="0"/>
          <w:sz w:val="20"/>
        </w:rPr>
        <w:t>B. MsgType 8 (ExecutionReport)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The FIX ExecutionReport (MsgType 8) is sent by the exchange to both brokers confirming execution details including ExecID, fill price, quantity, and timestamp.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Q14. </w:t>
      </w:r>
      <w:r>
        <w:rPr>
          <w:rFonts w:ascii="Calibri" w:hAnsi="Calibri"/>
          <w:b w:val="0"/>
          <w:i w:val="0"/>
          <w:sz w:val="22"/>
        </w:rPr>
        <w:t>Indicate True or False for each statement about trade capture — True or False for each: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The trade ticket includes accrued interest for bond trades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SEBI requires same-day allocation for institutional trades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AvgPx in the FIX message is the price of just the most recent partial fill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The Exchange Trade ID and the broker's internal Trade ID are the same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Answers: </w:t>
      </w:r>
      <w:r>
        <w:rPr>
          <w:rFonts w:ascii="Calibri" w:hAnsi="Calibri"/>
          <w:b w:val="0"/>
          <w:i w:val="0"/>
          <w:sz w:val="20"/>
        </w:rPr>
        <w:t>True | True | False — AvgPx is the cumulative average fill price | False — each system assigns its own ID</w:t>
      </w:r>
      <w:r>
        <w:rPr>
          <w:rFonts w:ascii="Calibri" w:hAnsi="Calibri"/>
          <w:b w:val="0"/>
          <w:i w:val="0"/>
          <w:color w:val="404040"/>
          <w:sz w:val="20"/>
        </w:rPr>
        <w:t xml:space="preserve">  —  </w:t>
      </w:r>
      <w:r>
        <w:rPr>
          <w:rFonts w:ascii="Calibri" w:hAnsi="Calibri"/>
          <w:b w:val="0"/>
          <w:i/>
          <w:color w:val="404040"/>
          <w:sz w:val="20"/>
        </w:rPr>
        <w:t>AvgPx = cumulative average across all partial fills. LastPx = price of the most recent fill. Each system generates its own ID but links to upstream IDs.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Q15. </w:t>
      </w:r>
      <w:r>
        <w:rPr>
          <w:rFonts w:ascii="Calibri" w:hAnsi="Calibri"/>
          <w:b w:val="0"/>
          <w:i w:val="0"/>
          <w:sz w:val="22"/>
        </w:rPr>
        <w:t>For a bond trade, the buyer pays the seller the ___ price — which equals the quoted clean price PLUS ___ interest earned since the last coupon date.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Answer: </w:t>
      </w:r>
      <w:r>
        <w:rPr>
          <w:rFonts w:ascii="Calibri" w:hAnsi="Calibri"/>
          <w:b w:val="0"/>
          <w:i w:val="0"/>
          <w:sz w:val="20"/>
        </w:rPr>
        <w:t>dirty price; accrued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Bond settlement uses dirty price = clean price + accrued interest. The buyer compensates the seller for accrued coupon income since the last coupon payment date.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Q16. </w:t>
      </w:r>
      <w:r>
        <w:rPr>
          <w:rFonts w:ascii="Calibri" w:hAnsi="Calibri"/>
          <w:b w:val="0"/>
          <w:i w:val="0"/>
          <w:sz w:val="22"/>
        </w:rPr>
        <w:t>Match each trade ticket field to its primary downstream purpose.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7A8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 A</w:t>
            </w:r>
          </w:p>
        </w:tc>
        <w:tc>
          <w:tcPr>
            <w:tcW w:type="dxa" w:w="4986"/>
            <w:shd w:val="clear" w:color="auto" w:fill="007A8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 B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A. ISIN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1. Required for SEBI and EMIR transaction reporting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B. Settlement Date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2. Tells custodian when to move assets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C. Counterparty LEI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3. Used by settlement systems to identify the security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D. Accrued Interest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4. Added to clean price to determine cash settlement for bonds</w:t>
            </w:r>
          </w:p>
        </w:tc>
      </w:tr>
    </w:tbl>
    <w:p>
      <w:r>
        <w:rPr>
          <w:rFonts w:ascii="Calibri" w:hAnsi="Calibri"/>
          <w:b/>
          <w:i w:val="0"/>
          <w:color w:val="F0A800"/>
          <w:sz w:val="20"/>
        </w:rPr>
        <w:t xml:space="preserve">Key: </w:t>
      </w:r>
      <w:r>
        <w:rPr>
          <w:rFonts w:ascii="Calibri" w:hAnsi="Calibri"/>
          <w:b w:val="0"/>
          <w:i w:val="0"/>
          <w:sz w:val="20"/>
        </w:rPr>
        <w:t>A-3, B-2, C-1, D-4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ISIN = security identifier for settlement. Settlement Date = custodian timing. LEI = regulatory reporting identity. Accrued Interest = bond dirty price calculation.</w:t>
      </w:r>
    </w:p>
    <w:p/>
    <w:p>
      <w:pPr>
        <w:shd w:val="clear" w:color="auto" w:fill="101C4F"/>
      </w:pPr>
      <w:r>
        <w:rPr>
          <w:rFonts w:ascii="Calibri" w:hAnsi="Calibri"/>
          <w:b/>
          <w:i w:val="0"/>
          <w:color w:val="FFFFFF"/>
          <w:sz w:val="24"/>
        </w:rPr>
        <w:t xml:space="preserve">  E9.5: Trade Enrichment — Cash Figuration and SSI Defaults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Q17. </w:t>
      </w:r>
      <w:r>
        <w:rPr>
          <w:rFonts w:ascii="Calibri" w:hAnsi="Calibri"/>
          <w:b w:val="0"/>
          <w:i w:val="0"/>
          <w:sz w:val="22"/>
        </w:rPr>
        <w:t>A buy trade for 2,000 shares of HDFC Bank at ₹1,600 is executed. Brokerage is 0.03% and GST on brokerage is 18%. What is the approximate gross trade value before charges?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A. ₹31,96,000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B. ₹32,00,000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C. ₹32,09,600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D. ₹32,11,200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Answer: </w:t>
      </w:r>
      <w:r>
        <w:rPr>
          <w:rFonts w:ascii="Calibri" w:hAnsi="Calibri"/>
          <w:b w:val="0"/>
          <w:i w:val="0"/>
          <w:sz w:val="20"/>
        </w:rPr>
        <w:t>B. ₹32,00,000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Gross value = 2,000 × ₹1,600 = ₹32,00,000. Charges (brokerage ₹960, GST ₹172.80, etc.) are added on top to arrive at net settlement amount.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Q18. </w:t>
      </w:r>
      <w:r>
        <w:rPr>
          <w:rFonts w:ascii="Calibri" w:hAnsi="Calibri"/>
          <w:b w:val="0"/>
          <w:i w:val="0"/>
          <w:sz w:val="22"/>
        </w:rPr>
        <w:t>Indicate True or False for each statement about SSIs — True or False for each: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SSI stands for Standard Settlement Instructions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 single SSI record covers all security types for a counterparty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An incorrect SSI is the most common cause of settlement failures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SSI defaulting populates the settlement account fields automatically during enrichment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Answers: </w:t>
      </w:r>
      <w:r>
        <w:rPr>
          <w:rFonts w:ascii="Calibri" w:hAnsi="Calibri"/>
          <w:b w:val="0"/>
          <w:i w:val="0"/>
          <w:sz w:val="20"/>
        </w:rPr>
        <w:t>True | False — different SSIs exist for equities, bonds, G-Secs etc. | True | True</w:t>
      </w:r>
      <w:r>
        <w:rPr>
          <w:rFonts w:ascii="Calibri" w:hAnsi="Calibri"/>
          <w:b w:val="0"/>
          <w:i w:val="0"/>
          <w:color w:val="404040"/>
          <w:sz w:val="20"/>
        </w:rPr>
        <w:t xml:space="preserve">  —  </w:t>
      </w:r>
      <w:r>
        <w:rPr>
          <w:rFonts w:ascii="Calibri" w:hAnsi="Calibri"/>
          <w:b w:val="0"/>
          <w:i/>
          <w:color w:val="404040"/>
          <w:sz w:val="20"/>
        </w:rPr>
        <w:t>Each counterparty may have different SSIs per security type (e.g., equities vs G-Secs). SSI errors cause securities to be delivered to the wrong account.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Q19. </w:t>
      </w:r>
      <w:r>
        <w:rPr>
          <w:rFonts w:ascii="Calibri" w:hAnsi="Calibri"/>
          <w:b w:val="0"/>
          <w:i w:val="0"/>
          <w:sz w:val="22"/>
        </w:rPr>
        <w:t>The two enrichment steps applied to every captured trade are ___ (calculating exact cash amounts) and ___ (populating settlement account details).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Answer: </w:t>
      </w:r>
      <w:r>
        <w:rPr>
          <w:rFonts w:ascii="Calibri" w:hAnsi="Calibri"/>
          <w:b w:val="0"/>
          <w:i w:val="0"/>
          <w:sz w:val="20"/>
        </w:rPr>
        <w:t>cash figuration; SSI defaulting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Cash figuration calculates gross value, charges, and net settlement amount. SSI defaulting retrieves the counterparty's pre-agreed settlement account details from the SSI database.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Q20. </w:t>
      </w:r>
      <w:r>
        <w:rPr>
          <w:rFonts w:ascii="Calibri" w:hAnsi="Calibri"/>
          <w:b w:val="0"/>
          <w:i w:val="0"/>
          <w:sz w:val="22"/>
        </w:rPr>
        <w:t>Match each Indian equity trade charge to its correct description.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7A8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 A</w:t>
            </w:r>
          </w:p>
        </w:tc>
        <w:tc>
          <w:tcPr>
            <w:tcW w:type="dxa" w:w="4986"/>
            <w:shd w:val="clear" w:color="auto" w:fill="007A8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 B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A. STT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1. 0.015% on buy-side delivery trades (since 2020)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B. SEBI Turnover Fee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2. 18% applied on brokerage and exchange transaction charges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C. Stamp Duty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3. 0.1% on the sell side for equity delivery trades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D. GST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4. 0.0001% on all traded turnover</w:t>
            </w:r>
          </w:p>
        </w:tc>
      </w:tr>
    </w:tbl>
    <w:p>
      <w:r>
        <w:rPr>
          <w:rFonts w:ascii="Calibri" w:hAnsi="Calibri"/>
          <w:b/>
          <w:i w:val="0"/>
          <w:color w:val="F0A800"/>
          <w:sz w:val="20"/>
        </w:rPr>
        <w:t xml:space="preserve">Key: </w:t>
      </w:r>
      <w:r>
        <w:rPr>
          <w:rFonts w:ascii="Calibri" w:hAnsi="Calibri"/>
          <w:b w:val="0"/>
          <w:i w:val="0"/>
          <w:sz w:val="20"/>
        </w:rPr>
        <w:t>A-3, B-4, C-1, D-2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STT (Securities Transaction Tax) = 0.1% sell-side. SEBI fee = 0.0001%. Stamp duty = 0.015% buy-side (Finance Act 2020). GST = 18% on brokerage + exchange charges.</w:t>
      </w:r>
    </w:p>
    <w:p/>
    <w:p>
      <w:pPr>
        <w:shd w:val="clear" w:color="auto" w:fill="101C4F"/>
      </w:pPr>
      <w:r>
        <w:rPr>
          <w:rFonts w:ascii="Calibri" w:hAnsi="Calibri"/>
          <w:b/>
          <w:i w:val="0"/>
          <w:color w:val="FFFFFF"/>
          <w:sz w:val="24"/>
        </w:rPr>
        <w:t xml:space="preserve">  E9.6: Trade Validation and Verification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Q21. </w:t>
      </w:r>
      <w:r>
        <w:rPr>
          <w:rFonts w:ascii="Calibri" w:hAnsi="Calibri"/>
          <w:b w:val="0"/>
          <w:i w:val="0"/>
          <w:sz w:val="22"/>
        </w:rPr>
        <w:t>During trade validation, a trade is flagged because the settlement date falls on Republic Day (26 January). What is the correct action?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A. Cancel the trade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B. Roll settlement to the next valid business day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C. Settle on 26 January as originally planned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D. Escalate to SEBI immediately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Answer: </w:t>
      </w:r>
      <w:r>
        <w:rPr>
          <w:rFonts w:ascii="Calibri" w:hAnsi="Calibri"/>
          <w:b w:val="0"/>
          <w:i w:val="0"/>
          <w:sz w:val="20"/>
        </w:rPr>
        <w:t>B. Roll settlement to the next valid business day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Settlement dates must fall on valid business days per the NSE/SEBI holiday calendar. A holiday conflict is resolved by rolling to the next valid business day — usually automatically by the validation system.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Q22. </w:t>
      </w:r>
      <w:r>
        <w:rPr>
          <w:rFonts w:ascii="Calibri" w:hAnsi="Calibri"/>
          <w:b w:val="0"/>
          <w:i w:val="0"/>
          <w:sz w:val="22"/>
        </w:rPr>
        <w:t>Indicate True or False for each statement about trade verification — True or False for each: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Verification is a unilateral process — only one side needs to check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 price mismatch often occurs because one party records gross price and the other records net-of-commission price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In India, unmatched exchange trades can be verified using NSE's end-of-day trade files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 mismatch that is unresolved at T+0 end-of-day creates settlement risk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Answers: </w:t>
      </w:r>
      <w:r>
        <w:rPr>
          <w:rFonts w:ascii="Calibri" w:hAnsi="Calibri"/>
          <w:b w:val="0"/>
          <w:i w:val="0"/>
          <w:sz w:val="20"/>
        </w:rPr>
        <w:t>False — verification is bilateral; both sides must agree | True | True | True</w:t>
      </w:r>
      <w:r>
        <w:rPr>
          <w:rFonts w:ascii="Calibri" w:hAnsi="Calibri"/>
          <w:b w:val="0"/>
          <w:i w:val="0"/>
          <w:color w:val="404040"/>
          <w:sz w:val="20"/>
        </w:rPr>
        <w:t xml:space="preserve">  —  </w:t>
      </w:r>
      <w:r>
        <w:rPr>
          <w:rFonts w:ascii="Calibri" w:hAnsi="Calibri"/>
          <w:b w:val="0"/>
          <w:i/>
          <w:color w:val="404040"/>
          <w:sz w:val="20"/>
        </w:rPr>
        <w:t>Verification requires both counterparties to confirm the same trade details. NSE's trade files serve as authoritative records for exchange-traded equity verification.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Q23. </w:t>
      </w:r>
      <w:r>
        <w:rPr>
          <w:rFonts w:ascii="Calibri" w:hAnsi="Calibri"/>
          <w:b w:val="0"/>
          <w:i w:val="0"/>
          <w:sz w:val="22"/>
        </w:rPr>
        <w:t>Four-eyes review requires a ___ analyst to review and approve a settlement instruction before it is released to the custodian — for trades above a defined ___ threshold.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Answer: </w:t>
      </w:r>
      <w:r>
        <w:rPr>
          <w:rFonts w:ascii="Calibri" w:hAnsi="Calibri"/>
          <w:b w:val="0"/>
          <w:i w:val="0"/>
          <w:sz w:val="20"/>
        </w:rPr>
        <w:t>second; value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Four-eyes is a segregation-of-duties control: one analyst prepares the instruction, a second approves it. Threshold is typically ₹1 crore or higher depending on firm policy.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Q24. </w:t>
      </w:r>
      <w:r>
        <w:rPr>
          <w:rFonts w:ascii="Calibri" w:hAnsi="Calibri"/>
          <w:b w:val="0"/>
          <w:i w:val="0"/>
          <w:sz w:val="22"/>
        </w:rPr>
        <w:t>Match each validation check category to an example of what it detects.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7A8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 A</w:t>
            </w:r>
          </w:p>
        </w:tc>
        <w:tc>
          <w:tcPr>
            <w:tcW w:type="dxa" w:w="4986"/>
            <w:shd w:val="clear" w:color="auto" w:fill="007A8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 B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A. Completeness check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1. Counterparty name matches an OFAC-blocked entity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B. Business rule check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2. Trade would cause concentration limit of 10% portfolio to be exceeded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C. Limit check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3. Settlement date falls on a public holiday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D. Sanctions check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4. SSI field is blank on an enriched trade record</w:t>
            </w:r>
          </w:p>
        </w:tc>
      </w:tr>
    </w:tbl>
    <w:p>
      <w:r>
        <w:rPr>
          <w:rFonts w:ascii="Calibri" w:hAnsi="Calibri"/>
          <w:b/>
          <w:i w:val="0"/>
          <w:color w:val="F0A800"/>
          <w:sz w:val="20"/>
        </w:rPr>
        <w:t xml:space="preserve">Key: </w:t>
      </w:r>
      <w:r>
        <w:rPr>
          <w:rFonts w:ascii="Calibri" w:hAnsi="Calibri"/>
          <w:b w:val="0"/>
          <w:i w:val="0"/>
          <w:sz w:val="20"/>
        </w:rPr>
        <w:t>A-4, B-3, C-2, D-1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Completeness = mandatory fields populated. Business rules = valid values (dates, amounts). Limits = risk boundaries. Sanctions = compliance screening against blocked entity lists.</w:t>
      </w:r>
    </w:p>
    <w:p/>
    <w:p>
      <w:pPr>
        <w:shd w:val="clear" w:color="auto" w:fill="101C4F"/>
      </w:pPr>
      <w:r>
        <w:rPr>
          <w:rFonts w:ascii="Calibri" w:hAnsi="Calibri"/>
          <w:b/>
          <w:i w:val="0"/>
          <w:color w:val="FFFFFF"/>
          <w:sz w:val="24"/>
        </w:rPr>
        <w:t xml:space="preserve">  E9.7: Trade Confirmation and Transaction Reporting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Q25. </w:t>
      </w:r>
      <w:r>
        <w:rPr>
          <w:rFonts w:ascii="Calibri" w:hAnsi="Calibri"/>
          <w:b w:val="0"/>
          <w:i w:val="0"/>
          <w:sz w:val="22"/>
        </w:rPr>
        <w:t>Under SEBI rules, what is the deadline for reporting an OTC derivative transaction (e.g., an INR IRS) to CCIL's Trade Repository?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A. Within 30 minutes of execution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B. By end of trade day (T+0)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C. Within T+1 business day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D. Within 5 business days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Answer: </w:t>
      </w:r>
      <w:r>
        <w:rPr>
          <w:rFonts w:ascii="Calibri" w:hAnsi="Calibri"/>
          <w:b w:val="0"/>
          <w:i w:val="0"/>
          <w:sz w:val="20"/>
        </w:rPr>
        <w:t>A. Within 30 minutes of execution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SEBI mandates OTC derivative TR reporting to CCIL within 30 minutes of execution. This requires fully automated STP-based reporting — manual submission is too slow for active trading desks.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Q26. </w:t>
      </w:r>
      <w:r>
        <w:rPr>
          <w:rFonts w:ascii="Calibri" w:hAnsi="Calibri"/>
          <w:b w:val="0"/>
          <w:i w:val="0"/>
          <w:sz w:val="22"/>
        </w:rPr>
        <w:t>Indicate True or False for each statement about transaction reporting — True or False for each: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EMIR requires only the EU counterparty to report an OTC trade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 UTI — Unique Trade Identifier — must be identical in all reports for the same trade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An expired LEI causes a TR report to be rejected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For exchange-traded equities on NSE, the broker must separately report to SEBI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Answers: </w:t>
      </w:r>
      <w:r>
        <w:rPr>
          <w:rFonts w:ascii="Calibri" w:hAnsi="Calibri"/>
          <w:b w:val="0"/>
          <w:i w:val="0"/>
          <w:sz w:val="20"/>
        </w:rPr>
        <w:t>False — EMIR is dual-sided; both counterparties must report | True | True | False — NSE reports on behalf of all members automatically</w:t>
      </w:r>
      <w:r>
        <w:rPr>
          <w:rFonts w:ascii="Calibri" w:hAnsi="Calibri"/>
          <w:b w:val="0"/>
          <w:i w:val="0"/>
          <w:color w:val="404040"/>
          <w:sz w:val="20"/>
        </w:rPr>
        <w:t xml:space="preserve">  —  </w:t>
      </w:r>
      <w:r>
        <w:rPr>
          <w:rFonts w:ascii="Calibri" w:hAnsi="Calibri"/>
          <w:b w:val="0"/>
          <w:i/>
          <w:color w:val="404040"/>
          <w:sz w:val="20"/>
        </w:rPr>
        <w:t>EMIR requires both parties to file reports. The UTI links all regulatory reports globally. NSE auto-reports exchange trades — brokers only need to report OTC transactions themselves.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Q27. </w:t>
      </w:r>
      <w:r>
        <w:rPr>
          <w:rFonts w:ascii="Calibri" w:hAnsi="Calibri"/>
          <w:b w:val="0"/>
          <w:i w:val="0"/>
          <w:sz w:val="22"/>
        </w:rPr>
        <w:t>The ___ is a 20-character globally unique identifier, issued by an accredited Local Operating Unit, which must be included in all OTC derivative transaction reports.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Answer: </w:t>
      </w:r>
      <w:r>
        <w:rPr>
          <w:rFonts w:ascii="Calibri" w:hAnsi="Calibri"/>
          <w:b w:val="0"/>
          <w:i w:val="0"/>
          <w:sz w:val="20"/>
        </w:rPr>
        <w:t>LEI (Legal Entity Identifier)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The LEI is maintained by the Global LEI Foundation (GLEIF). In India, the LOU is CAMS Financial Information Services. LEIs must be renewed annually.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Q28. </w:t>
      </w:r>
      <w:r>
        <w:rPr>
          <w:rFonts w:ascii="Calibri" w:hAnsi="Calibri"/>
          <w:b w:val="0"/>
          <w:i w:val="0"/>
          <w:sz w:val="22"/>
        </w:rPr>
        <w:t>Match each reporting regime to the regulator that administers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7A8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 A</w:t>
            </w:r>
          </w:p>
        </w:tc>
        <w:tc>
          <w:tcPr>
            <w:tcW w:type="dxa" w:w="4986"/>
            <w:shd w:val="clear" w:color="auto" w:fill="007A8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 B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A. SEBI / CCIL TR reporting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1. CFTC — Commodity Futures Trading Commission (US)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B. EMIR reporting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2. FCA — Financial Conduct Authority (UK)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C. Dodd-Frank reporting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3. ESMA — European Securities and Markets Authority (EU)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D. UK EMIR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4. SEBI — Securities and Exchange Board of India</w:t>
            </w:r>
          </w:p>
        </w:tc>
      </w:tr>
    </w:tbl>
    <w:p>
      <w:r>
        <w:rPr>
          <w:rFonts w:ascii="Calibri" w:hAnsi="Calibri"/>
          <w:b/>
          <w:i w:val="0"/>
          <w:color w:val="F0A800"/>
          <w:sz w:val="20"/>
        </w:rPr>
        <w:t xml:space="preserve">Key: </w:t>
      </w:r>
      <w:r>
        <w:rPr>
          <w:rFonts w:ascii="Calibri" w:hAnsi="Calibri"/>
          <w:b w:val="0"/>
          <w:i w:val="0"/>
          <w:sz w:val="20"/>
        </w:rPr>
        <w:t>A-4, B-3, C-1, D-2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Each jurisdiction has its own regulator: SEBI (India), ESMA (EU), CFTC (US derivatives), FCA (UK post-Brexit). Cross-border trades may require reporting to multiple regulators.</w:t>
      </w:r>
    </w:p>
    <w:p/>
    <w:p>
      <w:pPr>
        <w:shd w:val="clear" w:color="auto" w:fill="101C4F"/>
      </w:pPr>
      <w:r>
        <w:rPr>
          <w:rFonts w:ascii="Calibri" w:hAnsi="Calibri"/>
          <w:b/>
          <w:i w:val="0"/>
          <w:color w:val="FFFFFF"/>
          <w:sz w:val="24"/>
        </w:rPr>
        <w:t xml:space="preserve">  E9.8: Trade Settlement — DVP, T+1, and Settlement Mechanics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Q29. </w:t>
      </w:r>
      <w:r>
        <w:rPr>
          <w:rFonts w:ascii="Calibri" w:hAnsi="Calibri"/>
          <w:b w:val="0"/>
          <w:i w:val="0"/>
          <w:sz w:val="22"/>
        </w:rPr>
        <w:t>Which DVP model does India's NSCC use for equity settlement?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A. Model 1 — gross securities and gross cash simultaneously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B. Model 2 — gross securities, net cash at end of day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C. Model 3 — net securities and net cash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D. Model 4 — no netting, full bilateral settlement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Answer: </w:t>
      </w:r>
      <w:r>
        <w:rPr>
          <w:rFonts w:ascii="Calibri" w:hAnsi="Calibri"/>
          <w:b w:val="0"/>
          <w:i w:val="0"/>
          <w:sz w:val="20"/>
        </w:rPr>
        <w:t>C. Model 3 — net securities and net cash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India uses BIS DVP Model 3 (multilateral net settlement). All trades in the same security for the same settlement date are netted — only the net position is settled with NSCC, dramatically reducing settlement volumes.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Q30. </w:t>
      </w:r>
      <w:r>
        <w:rPr>
          <w:rFonts w:ascii="Calibri" w:hAnsi="Calibri"/>
          <w:b w:val="0"/>
          <w:i w:val="0"/>
          <w:sz w:val="22"/>
        </w:rPr>
        <w:t>Indicate True or False for each statement about settlement in India — True or False for each: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NSDL and CDSL are the two depositories that hold securities in electronic form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Cash settlement for equity trades is processed via RBI's RTGS system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 settlement fail immediately triggers a buy-in on the same day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India moved to T+1 settlement for all securities by January 2023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Answers: </w:t>
      </w:r>
      <w:r>
        <w:rPr>
          <w:rFonts w:ascii="Calibri" w:hAnsi="Calibri"/>
          <w:b w:val="0"/>
          <w:i w:val="0"/>
          <w:sz w:val="20"/>
        </w:rPr>
        <w:t>True | True | False — buy-in is triggered after a fail persists (typically 3+ days) | True</w:t>
      </w:r>
      <w:r>
        <w:rPr>
          <w:rFonts w:ascii="Calibri" w:hAnsi="Calibri"/>
          <w:b w:val="0"/>
          <w:i w:val="0"/>
          <w:color w:val="404040"/>
          <w:sz w:val="20"/>
        </w:rPr>
        <w:t xml:space="preserve">  —  </w:t>
      </w:r>
      <w:r>
        <w:rPr>
          <w:rFonts w:ascii="Calibri" w:hAnsi="Calibri"/>
          <w:b w:val="0"/>
          <w:i/>
          <w:color w:val="404040"/>
          <w:sz w:val="20"/>
        </w:rPr>
        <w:t>India phased in T+1 from February 2022. SEBI penalties for settlement fails are 0.07% per day; buy-ins are triggered after the fail persists beyond the allowed cure period.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Q31. </w:t>
      </w:r>
      <w:r>
        <w:rPr>
          <w:rFonts w:ascii="Calibri" w:hAnsi="Calibri"/>
          <w:b w:val="0"/>
          <w:i w:val="0"/>
          <w:sz w:val="22"/>
        </w:rPr>
        <w:t>DVP eliminates ___ risk — the risk that you deliver securities but never receive payment, or pay cash but never receive securities.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Answer: </w:t>
      </w:r>
      <w:r>
        <w:rPr>
          <w:rFonts w:ascii="Calibri" w:hAnsi="Calibri"/>
          <w:b w:val="0"/>
          <w:i w:val="0"/>
          <w:sz w:val="20"/>
        </w:rPr>
        <w:t>principal risk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DVP links securities and cash legs so neither completes without the other. This eliminates the principal risk of a one-sided settlement failure.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Q32. </w:t>
      </w:r>
      <w:r>
        <w:rPr>
          <w:rFonts w:ascii="Calibri" w:hAnsi="Calibri"/>
          <w:b w:val="0"/>
          <w:i w:val="0"/>
          <w:sz w:val="22"/>
        </w:rPr>
        <w:t>Match each settlement infrastructure entity to its correct role.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7A8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 A</w:t>
            </w:r>
          </w:p>
        </w:tc>
        <w:tc>
          <w:tcPr>
            <w:tcW w:type="dxa" w:w="4986"/>
            <w:shd w:val="clear" w:color="auto" w:fill="007A8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 B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A. NSCC (India)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1. Processes cash settlement for equity trades via real-time gross settlement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B. NSDL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2. Holds equity securities in electronic form; processes demat transfers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C. CCIL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3. Acts as CCP for NSE trades; calculates and processes net obligations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D. RBI / RTGS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4. Acts as CCP for G-Sec and OTC derivative clearing and settlement</w:t>
            </w:r>
          </w:p>
        </w:tc>
      </w:tr>
    </w:tbl>
    <w:p>
      <w:r>
        <w:rPr>
          <w:rFonts w:ascii="Calibri" w:hAnsi="Calibri"/>
          <w:b/>
          <w:i w:val="0"/>
          <w:color w:val="F0A800"/>
          <w:sz w:val="20"/>
        </w:rPr>
        <w:t xml:space="preserve">Key: </w:t>
      </w:r>
      <w:r>
        <w:rPr>
          <w:rFonts w:ascii="Calibri" w:hAnsi="Calibri"/>
          <w:b w:val="0"/>
          <w:i w:val="0"/>
          <w:sz w:val="20"/>
        </w:rPr>
        <w:t>A-3, B-2, C-4, D-1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NSCC India = equity CCP (NSE). NSDL = depository for equities/bonds. CCIL = CCP for G-Secs and OTC derivatives. RBI/RTGS = cash settlement system.</w:t>
      </w:r>
    </w:p>
    <w:p/>
    <w:p>
      <w:pPr>
        <w:shd w:val="clear" w:color="auto" w:fill="101C4F"/>
      </w:pPr>
      <w:r>
        <w:rPr>
          <w:rFonts w:ascii="Calibri" w:hAnsi="Calibri"/>
          <w:b/>
          <w:i w:val="0"/>
          <w:color w:val="FFFFFF"/>
          <w:sz w:val="24"/>
        </w:rPr>
        <w:t xml:space="preserve">  E9.9: Trade Reconciliation — Types, Process, and Break Resolution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Q33. </w:t>
      </w:r>
      <w:r>
        <w:rPr>
          <w:rFonts w:ascii="Calibri" w:hAnsi="Calibri"/>
          <w:b w:val="0"/>
          <w:i w:val="0"/>
          <w:sz w:val="22"/>
        </w:rPr>
        <w:t>An operations team's internal system shows 50,000 HDFC Bank shares, but the custodian statement shows 48,500 shares. The 1,500-share difference is traced to two buy trades from today that settle tomorrow. How should this break be classified?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A. Genuine break — error in internal records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B. Timing break — expected to resolve after T+1 settlement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C. System error — duplicate trade capture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D. Aged break — requires escalation to management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Answer: </w:t>
      </w:r>
      <w:r>
        <w:rPr>
          <w:rFonts w:ascii="Calibri" w:hAnsi="Calibri"/>
          <w:b w:val="0"/>
          <w:i w:val="0"/>
          <w:sz w:val="20"/>
        </w:rPr>
        <w:t>B. Timing break — expected to resolve after T+1 settlement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Unsettled trades are not yet reflected in custodian statements. A difference of exactly the quantity of today's pending buys is a timing break — it will auto-resolve after tomorrow's settlement.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Q34. </w:t>
      </w:r>
      <w:r>
        <w:rPr>
          <w:rFonts w:ascii="Calibri" w:hAnsi="Calibri"/>
          <w:b w:val="0"/>
          <w:i w:val="0"/>
          <w:sz w:val="22"/>
        </w:rPr>
        <w:t>Indicate True or False for each statement about reconciliation — True or False for each: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Position reconciliation compares internal positions against custodian statements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 cash reconciliation compares the internal cash ledger against the bank statement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Breaks older than 3 business days should remain in the analyst queue without escalation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SEBI requires trade and reconciliation records to be retained for 5 years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Answers: </w:t>
      </w:r>
      <w:r>
        <w:rPr>
          <w:rFonts w:ascii="Calibri" w:hAnsi="Calibri"/>
          <w:b w:val="0"/>
          <w:i w:val="0"/>
          <w:sz w:val="20"/>
        </w:rPr>
        <w:t>True | True | False — breaks 3+ days old must be escalated to senior management | True</w:t>
      </w:r>
      <w:r>
        <w:rPr>
          <w:rFonts w:ascii="Calibri" w:hAnsi="Calibri"/>
          <w:b w:val="0"/>
          <w:i w:val="0"/>
          <w:color w:val="404040"/>
          <w:sz w:val="20"/>
        </w:rPr>
        <w:t xml:space="preserve">  —  </w:t>
      </w:r>
      <w:r>
        <w:rPr>
          <w:rFonts w:ascii="Calibri" w:hAnsi="Calibri"/>
          <w:b w:val="0"/>
          <w:i/>
          <w:color w:val="404040"/>
          <w:sz w:val="20"/>
        </w:rPr>
        <w:t>Aged breaks (4+ days) are escalated to management and compliance. SEBI's record-keeping requirement is 5 years minimum for all trade and settlement records.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Q35. </w:t>
      </w:r>
      <w:r>
        <w:rPr>
          <w:rFonts w:ascii="Calibri" w:hAnsi="Calibri"/>
          <w:b w:val="0"/>
          <w:i w:val="0"/>
          <w:sz w:val="22"/>
        </w:rPr>
        <w:t>In reconciliation, a ___ tolerance is the acceptable difference threshold below which two values are considered matched — set to reduce noise while not hiding real errors.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Answer: </w:t>
      </w:r>
      <w:r>
        <w:rPr>
          <w:rFonts w:ascii="Calibri" w:hAnsi="Calibri"/>
          <w:b w:val="0"/>
          <w:i w:val="0"/>
          <w:sz w:val="20"/>
        </w:rPr>
        <w:t>matching tolerance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Tolerances are configured per field type: e.g., cash ±₹5 for rounding, quantity = zero tolerance, price ±₹1 for commission-inclusion differences.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Q36. </w:t>
      </w:r>
      <w:r>
        <w:rPr>
          <w:rFonts w:ascii="Calibri" w:hAnsi="Calibri"/>
          <w:b w:val="0"/>
          <w:i w:val="0"/>
          <w:sz w:val="22"/>
        </w:rPr>
        <w:t>Match each reconciliation type to what it compares.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7A8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 A</w:t>
            </w:r>
          </w:p>
        </w:tc>
        <w:tc>
          <w:tcPr>
            <w:tcW w:type="dxa" w:w="4986"/>
            <w:shd w:val="clear" w:color="auto" w:fill="007A8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 B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A. Trade Reconciliation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1. Internal cash ledger vs bank account statement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B. Position Reconciliation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2. Exchange end-of-day trade file vs internal capture records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C. Cash Reconciliation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3. Settlement account balances at depository and correspondent bank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D. Nostro/Depot Reconciliation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4. Internal holding record vs custodian demat statement</w:t>
            </w:r>
          </w:p>
        </w:tc>
      </w:tr>
    </w:tbl>
    <w:p>
      <w:r>
        <w:rPr>
          <w:rFonts w:ascii="Calibri" w:hAnsi="Calibri"/>
          <w:b/>
          <w:i w:val="0"/>
          <w:color w:val="F0A800"/>
          <w:sz w:val="20"/>
        </w:rPr>
        <w:t xml:space="preserve">Key: </w:t>
      </w:r>
      <w:r>
        <w:rPr>
          <w:rFonts w:ascii="Calibri" w:hAnsi="Calibri"/>
          <w:b w:val="0"/>
          <w:i w:val="0"/>
          <w:sz w:val="20"/>
        </w:rPr>
        <w:t>A-2, B-4, C-1, D-3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Trade recon = captures vs exchange file. Position recon = holdings vs custodian. Cash recon = cash ledger vs bank. Nostro/depot recon = settlement accounts at NSDL/CDSL and correspondent banks.</w:t>
      </w:r>
    </w:p>
    <w:p/>
    <w:p>
      <w:pPr>
        <w:shd w:val="clear" w:color="auto" w:fill="101C4F"/>
      </w:pPr>
      <w:r>
        <w:rPr>
          <w:rFonts w:ascii="Calibri" w:hAnsi="Calibri"/>
          <w:b/>
          <w:i w:val="0"/>
          <w:color w:val="FFFFFF"/>
          <w:sz w:val="24"/>
        </w:rPr>
        <w:t xml:space="preserve">  E9.10: US Market TLC — NYSE, NASDAQ, NSCC, and DTCC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Q37. </w:t>
      </w:r>
      <w:r>
        <w:rPr>
          <w:rFonts w:ascii="Calibri" w:hAnsi="Calibri"/>
          <w:b w:val="0"/>
          <w:i w:val="0"/>
          <w:sz w:val="22"/>
        </w:rPr>
        <w:t>Which entity within the DTCC group holds virtually all US publicly traded securities in electronic form — the US equivalent of India's NSDL?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A. NSCC (US)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B. FICC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C. DTC (Depository Trust Company)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D. Fedwire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Answer: </w:t>
      </w:r>
      <w:r>
        <w:rPr>
          <w:rFonts w:ascii="Calibri" w:hAnsi="Calibri"/>
          <w:b w:val="0"/>
          <w:i w:val="0"/>
          <w:sz w:val="20"/>
        </w:rPr>
        <w:t>C. DTC (Depository Trust Company)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DTC is the US central securities depository, holding over $70 trillion in securities electronically. It is the direct equivalent of India's NSDL/CDSL. NSCC handles clearing; FICC handles fixed income. Fedwire is the Federal Reserve's cash settlement system.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Q38. </w:t>
      </w:r>
      <w:r>
        <w:rPr>
          <w:rFonts w:ascii="Calibri" w:hAnsi="Calibri"/>
          <w:b w:val="0"/>
          <w:i w:val="0"/>
          <w:sz w:val="22"/>
        </w:rPr>
        <w:t>Indicate True or False for each statement about US vs India TLC comparison — True or False for each: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Both India and the US use DVP Model 3 (multilateral net settlement) for equity trades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India has two depositories while the US has only one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The US historically settled equities on T+1 before India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 Foreign Portfolio Investor buying NSE-listed shares must appoint a SEBI-registered custodian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Answers: </w:t>
      </w:r>
      <w:r>
        <w:rPr>
          <w:rFonts w:ascii="Calibri" w:hAnsi="Calibri"/>
          <w:b w:val="0"/>
          <w:i w:val="0"/>
          <w:sz w:val="20"/>
        </w:rPr>
        <w:t>True | True | False — India moved to T+1 in 2022–23 before the US (May 2024) | True</w:t>
      </w:r>
      <w:r>
        <w:rPr>
          <w:rFonts w:ascii="Calibri" w:hAnsi="Calibri"/>
          <w:b w:val="0"/>
          <w:i w:val="0"/>
          <w:color w:val="404040"/>
          <w:sz w:val="20"/>
        </w:rPr>
        <w:t xml:space="preserve">  —  </w:t>
      </w:r>
      <w:r>
        <w:rPr>
          <w:rFonts w:ascii="Calibri" w:hAnsi="Calibri"/>
          <w:b w:val="0"/>
          <w:i/>
          <w:color w:val="404040"/>
          <w:sz w:val="20"/>
        </w:rPr>
        <w:t>India was a T+1 pioneer — the US only moved to T+1 in May 2024. India has NSDL + CDSL; the US has DTC. FPIs require SEBI-registered custodians and FEMA-compliant designated bank accounts.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Q39. </w:t>
      </w:r>
      <w:r>
        <w:rPr>
          <w:rFonts w:ascii="Calibri" w:hAnsi="Calibri"/>
          <w:b w:val="0"/>
          <w:i w:val="0"/>
          <w:sz w:val="22"/>
        </w:rPr>
        <w:t>In the US institutional settlement workflow, a custodian confirms or rejects a trade allocation submitted by the executing broker via DTC's ___ system, with an affirmation deadline of 9:00 PM Eastern on trade day.</w:t>
      </w:r>
    </w:p>
    <w:p>
      <w:r>
        <w:rPr>
          <w:rFonts w:ascii="Calibri" w:hAnsi="Calibri"/>
          <w:b/>
          <w:i w:val="0"/>
          <w:color w:val="F0A800"/>
          <w:sz w:val="20"/>
        </w:rPr>
        <w:t xml:space="preserve">Answer: </w:t>
      </w:r>
      <w:r>
        <w:rPr>
          <w:rFonts w:ascii="Calibri" w:hAnsi="Calibri"/>
          <w:b w:val="0"/>
          <w:i w:val="0"/>
          <w:sz w:val="20"/>
        </w:rPr>
        <w:t>ID (Institutional Delivery)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DTC's ID system enables institutional trade affirmation. The custodian (e.g., State Street) affirms or dis-affirms allocations submitted by the executing broker (e.g., Goldman Sachs). Timely affirmation is required for T+1 settlement.</w:t>
      </w:r>
    </w:p>
    <w:p/>
    <w:p>
      <w:r>
        <w:rPr>
          <w:rFonts w:ascii="Calibri" w:hAnsi="Calibri"/>
          <w:b/>
          <w:i w:val="0"/>
          <w:color w:val="007A87"/>
          <w:sz w:val="22"/>
        </w:rPr>
        <w:t xml:space="preserve">Q40. </w:t>
      </w:r>
      <w:r>
        <w:rPr>
          <w:rFonts w:ascii="Calibri" w:hAnsi="Calibri"/>
          <w:b w:val="0"/>
          <w:i w:val="0"/>
          <w:sz w:val="22"/>
        </w:rPr>
        <w:t>Match each US market infrastructure entity to its Indian equivalent.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7A8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 A</w:t>
            </w:r>
          </w:p>
        </w:tc>
        <w:tc>
          <w:tcPr>
            <w:tcW w:type="dxa" w:w="4986"/>
            <w:shd w:val="clear" w:color="auto" w:fill="007A87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 B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A. NYSE / NASDAQ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1. RTGS (RBI real-time gross settlement for cash)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B. NSCC (US) / DTCC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2. NSE / BSE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C. DTC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3. NSDL / CDSL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D. Fedwire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4. NSCC India (NSE subsidiary)</w:t>
            </w:r>
          </w:p>
        </w:tc>
      </w:tr>
    </w:tbl>
    <w:p>
      <w:r>
        <w:rPr>
          <w:rFonts w:ascii="Calibri" w:hAnsi="Calibri"/>
          <w:b/>
          <w:i w:val="0"/>
          <w:color w:val="F0A800"/>
          <w:sz w:val="20"/>
        </w:rPr>
        <w:t xml:space="preserve">Key: </w:t>
      </w:r>
      <w:r>
        <w:rPr>
          <w:rFonts w:ascii="Calibri" w:hAnsi="Calibri"/>
          <w:b w:val="0"/>
          <w:i w:val="0"/>
          <w:sz w:val="20"/>
        </w:rPr>
        <w:t>A-2, B-4, C-3, D-1</w:t>
      </w:r>
      <w:r>
        <w:rPr>
          <w:rFonts w:ascii="Calibri" w:hAnsi="Calibri"/>
          <w:b w:val="0"/>
          <w:i w:val="0"/>
          <w:color w:val="404040"/>
          <w:sz w:val="20"/>
        </w:rPr>
        <w:t xml:space="preserve">  |  </w:t>
      </w:r>
      <w:r>
        <w:rPr>
          <w:rFonts w:ascii="Calibri" w:hAnsi="Calibri"/>
          <w:b w:val="0"/>
          <w:i/>
          <w:color w:val="404040"/>
          <w:sz w:val="20"/>
        </w:rPr>
        <w:t>Both markets share the same structural architecture: exchange → CCP → depository → cash settlement system. The participants and regulatory frameworks differ; the TLC logic is universal.</w:t>
      </w:r>
    </w:p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