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1C4F"/>
        </w:rPr>
        <w:t>CIBOP — Exchange Trade Life Cycle</w:t>
      </w:r>
    </w:p>
    <w:p>
      <w:r>
        <w:t>Video Production Script  |  UORs E9.1 – E9.10  |  Imarticus Learning</w:t>
      </w:r>
    </w:p>
    <w:p/>
    <w:p>
      <w:pPr>
        <w:pStyle w:val="Heading1"/>
      </w:pPr>
      <w:r>
        <w:rPr>
          <w:color w:val="101C4F"/>
        </w:rPr>
        <w:t>E9.1: Exchange Trade Life Cycle — Overview</w:t>
      </w:r>
    </w:p>
    <w:p>
      <w:r>
        <w:rPr>
          <w:rFonts w:ascii="Calibri" w:hAnsi="Calibri"/>
          <w:b/>
          <w:i w:val="0"/>
          <w:color w:val="007A87"/>
          <w:sz w:val="22"/>
        </w:rPr>
        <w:t xml:space="preserve">Competency Statement: </w:t>
      </w:r>
      <w:r>
        <w:rPr>
          <w:rFonts w:ascii="Calibri" w:hAnsi="Calibri"/>
          <w:b w:val="0"/>
          <w:i w:val="0"/>
          <w:sz w:val="22"/>
        </w:rPr>
        <w:t>Map the complete Exchange TLC from trade initiation to reconciliation and identify which department (Front/Middle/Back Office) owns each stage.</w:t>
      </w:r>
    </w:p>
    <w:p/>
    <w:p>
      <w:pPr>
        <w:spacing w:before="120"/>
        <w:shd w:val="clear" w:color="auto" w:fill="101C4F"/>
      </w:pPr>
      <w:r>
        <w:rPr>
          <w:rFonts w:ascii="Calibri" w:hAnsi="Calibri"/>
          <w:b/>
          <w:i w:val="0"/>
          <w:color w:val="FFFFFF"/>
          <w:sz w:val="24"/>
        </w:rPr>
        <w:t xml:space="preserve">  E9.1: Exchange Trade Life Cycle — Overview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Exchange Trade Life Cycle — Overview</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Map the complete Exchange TLC from trade initiation to reconciliation and identify which department (Front/Middle/Back Office) owns each stage.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the Exchange TLC and describe its end-to-end flow</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all 11 stages of the Exchange TLC in sequence and explain the purpose of each</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Securities Trading Organization (D2.1)</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E9.1 Video 2: FO/MO/BO Ownership of TLC Stages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Animated trade floor — orders flying, screens flashing. Title card: 'Exchange Trade Life Cycle'.</w:t>
            </w:r>
          </w:p>
        </w:tc>
        <w:tc>
          <w:tcPr>
            <w:tcW w:type="dxa" w:w="2493"/>
          </w:tcPr>
          <w:p>
            <w:pPr>
              <w:jc w:val="center"/>
            </w:pPr>
            <w:r>
              <w:rPr>
                <w:rFonts w:ascii="Calibri" w:hAnsi="Calibri"/>
                <w:b/>
                <w:i w:val="0"/>
                <w:color w:val="007A87"/>
                <w:sz w:val="18"/>
              </w:rPr>
              <w:t>OPEN</w:t>
            </w:r>
          </w:p>
        </w:tc>
        <w:tc>
          <w:tcPr>
            <w:tcW w:type="dxa" w:w="2493"/>
          </w:tcPr>
          <w:p>
            <w:r>
              <w:rPr>
                <w:sz w:val="20"/>
              </w:rPr>
              <w:t>KAVI: Every equity or bond trade on an exchange goes through a precise sequence of steps — from the moment an investment decision is made to the moment securities and cash are finally exchanged. RYO: That sequence is called the Trade Life Cycle, or TLC. It's the backbone of exchange operations, and every operations professional must know it cold.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Horizontal pipeline graphic with 11 labelled boxes: Initiation → Execution → Reporting → Capture → Enrichment → Validation → Verification → Confirmation → Txn Reporting → Settlement → Reconciliation.</w:t>
            </w:r>
          </w:p>
        </w:tc>
        <w:tc>
          <w:tcPr>
            <w:tcW w:type="dxa" w:w="2493"/>
          </w:tcPr>
          <w:p>
            <w:pPr>
              <w:jc w:val="center"/>
            </w:pPr>
            <w:r>
              <w:rPr>
                <w:rFonts w:ascii="Calibri" w:hAnsi="Calibri"/>
                <w:b/>
                <w:i w:val="0"/>
                <w:color w:val="007A87"/>
                <w:sz w:val="18"/>
              </w:rPr>
              <w:t>ELEVEN STAGES</w:t>
            </w:r>
          </w:p>
        </w:tc>
        <w:tc>
          <w:tcPr>
            <w:tcW w:type="dxa" w:w="2493"/>
          </w:tcPr>
          <w:p>
            <w:r>
              <w:rPr>
                <w:sz w:val="20"/>
              </w:rPr>
              <w:t>ARIA: The Exchange TLC has 11 distinct stages. Stage 1: Trade Initiation — the investment decision is made, and an order is placed. Stage 2: Execution — the order is matched on the exchange. Stage 3: Trade Reporting — the exchange sends execution reports to both brokers. Stage 4: Trade Capture — the broker's systems record the trade. Stage 5: Trade Enrichment — cash values and settlement instructions are populated.</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Continuation of pipeline graphic: stages 6–11 highlighted.</w:t>
            </w:r>
          </w:p>
        </w:tc>
        <w:tc>
          <w:tcPr>
            <w:tcW w:type="dxa" w:w="2493"/>
          </w:tcPr>
          <w:p>
            <w:pPr>
              <w:jc w:val="center"/>
            </w:pPr>
            <w:r>
              <w:rPr>
                <w:rFonts w:ascii="Calibri" w:hAnsi="Calibri"/>
                <w:b/>
                <w:i w:val="0"/>
                <w:color w:val="007A87"/>
                <w:sz w:val="18"/>
              </w:rPr>
              <w:t>STAGES 6 11</w:t>
            </w:r>
          </w:p>
        </w:tc>
        <w:tc>
          <w:tcPr>
            <w:tcW w:type="dxa" w:w="2493"/>
          </w:tcPr>
          <w:p>
            <w:r>
              <w:rPr>
                <w:sz w:val="20"/>
              </w:rPr>
              <w:t>KAVI: Stage 6: Trade Validation — automated and manual checks ensure the trade record is complete and correct. Stage 7: Verification — both sides of the trade are matched. Stage 8: Confirmation — the trade is formally agreed with the counterparty. Stage 9: Transaction Reporting — regulators are notified. Stage 10: Settlement — securities and cash physically change hands. Stage 11: Reconciliation — all accounts are balanced.</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Graphic showing what goes wrong if any stage fails — failed settlement, regulatory fines, client losses.</w:t>
            </w:r>
          </w:p>
        </w:tc>
        <w:tc>
          <w:tcPr>
            <w:tcW w:type="dxa" w:w="2493"/>
          </w:tcPr>
          <w:p>
            <w:pPr>
              <w:jc w:val="center"/>
            </w:pPr>
            <w:r>
              <w:rPr>
                <w:rFonts w:ascii="Calibri" w:hAnsi="Calibri"/>
                <w:b/>
                <w:i w:val="0"/>
                <w:color w:val="007A87"/>
                <w:sz w:val="18"/>
              </w:rPr>
              <w:t>WHY STAGES</w:t>
            </w:r>
          </w:p>
        </w:tc>
        <w:tc>
          <w:tcPr>
            <w:tcW w:type="dxa" w:w="2493"/>
          </w:tcPr>
          <w:p>
            <w:r>
              <w:rPr>
                <w:sz w:val="20"/>
              </w:rPr>
              <w:t>RYO: Each stage exists for a reason. Skip enrichment and the settlement instruction is wrong — your trade fails. Miss transaction reporting and you face a SEBI fine. Delay reconciliation and you won't spot a missing position until it's too late. Every stage is a control point. Every stage has a deadline.</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Timeline bar: T+0 (Initiation to Confirmation), T+1 (Settlement in India), T+2 (Settlement in US/EU). Colour-coded by office.</w:t>
            </w:r>
          </w:p>
        </w:tc>
        <w:tc>
          <w:tcPr>
            <w:tcW w:type="dxa" w:w="2493"/>
          </w:tcPr>
          <w:p>
            <w:pPr>
              <w:jc w:val="center"/>
            </w:pPr>
            <w:r>
              <w:rPr>
                <w:rFonts w:ascii="Calibri" w:hAnsi="Calibri"/>
                <w:b/>
                <w:i w:val="0"/>
                <w:color w:val="007A87"/>
                <w:sz w:val="18"/>
              </w:rPr>
              <w:t>TIMELINE</w:t>
            </w:r>
          </w:p>
        </w:tc>
        <w:tc>
          <w:tcPr>
            <w:tcW w:type="dxa" w:w="2493"/>
          </w:tcPr>
          <w:p>
            <w:r>
              <w:rPr>
                <w:sz w:val="20"/>
              </w:rPr>
              <w:t>MOTION: In India, NSE/BSE trades settle on T+1 — one business day after execution. In the US and Europe, standard settlement is T+2. This means all pre-settlement stages — capture, enrichment, validation, verification, confirmation — must complete within a single business day. The clock starts the moment the trade is executed.</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Summary pipeline with all 11 stages and T+1/T+2 timeline.</w:t>
            </w:r>
          </w:p>
        </w:tc>
        <w:tc>
          <w:tcPr>
            <w:tcW w:type="dxa" w:w="2493"/>
          </w:tcPr>
          <w:p>
            <w:pPr>
              <w:jc w:val="center"/>
            </w:pPr>
            <w:r>
              <w:rPr>
                <w:rFonts w:ascii="Calibri" w:hAnsi="Calibri"/>
                <w:b/>
                <w:i w:val="0"/>
                <w:color w:val="007A87"/>
                <w:sz w:val="18"/>
              </w:rPr>
              <w:t>RECAP E9 1 V1</w:t>
            </w:r>
          </w:p>
        </w:tc>
        <w:tc>
          <w:tcPr>
            <w:tcW w:type="dxa" w:w="2493"/>
          </w:tcPr>
          <w:p>
            <w:r>
              <w:rPr>
                <w:sz w:val="20"/>
              </w:rPr>
              <w:t>ARIA: To recap: the Exchange TLC has 11 stages across two business days. KAVI: In Video 2 we'll assign each stage to the right department — Front, Middle, or Back Office — and show how work flows between them.</w:t>
            </w:r>
          </w:p>
        </w:tc>
      </w:tr>
    </w:tbl>
    <w:p/>
    <w:p>
      <w:r>
        <w:rPr>
          <w:rFonts w:ascii="Calibri" w:hAnsi="Calibri"/>
          <w:b/>
          <w:i w:val="0"/>
          <w:color w:val="007A87"/>
          <w:sz w:val="20"/>
        </w:rPr>
        <w:t xml:space="preserve">▶ Transition: </w:t>
      </w:r>
      <w:r>
        <w:rPr>
          <w:rFonts w:ascii="Calibri" w:hAnsi="Calibri"/>
          <w:b w:val="0"/>
          <w:i/>
          <w:color w:val="404040"/>
          <w:sz w:val="20"/>
        </w:rPr>
        <w:t>Next — E9.1 Video 2: FO/MO/BO Ownership of TLC Stages</w:t>
      </w:r>
    </w:p>
    <w:p/>
    <w:p>
      <w:pPr>
        <w:spacing w:before="120"/>
        <w:shd w:val="clear" w:color="auto" w:fill="101C4F"/>
      </w:pPr>
      <w:r>
        <w:rPr>
          <w:rFonts w:ascii="Calibri" w:hAnsi="Calibri"/>
          <w:b/>
          <w:i w:val="0"/>
          <w:color w:val="FFFFFF"/>
          <w:sz w:val="24"/>
        </w:rPr>
        <w:t xml:space="preserve">  E9.1: Exchange Trade Life Cycle — Overview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Exchange Trade Life Cycle — Overview</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Map the complete Exchange TLC from trade initiation to reconciliation and identify which department (Front/Middle/Back Office) owns each stage.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Assign each TLC stage to its owning department and trace inter-department handoffs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correctly assign all 11 TLC stages to Front, Middle, or Back Office and describe the handoffs between them</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E9.1 Video 1: TLC Overview</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E9.1 Video 3: STP and Technology in the TLC</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Org chart zoomed to Front Office: traders, sales, research. Stages 1–2 highlighted.</w:t>
            </w:r>
          </w:p>
        </w:tc>
        <w:tc>
          <w:tcPr>
            <w:tcW w:type="dxa" w:w="2493"/>
          </w:tcPr>
          <w:p>
            <w:pPr>
              <w:jc w:val="center"/>
            </w:pPr>
            <w:r>
              <w:rPr>
                <w:rFonts w:ascii="Calibri" w:hAnsi="Calibri"/>
                <w:b/>
                <w:i w:val="0"/>
                <w:color w:val="007A87"/>
                <w:sz w:val="18"/>
              </w:rPr>
              <w:t>FO OWNS</w:t>
            </w:r>
          </w:p>
        </w:tc>
        <w:tc>
          <w:tcPr>
            <w:tcW w:type="dxa" w:w="2493"/>
          </w:tcPr>
          <w:p>
            <w:r>
              <w:rPr>
                <w:sz w:val="20"/>
              </w:rPr>
              <w:t>RYO: Front Office owns the first two stages. Stage 1 — Trade Initiation: the portfolio manager or trader decides to buy or sell and places an order through the Order Management System. Stage 2 — Execution: the broker's trading desk or DMA platform routes the order to the exchange and achieves a match. Once the trade is executed, the Front Office's job is done — they hand off to Middle Office.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Org chart zoomed to Middle Office: risk, compliance, product control. Stages 3–8 highlighted.</w:t>
            </w:r>
          </w:p>
        </w:tc>
        <w:tc>
          <w:tcPr>
            <w:tcW w:type="dxa" w:w="2493"/>
          </w:tcPr>
          <w:p>
            <w:pPr>
              <w:jc w:val="center"/>
            </w:pPr>
            <w:r>
              <w:rPr>
                <w:rFonts w:ascii="Calibri" w:hAnsi="Calibri"/>
                <w:b/>
                <w:i w:val="0"/>
                <w:color w:val="007A87"/>
                <w:sz w:val="18"/>
              </w:rPr>
              <w:t>MO OWNS</w:t>
            </w:r>
          </w:p>
        </w:tc>
        <w:tc>
          <w:tcPr>
            <w:tcW w:type="dxa" w:w="2493"/>
          </w:tcPr>
          <w:p>
            <w:r>
              <w:rPr>
                <w:sz w:val="20"/>
              </w:rPr>
              <w:t>KAVI: Middle Office owns stages 3 through 8. They receive the execution report, capture the trade, enrich it with cash figures and SSIs, validate it, verify it against the counterparty, and obtain confirmation. Middle Office is the control layer — they check that the trade captured matches what was executed and that all downstream systems have accurate data.</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Org chart zoomed to Back Office: settlements, custody, reconciliation. Stages 9–11 highlighted.</w:t>
            </w:r>
          </w:p>
        </w:tc>
        <w:tc>
          <w:tcPr>
            <w:tcW w:type="dxa" w:w="2493"/>
          </w:tcPr>
          <w:p>
            <w:pPr>
              <w:jc w:val="center"/>
            </w:pPr>
            <w:r>
              <w:rPr>
                <w:rFonts w:ascii="Calibri" w:hAnsi="Calibri"/>
                <w:b/>
                <w:i w:val="0"/>
                <w:color w:val="007A87"/>
                <w:sz w:val="18"/>
              </w:rPr>
              <w:t>BO OWNS</w:t>
            </w:r>
          </w:p>
        </w:tc>
        <w:tc>
          <w:tcPr>
            <w:tcW w:type="dxa" w:w="2493"/>
          </w:tcPr>
          <w:p>
            <w:r>
              <w:rPr>
                <w:sz w:val="20"/>
              </w:rPr>
              <w:t>ARIA: Back Office owns the final three stages. Stage 9 — Transaction Reporting: filing the trade with SEBI's TR or relevant regulator. Stage 10 — Settlement: instructing the custodian bank to deliver or receive securities, and making or receiving cash payment. Stage 11 — Reconciliation: checking that internal positions match custodian records and exchange statements.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Animated arrows between FO, MO, BO showing trade ticket, enriched record, confirmed trade flowing downstream.</w:t>
            </w:r>
          </w:p>
        </w:tc>
        <w:tc>
          <w:tcPr>
            <w:tcW w:type="dxa" w:w="2493"/>
          </w:tcPr>
          <w:p>
            <w:pPr>
              <w:jc w:val="center"/>
            </w:pPr>
            <w:r>
              <w:rPr>
                <w:rFonts w:ascii="Calibri" w:hAnsi="Calibri"/>
                <w:b/>
                <w:i w:val="0"/>
                <w:color w:val="007A87"/>
                <w:sz w:val="18"/>
              </w:rPr>
              <w:t>HANDOFFS</w:t>
            </w:r>
          </w:p>
        </w:tc>
        <w:tc>
          <w:tcPr>
            <w:tcW w:type="dxa" w:w="2493"/>
          </w:tcPr>
          <w:p>
            <w:r>
              <w:rPr>
                <w:sz w:val="20"/>
              </w:rPr>
              <w:t>RYO: The handoffs are critical. FO sends the execution report to MO — any delay here pushes back the entire pre-settlement chain. KAVI: MO sends the enriched, confirmed trade record to BO — if SSIs are wrong, BO will instruct settlement to the wrong account. BO sends reconciled position data back to FO — so traders can see their live positions for the next day's decisions.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Three failure scenarios: FO delay (late capture), MO error (wrong SSI), BO delay (settlement fail). Red warning icons.</w:t>
            </w:r>
          </w:p>
        </w:tc>
        <w:tc>
          <w:tcPr>
            <w:tcW w:type="dxa" w:w="2493"/>
          </w:tcPr>
          <w:p>
            <w:pPr>
              <w:jc w:val="center"/>
            </w:pPr>
            <w:r>
              <w:rPr>
                <w:rFonts w:ascii="Calibri" w:hAnsi="Calibri"/>
                <w:b/>
                <w:i w:val="0"/>
                <w:color w:val="007A87"/>
                <w:sz w:val="18"/>
              </w:rPr>
              <w:t>FAILURES</w:t>
            </w:r>
          </w:p>
        </w:tc>
        <w:tc>
          <w:tcPr>
            <w:tcW w:type="dxa" w:w="2493"/>
          </w:tcPr>
          <w:p>
            <w:r>
              <w:rPr>
                <w:sz w:val="20"/>
              </w:rPr>
              <w:t>MOTION: What goes wrong? If Front Office delays sending the execution report — Middle Office can't enrich in time. If Middle Office enters the wrong SSI — settlement fails and the trade breaks. If Back Office doesn't reconcile — a position discrepancy goes undetected. Each handoff is a risk point. SLAs exist for every handoff.</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Three-column table: FO / MO / BO with their TLC stages.</w:t>
            </w:r>
          </w:p>
        </w:tc>
        <w:tc>
          <w:tcPr>
            <w:tcW w:type="dxa" w:w="2493"/>
          </w:tcPr>
          <w:p>
            <w:pPr>
              <w:jc w:val="center"/>
            </w:pPr>
            <w:r>
              <w:rPr>
                <w:rFonts w:ascii="Calibri" w:hAnsi="Calibri"/>
                <w:b/>
                <w:i w:val="0"/>
                <w:color w:val="007A87"/>
                <w:sz w:val="18"/>
              </w:rPr>
              <w:t>RECAP E9 1 V2</w:t>
            </w:r>
          </w:p>
        </w:tc>
        <w:tc>
          <w:tcPr>
            <w:tcW w:type="dxa" w:w="2493"/>
          </w:tcPr>
          <w:p>
            <w:r>
              <w:rPr>
                <w:sz w:val="20"/>
              </w:rPr>
              <w:t>ARIA: FO: Stages 1–2 (Initiation, Execution). MO: Stages 3–8 (Reporting, Capture, Enrichment, Validation, Verification, Confirmation). BO: Stages 9–11 (Txn Reporting, Settlement, Reconciliation). In Video 3 we cover how technology — STP, OMS, middleware — connects all three offices and automates the flow.</w:t>
            </w:r>
          </w:p>
        </w:tc>
      </w:tr>
    </w:tbl>
    <w:p/>
    <w:p>
      <w:r>
        <w:rPr>
          <w:rFonts w:ascii="Calibri" w:hAnsi="Calibri"/>
          <w:b/>
          <w:i w:val="0"/>
          <w:color w:val="007A87"/>
          <w:sz w:val="20"/>
        </w:rPr>
        <w:t xml:space="preserve">▶ Transition: </w:t>
      </w:r>
      <w:r>
        <w:rPr>
          <w:rFonts w:ascii="Calibri" w:hAnsi="Calibri"/>
          <w:b w:val="0"/>
          <w:i/>
          <w:color w:val="404040"/>
          <w:sz w:val="20"/>
        </w:rPr>
        <w:t>Next — E9.1 Video 3: STP and Technology in the TLC</w:t>
      </w:r>
    </w:p>
    <w:p/>
    <w:p>
      <w:pPr>
        <w:spacing w:before="120"/>
        <w:shd w:val="clear" w:color="auto" w:fill="101C4F"/>
      </w:pPr>
      <w:r>
        <w:rPr>
          <w:rFonts w:ascii="Calibri" w:hAnsi="Calibri"/>
          <w:b/>
          <w:i w:val="0"/>
          <w:color w:val="FFFFFF"/>
          <w:sz w:val="24"/>
        </w:rPr>
        <w:t xml:space="preserve">  E9.1: Exchange Trade Life Cycle — Overview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E9.1</w:t>
            </w:r>
          </w:p>
        </w:tc>
      </w:tr>
      <w:tr>
        <w:tc>
          <w:tcPr>
            <w:tcW w:type="dxa" w:w="4986"/>
            <w:shd w:val="clear" w:color="auto" w:fill="007A87"/>
          </w:tcPr>
          <w:p>
            <w:r>
              <w:rPr>
                <w:rFonts w:ascii="Calibri" w:hAnsi="Calibri"/>
                <w:b/>
                <w:i w:val="0"/>
                <w:color w:val="FFFFFF"/>
                <w:sz w:val="20"/>
              </w:rPr>
              <w:t>UOR Title</w:t>
            </w:r>
          </w:p>
        </w:tc>
        <w:tc>
          <w:tcPr>
            <w:tcW w:type="dxa" w:w="4986"/>
          </w:tcPr>
          <w:p>
            <w:r>
              <w:rPr>
                <w:sz w:val="20"/>
              </w:rPr>
              <w:t>Exchange Trade Life Cycle — Overview</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Map the complete Exchange TLC from trade initiation to reconciliation and identify which department (Front/Middle/Back Office) owns each stage.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STP technology to TLC efficiency and settlement risk reduction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how STP works within the TLC, identify where manual intervention is required, and describe the risk consequences of STP breaks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E9.1 Video 2: FO/MO/BO Ownership</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E9.2 Video 1: Investment Decision to Order Placement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Technology pipeline diagram: OMS → Exchange → Trade Capture System → Enrichment Engine → CCP/Settlement. All connected by arrows labelled 'STP'.</w:t>
            </w:r>
          </w:p>
        </w:tc>
        <w:tc>
          <w:tcPr>
            <w:tcW w:type="dxa" w:w="2493"/>
          </w:tcPr>
          <w:p>
            <w:pPr>
              <w:jc w:val="center"/>
            </w:pPr>
            <w:r>
              <w:rPr>
                <w:rFonts w:ascii="Calibri" w:hAnsi="Calibri"/>
                <w:b/>
                <w:i w:val="0"/>
                <w:color w:val="007A87"/>
                <w:sz w:val="18"/>
              </w:rPr>
              <w:t>STP INTRO</w:t>
            </w:r>
          </w:p>
        </w:tc>
        <w:tc>
          <w:tcPr>
            <w:tcW w:type="dxa" w:w="2493"/>
          </w:tcPr>
          <w:p>
            <w:r>
              <w:rPr>
                <w:sz w:val="20"/>
              </w:rPr>
              <w:t>KAVI: Straight-Through Processing — STP — is the automated, end-to-end flow of trade data from execution to settlement without manual re-keying. When STP works perfectly, a trade executed at 10:00 AM is captured, enriched, validated, confirmed, and instructed to the custodian by 11:00 AM — all automatically.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System map: Bloomberg/Reuters (price feeds) → OMS (order routing) → Exchange Matching Engine → Trade Capture → Reference Data → Enrichment → Confirmation → SWIFT/Custodian.</w:t>
            </w:r>
          </w:p>
        </w:tc>
        <w:tc>
          <w:tcPr>
            <w:tcW w:type="dxa" w:w="2493"/>
          </w:tcPr>
          <w:p>
            <w:pPr>
              <w:jc w:val="center"/>
            </w:pPr>
            <w:r>
              <w:rPr>
                <w:rFonts w:ascii="Calibri" w:hAnsi="Calibri"/>
                <w:b/>
                <w:i w:val="0"/>
                <w:color w:val="007A87"/>
                <w:sz w:val="18"/>
              </w:rPr>
              <w:t>STP SYSTEMS</w:t>
            </w:r>
          </w:p>
        </w:tc>
        <w:tc>
          <w:tcPr>
            <w:tcW w:type="dxa" w:w="2493"/>
          </w:tcPr>
          <w:p>
            <w:r>
              <w:rPr>
                <w:sz w:val="20"/>
              </w:rPr>
              <w:t>RYO: The STP chain in an Indian broker: Bloomberg feeds real-time prices to the OMS. The OMS routes orders to NSE or BSE. The exchange matching engine confirms execution. The execution report flows via FIX protocol back to the trade capture system. Reference data enriches the trade with SSIs and cash figures. SWIFT messages instruct the custodian. Every step is automated.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Red alert screen: STP break detected. Manual intervention required. Operations analyst reviewing flagged trade.</w:t>
            </w:r>
          </w:p>
        </w:tc>
        <w:tc>
          <w:tcPr>
            <w:tcW w:type="dxa" w:w="2493"/>
          </w:tcPr>
          <w:p>
            <w:pPr>
              <w:jc w:val="center"/>
            </w:pPr>
            <w:r>
              <w:rPr>
                <w:rFonts w:ascii="Calibri" w:hAnsi="Calibri"/>
                <w:b/>
                <w:i w:val="0"/>
                <w:color w:val="007A87"/>
                <w:sz w:val="18"/>
              </w:rPr>
              <w:t>STP BREAKS</w:t>
            </w:r>
          </w:p>
        </w:tc>
        <w:tc>
          <w:tcPr>
            <w:tcW w:type="dxa" w:w="2493"/>
          </w:tcPr>
          <w:p>
            <w:r>
              <w:rPr>
                <w:sz w:val="20"/>
              </w:rPr>
              <w:t>ARIA: STP breaks occur when automated processing fails — usually because of missing or incorrect reference data. Common STP break triggers: unrecognised ISIN, missing SSI for a new counterparty, cash figuration rule not configured for a new security type, or regulatory reporting format mismatch. When a break occurs, an operations analyst must manually investigate and fix the trade — adding time and risk.</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Dashboard: STP rate 97.3%, Break rate 2.7%, Average break resolution time 45 mins. Industry benchmark: 98%+.</w:t>
            </w:r>
          </w:p>
        </w:tc>
        <w:tc>
          <w:tcPr>
            <w:tcW w:type="dxa" w:w="2493"/>
          </w:tcPr>
          <w:p>
            <w:pPr>
              <w:jc w:val="center"/>
            </w:pPr>
            <w:r>
              <w:rPr>
                <w:rFonts w:ascii="Calibri" w:hAnsi="Calibri"/>
                <w:b/>
                <w:i w:val="0"/>
                <w:color w:val="007A87"/>
                <w:sz w:val="18"/>
              </w:rPr>
              <w:t>STP METRICS</w:t>
            </w:r>
          </w:p>
        </w:tc>
        <w:tc>
          <w:tcPr>
            <w:tcW w:type="dxa" w:w="2493"/>
          </w:tcPr>
          <w:p>
            <w:r>
              <w:rPr>
                <w:sz w:val="20"/>
              </w:rPr>
              <w:t>KAVI: Firms measure STP rates as a KPI. A well-run operations team achieves 97–99% STP. Each break costs approximately 30–90 minutes of analyst time and increases settlement risk. For a firm processing 10,000 trades per day, even a 1% break rate means 100 manual interventions daily. Reducing breaks is a constant operations improvement focus.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NSE/BSE trade flow: FIX protocol to broker OMS, NEAT/BOLT system, NSCC/DTCC clearing, NSDL/CDSL settlement. STP indicators at each node.</w:t>
            </w:r>
          </w:p>
        </w:tc>
        <w:tc>
          <w:tcPr>
            <w:tcW w:type="dxa" w:w="2493"/>
          </w:tcPr>
          <w:p>
            <w:pPr>
              <w:jc w:val="center"/>
            </w:pPr>
            <w:r>
              <w:rPr>
                <w:rFonts w:ascii="Calibri" w:hAnsi="Calibri"/>
                <w:b/>
                <w:i w:val="0"/>
                <w:color w:val="007A87"/>
                <w:sz w:val="18"/>
              </w:rPr>
              <w:t>INDIA STP</w:t>
            </w:r>
          </w:p>
        </w:tc>
        <w:tc>
          <w:tcPr>
            <w:tcW w:type="dxa" w:w="2493"/>
          </w:tcPr>
          <w:p>
            <w:r>
              <w:rPr>
                <w:sz w:val="20"/>
              </w:rPr>
              <w:t>MOTION: In India: NSE uses NEAT and BSE uses BOLT as their trading platforms. Both support FIX protocol for STP connectivity. Post-trade, NSCC (National Securities Clearing Corporation) acts as CCP — novating all trades. Settlement is through NSDL or CDSL depositories on a T+1 basis. The entire chain from execution to settlement instruction is automated for standardised equity trades.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Full TLC + STP overview diagram.</w:t>
            </w:r>
          </w:p>
        </w:tc>
        <w:tc>
          <w:tcPr>
            <w:tcW w:type="dxa" w:w="2493"/>
          </w:tcPr>
          <w:p>
            <w:pPr>
              <w:jc w:val="center"/>
            </w:pPr>
            <w:r>
              <w:rPr>
                <w:rFonts w:ascii="Calibri" w:hAnsi="Calibri"/>
                <w:b/>
                <w:i w:val="0"/>
                <w:color w:val="007A87"/>
                <w:sz w:val="18"/>
              </w:rPr>
              <w:t>RECAP E9 1 V3</w:t>
            </w:r>
          </w:p>
        </w:tc>
        <w:tc>
          <w:tcPr>
            <w:tcW w:type="dxa" w:w="2493"/>
          </w:tcPr>
          <w:p>
            <w:r>
              <w:rPr>
                <w:sz w:val="20"/>
              </w:rPr>
              <w:t>RYO: STP connects FO, MO, and BO systems in a continuous automated chain — execution report to settlement instruction without manual re-keying. ARIA: STP breaks slow the chain and create settlement risk. Reducing break rates is a core operations KPI. Next: E9.2 — we zoom into the very first stage: how a trade begins, from investment decision to order placement.</w:t>
            </w:r>
          </w:p>
        </w:tc>
      </w:tr>
    </w:tbl>
    <w:p/>
    <w:p>
      <w:r>
        <w:rPr>
          <w:rFonts w:ascii="Calibri" w:hAnsi="Calibri"/>
          <w:b/>
          <w:i w:val="0"/>
          <w:color w:val="007A87"/>
          <w:sz w:val="20"/>
        </w:rPr>
        <w:t xml:space="preserve">▶ Transition: </w:t>
      </w:r>
      <w:r>
        <w:rPr>
          <w:rFonts w:ascii="Calibri" w:hAnsi="Calibri"/>
          <w:b w:val="0"/>
          <w:i/>
          <w:color w:val="404040"/>
          <w:sz w:val="20"/>
        </w:rPr>
        <w:t>Next — E9.2 Video 1: Investment Decision to Order Placement</w:t>
      </w:r>
    </w:p>
    <w:p/>
    <w:p>
      <w:pPr>
        <w:pStyle w:val="Heading1"/>
      </w:pPr>
      <w:r>
        <w:rPr>
          <w:color w:val="101C4F"/>
        </w:rPr>
        <w:t>E9.2: Trade Initiation — From Decision to Order</w:t>
      </w:r>
    </w:p>
    <w:p>
      <w:r>
        <w:rPr>
          <w:rFonts w:ascii="Calibri" w:hAnsi="Calibri"/>
          <w:b/>
          <w:i w:val="0"/>
          <w:color w:val="007A87"/>
          <w:sz w:val="22"/>
        </w:rPr>
        <w:t xml:space="preserve">Competency Statement: </w:t>
      </w:r>
      <w:r>
        <w:rPr>
          <w:rFonts w:ascii="Calibri" w:hAnsi="Calibri"/>
          <w:b w:val="0"/>
          <w:i w:val="0"/>
          <w:sz w:val="22"/>
        </w:rPr>
        <w:t>Describe the trade initiation stage, including investment decision-making, order generation, and the role of the Order Management System in routing orders to exchanges.</w:t>
      </w:r>
    </w:p>
    <w:p/>
    <w:p>
      <w:pPr>
        <w:spacing w:before="120"/>
        <w:shd w:val="clear" w:color="auto" w:fill="101C4F"/>
      </w:pPr>
      <w:r>
        <w:rPr>
          <w:rFonts w:ascii="Calibri" w:hAnsi="Calibri"/>
          <w:b/>
          <w:i w:val="0"/>
          <w:color w:val="FFFFFF"/>
          <w:sz w:val="24"/>
        </w:rPr>
        <w:t xml:space="preserve">  E9.2: Trade Initiation — From Decision to Order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Initiation — From Decision to Order</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initiation stage, including investment decision-making, order generation, and the role of the Order Management System in routing orders to exchanges.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the investment decision process and who initiates trades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how investment decisions are made, who the key participants are, and how decisions become formal orders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E9.1 Video 3: STP and Technology</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E9.2 Video 2: The Order Management System</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Animated: portfolio manager at dual screens, research reports open, market data ticking.</w:t>
            </w:r>
          </w:p>
        </w:tc>
        <w:tc>
          <w:tcPr>
            <w:tcW w:type="dxa" w:w="2493"/>
          </w:tcPr>
          <w:p>
            <w:pPr>
              <w:jc w:val="center"/>
            </w:pPr>
            <w:r>
              <w:rPr>
                <w:rFonts w:ascii="Calibri" w:hAnsi="Calibri"/>
                <w:b/>
                <w:i w:val="0"/>
                <w:color w:val="007A87"/>
                <w:sz w:val="18"/>
              </w:rPr>
              <w:t>DECISION INTRO</w:t>
            </w:r>
          </w:p>
        </w:tc>
        <w:tc>
          <w:tcPr>
            <w:tcW w:type="dxa" w:w="2493"/>
          </w:tcPr>
          <w:p>
            <w:r>
              <w:rPr>
                <w:sz w:val="20"/>
              </w:rPr>
              <w:t>KAVI: Before a single trade happens, someone must decide to trade. That decision — buy or sell, how much, at what price — is the true beginning of the TLC. RYO: Investment decisions come from different sources depending on the institution type.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 participant cards: Asset Manager (buy-side), Proprietary Trader (sell-side), Retail Investor (via broker app).</w:t>
            </w:r>
          </w:p>
        </w:tc>
        <w:tc>
          <w:tcPr>
            <w:tcW w:type="dxa" w:w="2493"/>
          </w:tcPr>
          <w:p>
            <w:pPr>
              <w:jc w:val="center"/>
            </w:pPr>
            <w:r>
              <w:rPr>
                <w:rFonts w:ascii="Calibri" w:hAnsi="Calibri"/>
                <w:b/>
                <w:i w:val="0"/>
                <w:color w:val="007A87"/>
                <w:sz w:val="18"/>
              </w:rPr>
              <w:t>WHO DECIDES</w:t>
            </w:r>
          </w:p>
        </w:tc>
        <w:tc>
          <w:tcPr>
            <w:tcW w:type="dxa" w:w="2493"/>
          </w:tcPr>
          <w:p>
            <w:r>
              <w:rPr>
                <w:sz w:val="20"/>
              </w:rPr>
              <w:t>ARIA: Buy-side institutions: portfolio managers at mutual funds, insurance companies, or pension funds make decisions based on research, model signals, or client mandates. Sell-side: proprietary traders take positions with the firm's own capital. Retail investors: individuals making decisions based on their own analysis or a broker's recommendation. The decision-making process is different — but the resulting order looks identical to the exchange.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Investment committee process: research → thesis → risk budget → portfolio manager order → compliance pre-check.</w:t>
            </w:r>
          </w:p>
        </w:tc>
        <w:tc>
          <w:tcPr>
            <w:tcW w:type="dxa" w:w="2493"/>
          </w:tcPr>
          <w:p>
            <w:pPr>
              <w:jc w:val="center"/>
            </w:pPr>
            <w:r>
              <w:rPr>
                <w:rFonts w:ascii="Calibri" w:hAnsi="Calibri"/>
                <w:b/>
                <w:i w:val="0"/>
                <w:color w:val="007A87"/>
                <w:sz w:val="18"/>
              </w:rPr>
              <w:t>RESEARCH TO DECISION</w:t>
            </w:r>
          </w:p>
        </w:tc>
        <w:tc>
          <w:tcPr>
            <w:tcW w:type="dxa" w:w="2493"/>
          </w:tcPr>
          <w:p>
            <w:r>
              <w:rPr>
                <w:sz w:val="20"/>
              </w:rPr>
              <w:t>RYO: At an institutional asset manager, the process is formal: the research team publishes a buy recommendation on Reliance Industries. The portfolio manager reviews it against the fund's mandate and risk budget. The compliance system pre-checks that buying Reliance won't breach position limits or concentration limits. Only then does the portfolio manager enter the order into the OMS.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Order ticket screen with fields: Security (ISIN), Direction (Buy/Sell), Quantity, Order Type, Price Limit, Validity, Exchange, Account.</w:t>
            </w:r>
          </w:p>
        </w:tc>
        <w:tc>
          <w:tcPr>
            <w:tcW w:type="dxa" w:w="2493"/>
          </w:tcPr>
          <w:p>
            <w:pPr>
              <w:jc w:val="center"/>
            </w:pPr>
            <w:r>
              <w:rPr>
                <w:rFonts w:ascii="Calibri" w:hAnsi="Calibri"/>
                <w:b/>
                <w:i w:val="0"/>
                <w:color w:val="007A87"/>
                <w:sz w:val="18"/>
              </w:rPr>
              <w:t>ORDER ELEMENTS</w:t>
            </w:r>
          </w:p>
        </w:tc>
        <w:tc>
          <w:tcPr>
            <w:tcW w:type="dxa" w:w="2493"/>
          </w:tcPr>
          <w:p>
            <w:r>
              <w:rPr>
                <w:sz w:val="20"/>
              </w:rPr>
              <w:t>KAVI: Every trade begins as an order. The key elements of an order: Security — identified by ISIN (e.g., INE002A01018 for Reliance). Direction — Buy or Sell. Quantity — number of shares or face value of bonds. Order Type — Market, Limit, Stop-Loss. Price Limit — for limit orders. Validity — Day, GTC (Good-Till-Cancel), IOC (Immediate-or-Cancel). Exchange — NSE or BSE. Account — which portfolio or client account.</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OMS screen: order entered by portfolio manager. Pre-trade risk checks running. Green light: order cleared for routing.</w:t>
            </w:r>
          </w:p>
        </w:tc>
        <w:tc>
          <w:tcPr>
            <w:tcW w:type="dxa" w:w="2493"/>
          </w:tcPr>
          <w:p>
            <w:pPr>
              <w:jc w:val="center"/>
            </w:pPr>
            <w:r>
              <w:rPr>
                <w:rFonts w:ascii="Calibri" w:hAnsi="Calibri"/>
                <w:b/>
                <w:i w:val="0"/>
                <w:color w:val="007A87"/>
                <w:sz w:val="18"/>
              </w:rPr>
              <w:t>ORDER GENERATION</w:t>
            </w:r>
          </w:p>
        </w:tc>
        <w:tc>
          <w:tcPr>
            <w:tcW w:type="dxa" w:w="2493"/>
          </w:tcPr>
          <w:p>
            <w:r>
              <w:rPr>
                <w:sz w:val="20"/>
              </w:rPr>
              <w:t>MOTION: Pre-trade checks happen automatically as the order is entered: Does the fund have sufficient cash to buy? Does this trade breach any holding limit? Is the security eligible for this fund's mandate? Is there a short-sale restriction on this security? All checks must pass before the order is released for routing to the exchange.</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Order generation flowchart: Decision → Research → Compliance Check → OMS Order → Ready to Route.</w:t>
            </w:r>
          </w:p>
        </w:tc>
        <w:tc>
          <w:tcPr>
            <w:tcW w:type="dxa" w:w="2493"/>
          </w:tcPr>
          <w:p>
            <w:pPr>
              <w:jc w:val="center"/>
            </w:pPr>
            <w:r>
              <w:rPr>
                <w:rFonts w:ascii="Calibri" w:hAnsi="Calibri"/>
                <w:b/>
                <w:i w:val="0"/>
                <w:color w:val="007A87"/>
                <w:sz w:val="18"/>
              </w:rPr>
              <w:t>RECAP E9 2 V1</w:t>
            </w:r>
          </w:p>
        </w:tc>
        <w:tc>
          <w:tcPr>
            <w:tcW w:type="dxa" w:w="2493"/>
          </w:tcPr>
          <w:p>
            <w:r>
              <w:rPr>
                <w:sz w:val="20"/>
              </w:rPr>
              <w:t>ARIA: Initiation summary: Investment decision made → fund mandate and compliance pre-checked → order created in OMS with all required fields populated → order cleared for routing. RYO: In Video 2 we dive into the OMS — the technology system at the heart of trade initiation and routing.</w:t>
            </w:r>
          </w:p>
        </w:tc>
      </w:tr>
    </w:tbl>
    <w:p/>
    <w:p>
      <w:r>
        <w:rPr>
          <w:rFonts w:ascii="Calibri" w:hAnsi="Calibri"/>
          <w:b/>
          <w:i w:val="0"/>
          <w:color w:val="007A87"/>
          <w:sz w:val="20"/>
        </w:rPr>
        <w:t xml:space="preserve">▶ Transition: </w:t>
      </w:r>
      <w:r>
        <w:rPr>
          <w:rFonts w:ascii="Calibri" w:hAnsi="Calibri"/>
          <w:b w:val="0"/>
          <w:i/>
          <w:color w:val="404040"/>
          <w:sz w:val="20"/>
        </w:rPr>
        <w:t>Next — E9.2 Video 2: The Order Management System</w:t>
      </w:r>
    </w:p>
    <w:p/>
    <w:p>
      <w:pPr>
        <w:spacing w:before="120"/>
        <w:shd w:val="clear" w:color="auto" w:fill="101C4F"/>
      </w:pPr>
      <w:r>
        <w:rPr>
          <w:rFonts w:ascii="Calibri" w:hAnsi="Calibri"/>
          <w:b/>
          <w:i w:val="0"/>
          <w:color w:val="FFFFFF"/>
          <w:sz w:val="24"/>
        </w:rPr>
        <w:t xml:space="preserve">  E9.2: Trade Initiation — From Decision to Order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Initiation — From Decision to Order</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initiation stage, including investment decision-making, order generation, and the role of the Order Management System in routing orders to exchanges.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Use an OMS to route an order through the exchange connectivity chain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OMS workflow, explain FIX protocol, and trace an order from OMS to exchange matching engine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E9.2 Video 1: Investment Decision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E9.2 Video 3: DMA and Algorithmic Trading</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OMS dashboard: blotter with open orders, executed orders, pending orders. Portfolio manager and dealer views.</w:t>
            </w:r>
          </w:p>
        </w:tc>
        <w:tc>
          <w:tcPr>
            <w:tcW w:type="dxa" w:w="2493"/>
          </w:tcPr>
          <w:p>
            <w:pPr>
              <w:jc w:val="center"/>
            </w:pPr>
            <w:r>
              <w:rPr>
                <w:rFonts w:ascii="Calibri" w:hAnsi="Calibri"/>
                <w:b/>
                <w:i w:val="0"/>
                <w:color w:val="007A87"/>
                <w:sz w:val="18"/>
              </w:rPr>
              <w:t>OMS INTRO</w:t>
            </w:r>
          </w:p>
        </w:tc>
        <w:tc>
          <w:tcPr>
            <w:tcW w:type="dxa" w:w="2493"/>
          </w:tcPr>
          <w:p>
            <w:r>
              <w:rPr>
                <w:sz w:val="20"/>
              </w:rPr>
              <w:t>KAVI: The Order Management System — OMS — is the central command for trade initiation. It's the system where orders are entered, tracked, allocated, and routed. Think of it as the air traffic control for a firm's trades. In India, common OMS platforms include Charles River IMS, Fidessa, and Bloomberg AIM.</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Step-by-step: Portfolio Manager creates parent order (10,000 shares RIL) → Dealer splits into child orders (3×3,333) → Routes to NSE via FIX.</w:t>
            </w:r>
          </w:p>
        </w:tc>
        <w:tc>
          <w:tcPr>
            <w:tcW w:type="dxa" w:w="2493"/>
          </w:tcPr>
          <w:p>
            <w:pPr>
              <w:jc w:val="center"/>
            </w:pPr>
            <w:r>
              <w:rPr>
                <w:rFonts w:ascii="Calibri" w:hAnsi="Calibri"/>
                <w:b/>
                <w:i w:val="0"/>
                <w:color w:val="007A87"/>
                <w:sz w:val="18"/>
              </w:rPr>
              <w:t>OMS WORKFLOW</w:t>
            </w:r>
          </w:p>
        </w:tc>
        <w:tc>
          <w:tcPr>
            <w:tcW w:type="dxa" w:w="2493"/>
          </w:tcPr>
          <w:p>
            <w:r>
              <w:rPr>
                <w:sz w:val="20"/>
              </w:rPr>
              <w:t>RYO: Workflow: the portfolio manager creates a 'parent order' — buy 10,000 shares of Reliance at best price. The dealer — or an algorithm — splits this into 'child orders' for routing to the market. For example, three child orders of 3,333 shares each sent to NSE over 30 minutes to minimize market impact. The OMS tracks all child orders and aggregates fills back to the parent.</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FIX protocol message: NewOrderSingle (MsgType D). Fields: ClOrdID, Symbol, Side, OrderQty, OrdType, Price, TimeInForce.</w:t>
            </w:r>
          </w:p>
        </w:tc>
        <w:tc>
          <w:tcPr>
            <w:tcW w:type="dxa" w:w="2493"/>
          </w:tcPr>
          <w:p>
            <w:pPr>
              <w:jc w:val="center"/>
            </w:pPr>
            <w:r>
              <w:rPr>
                <w:rFonts w:ascii="Calibri" w:hAnsi="Calibri"/>
                <w:b/>
                <w:i w:val="0"/>
                <w:color w:val="007A87"/>
                <w:sz w:val="18"/>
              </w:rPr>
              <w:t>FIX PROTOCOL</w:t>
            </w:r>
          </w:p>
        </w:tc>
        <w:tc>
          <w:tcPr>
            <w:tcW w:type="dxa" w:w="2493"/>
          </w:tcPr>
          <w:p>
            <w:r>
              <w:rPr>
                <w:sz w:val="20"/>
              </w:rPr>
              <w:t>ARIA: Orders are sent from OMS to the exchange using FIX — Financial Information eXchange protocol. A FIX NewOrderSingle message contains: ClOrdID (unique order ID), Symbol (security code), Side (1=Buy, 2=Sell), OrderQty (shares), OrdType (1=Market, 2=Limit), Price (for limit orders), TimeInForce (Day, IOC, GTC). FIX is the universal language of electronic trading — used by every major exchange and broker globally.</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Network diagram: Broker OMS → co-location server at NSE → NEAT matching engine → execution report back.</w:t>
            </w:r>
          </w:p>
        </w:tc>
        <w:tc>
          <w:tcPr>
            <w:tcW w:type="dxa" w:w="2493"/>
          </w:tcPr>
          <w:p>
            <w:pPr>
              <w:jc w:val="center"/>
            </w:pPr>
            <w:r>
              <w:rPr>
                <w:rFonts w:ascii="Calibri" w:hAnsi="Calibri"/>
                <w:b/>
                <w:i w:val="0"/>
                <w:color w:val="007A87"/>
                <w:sz w:val="18"/>
              </w:rPr>
              <w:t>NSE CONNECTIVITY</w:t>
            </w:r>
          </w:p>
        </w:tc>
        <w:tc>
          <w:tcPr>
            <w:tcW w:type="dxa" w:w="2493"/>
          </w:tcPr>
          <w:p>
            <w:r>
              <w:rPr>
                <w:sz w:val="20"/>
              </w:rPr>
              <w:t>KAVI: For Indian equity trading: the broker's OMS connects to NSE's NEAT system via a leased line or co-location server. Co-location means the broker's servers are physically hosted in NSE's data centre — reducing latency to microseconds. High-frequency traders use co-location to gain speed advantage. For institutional brokers, low latency ensures their orders reach the exchange before market prices move.</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State machine: Order Created → Sent to Exchange → Partially Filled → Fully Filled → Allocated to accounts.</w:t>
            </w:r>
          </w:p>
        </w:tc>
        <w:tc>
          <w:tcPr>
            <w:tcW w:type="dxa" w:w="2493"/>
          </w:tcPr>
          <w:p>
            <w:pPr>
              <w:jc w:val="center"/>
            </w:pPr>
            <w:r>
              <w:rPr>
                <w:rFonts w:ascii="Calibri" w:hAnsi="Calibri"/>
                <w:b/>
                <w:i w:val="0"/>
                <w:color w:val="007A87"/>
                <w:sz w:val="18"/>
              </w:rPr>
              <w:t>ORDER STATES</w:t>
            </w:r>
          </w:p>
        </w:tc>
        <w:tc>
          <w:tcPr>
            <w:tcW w:type="dxa" w:w="2493"/>
          </w:tcPr>
          <w:p>
            <w:r>
              <w:rPr>
                <w:sz w:val="20"/>
              </w:rPr>
              <w:t>MOTION: An order moves through states: Created → Acknowledged by Exchange → Partially Filled (some shares matched) → Fully Filled → Allocated. Allocation is the process of assigning filled shares back to the specific client accounts or portfolios they belong to. For a fund manager trading for multiple client portfolios with one parent order, allocation must be fair and documented.</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OMS to exchange chain: OMS → FIX → Exchange → Execution Report → OMS fill.</w:t>
            </w:r>
          </w:p>
        </w:tc>
        <w:tc>
          <w:tcPr>
            <w:tcW w:type="dxa" w:w="2493"/>
          </w:tcPr>
          <w:p>
            <w:pPr>
              <w:jc w:val="center"/>
            </w:pPr>
            <w:r>
              <w:rPr>
                <w:rFonts w:ascii="Calibri" w:hAnsi="Calibri"/>
                <w:b/>
                <w:i w:val="0"/>
                <w:color w:val="007A87"/>
                <w:sz w:val="18"/>
              </w:rPr>
              <w:t>RECAP E9 2 V2</w:t>
            </w:r>
          </w:p>
        </w:tc>
        <w:tc>
          <w:tcPr>
            <w:tcW w:type="dxa" w:w="2493"/>
          </w:tcPr>
          <w:p>
            <w:r>
              <w:rPr>
                <w:sz w:val="20"/>
              </w:rPr>
              <w:t>RYO: OMS manages the full order lifecycle: creation, routing via FIX, tracking fills, and allocation to accounts. ARIA: In Video 3 we cover DMA — Direct Market Access — and algorithmic trading, which are the execution channels that have largely replaced traditional phone-based dealing.</w:t>
            </w:r>
          </w:p>
        </w:tc>
      </w:tr>
    </w:tbl>
    <w:p/>
    <w:p>
      <w:r>
        <w:rPr>
          <w:rFonts w:ascii="Calibri" w:hAnsi="Calibri"/>
          <w:b/>
          <w:i w:val="0"/>
          <w:color w:val="007A87"/>
          <w:sz w:val="20"/>
        </w:rPr>
        <w:t xml:space="preserve">▶ Transition: </w:t>
      </w:r>
      <w:r>
        <w:rPr>
          <w:rFonts w:ascii="Calibri" w:hAnsi="Calibri"/>
          <w:b w:val="0"/>
          <w:i/>
          <w:color w:val="404040"/>
          <w:sz w:val="20"/>
        </w:rPr>
        <w:t>Next — E9.2 Video 3: DMA and Algorithmic Trading</w:t>
      </w:r>
    </w:p>
    <w:p/>
    <w:p>
      <w:pPr>
        <w:spacing w:before="120"/>
        <w:shd w:val="clear" w:color="auto" w:fill="101C4F"/>
      </w:pPr>
      <w:r>
        <w:rPr>
          <w:rFonts w:ascii="Calibri" w:hAnsi="Calibri"/>
          <w:b/>
          <w:i w:val="0"/>
          <w:color w:val="FFFFFF"/>
          <w:sz w:val="24"/>
        </w:rPr>
        <w:t xml:space="preserve">  E9.2: Trade Initiation — From Decision to Order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E9.2</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Initiation — From Decision to Order</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initiation stage, including investment decision-making, order generation, and the role of the Order Management System in routing orders to exchanges.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DMA and algorithmic execution to market impact and TLC efficiency</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DMA, describe common algorithmic execution strategies, and relate their use to TLC speed and market impact reduction</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E9.2 Video 2: The OMS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E9.3 Video 1: Order Types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Comparison: Traditional (PM → Dealer → Phone → Exchange) vs DMA (PM → OMS → Exchange directly).</w:t>
            </w:r>
          </w:p>
        </w:tc>
        <w:tc>
          <w:tcPr>
            <w:tcW w:type="dxa" w:w="2493"/>
          </w:tcPr>
          <w:p>
            <w:pPr>
              <w:jc w:val="center"/>
            </w:pPr>
            <w:r>
              <w:rPr>
                <w:rFonts w:ascii="Calibri" w:hAnsi="Calibri"/>
                <w:b/>
                <w:i w:val="0"/>
                <w:color w:val="007A87"/>
                <w:sz w:val="18"/>
              </w:rPr>
              <w:t>DMA INTRO</w:t>
            </w:r>
          </w:p>
        </w:tc>
        <w:tc>
          <w:tcPr>
            <w:tcW w:type="dxa" w:w="2493"/>
          </w:tcPr>
          <w:p>
            <w:r>
              <w:rPr>
                <w:sz w:val="20"/>
              </w:rPr>
              <w:t>ARIA: Direct Market Access — DMA — allows institutional investors to route orders directly to the exchange matching engine, bypassing the broker's dealing desk. Orders go straight from the client's OMS through the broker's infrastructure to the exchange. Speed increases dramatically — from minutes (phone-based) to milliseconds (DMA).</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Benefits table: Speed (ms vs minutes), Cost (lower commission), Control (client controls execution), Transparency (full audit trail).</w:t>
            </w:r>
          </w:p>
        </w:tc>
        <w:tc>
          <w:tcPr>
            <w:tcW w:type="dxa" w:w="2493"/>
          </w:tcPr>
          <w:p>
            <w:pPr>
              <w:jc w:val="center"/>
            </w:pPr>
            <w:r>
              <w:rPr>
                <w:rFonts w:ascii="Calibri" w:hAnsi="Calibri"/>
                <w:b/>
                <w:i w:val="0"/>
                <w:color w:val="007A87"/>
                <w:sz w:val="18"/>
              </w:rPr>
              <w:t>DMA BENEFITS</w:t>
            </w:r>
          </w:p>
        </w:tc>
        <w:tc>
          <w:tcPr>
            <w:tcW w:type="dxa" w:w="2493"/>
          </w:tcPr>
          <w:p>
            <w:r>
              <w:rPr>
                <w:sz w:val="20"/>
              </w:rPr>
              <w:t>KAVI: DMA benefits: Speed — orders reach the exchange in under 10 milliseconds. Cost — no dealer involvement means lower commissions. Control — the institutional investor controls exactly when and how orders are executed. Transparency — every order, modification, and cancellation is logged with timestamps. In India, SEBI permits DMA for institutional clients under SEBI Circular CIR/MRD/DP/20/2012.</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Algorithm selection screen: TWAP, VWAP, Implementation Shortfall, Participation Rate. Portfolio manager selects VWAP for 10,000 RIL shares.</w:t>
            </w:r>
          </w:p>
        </w:tc>
        <w:tc>
          <w:tcPr>
            <w:tcW w:type="dxa" w:w="2493"/>
          </w:tcPr>
          <w:p>
            <w:pPr>
              <w:jc w:val="center"/>
            </w:pPr>
            <w:r>
              <w:rPr>
                <w:rFonts w:ascii="Calibri" w:hAnsi="Calibri"/>
                <w:b/>
                <w:i w:val="0"/>
                <w:color w:val="007A87"/>
                <w:sz w:val="18"/>
              </w:rPr>
              <w:t>ALGO INTRO</w:t>
            </w:r>
          </w:p>
        </w:tc>
        <w:tc>
          <w:tcPr>
            <w:tcW w:type="dxa" w:w="2493"/>
          </w:tcPr>
          <w:p>
            <w:r>
              <w:rPr>
                <w:sz w:val="20"/>
              </w:rPr>
              <w:t>RYO: For large orders, algorithms break the order into small pieces and execute them systematically to minimize market impact. Common algorithms: TWAP — Time-Weighted Average Price — spreads execution evenly over time. VWAP — Volume-Weighted Average Price — executes in proportion to historical volume patterns. Participation Rate — executes as a fixed percentage of market volume. Implementation Shortfall — minimises the difference between decision price and execution price.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VWAP execution chart: 10,000 shares executed across NSE over 4 hours. Average fill price vs VWAP benchmark. Slippage = 0.03%.</w:t>
            </w:r>
          </w:p>
        </w:tc>
        <w:tc>
          <w:tcPr>
            <w:tcW w:type="dxa" w:w="2493"/>
          </w:tcPr>
          <w:p>
            <w:pPr>
              <w:jc w:val="center"/>
            </w:pPr>
            <w:r>
              <w:rPr>
                <w:rFonts w:ascii="Calibri" w:hAnsi="Calibri"/>
                <w:b/>
                <w:i w:val="0"/>
                <w:color w:val="007A87"/>
                <w:sz w:val="18"/>
              </w:rPr>
              <w:t>ALGO EXECUTION</w:t>
            </w:r>
          </w:p>
        </w:tc>
        <w:tc>
          <w:tcPr>
            <w:tcW w:type="dxa" w:w="2493"/>
          </w:tcPr>
          <w:p>
            <w:r>
              <w:rPr>
                <w:sz w:val="20"/>
              </w:rPr>
              <w:t>ARIA: Example: a portfolio manager needs to buy 10,000 shares of Reliance — roughly ₹2.5 crore. Executing all at once would move the market against them. Using VWAP: the algorithm executes 500–800 shares every 15 minutes, tracking NSE volume patterns. Final average fill price: ₹2,502.50 vs VWAP benchmark of ₹2,503.10. Slippage: only 0.02% — saving approximately ₹15,000 versus a single large order.</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TLC speed comparison: Manual dealing (T+0: 2 hours for capture), DMA+STP (T+0: 8 minutes for capture). Settlement risk visual.</w:t>
            </w:r>
          </w:p>
        </w:tc>
        <w:tc>
          <w:tcPr>
            <w:tcW w:type="dxa" w:w="2493"/>
          </w:tcPr>
          <w:p>
            <w:pPr>
              <w:jc w:val="center"/>
            </w:pPr>
            <w:r>
              <w:rPr>
                <w:rFonts w:ascii="Calibri" w:hAnsi="Calibri"/>
                <w:b/>
                <w:i w:val="0"/>
                <w:color w:val="007A87"/>
                <w:sz w:val="18"/>
              </w:rPr>
              <w:t>DMA TLC IMPACT</w:t>
            </w:r>
          </w:p>
        </w:tc>
        <w:tc>
          <w:tcPr>
            <w:tcW w:type="dxa" w:w="2493"/>
          </w:tcPr>
          <w:p>
            <w:r>
              <w:rPr>
                <w:sz w:val="20"/>
              </w:rPr>
              <w:t>MOTION: DMA + STP dramatically compresses the TLC timeline. Manual dealing: order placed at 10:00, execution confirmed at 10:15, trade captured by operations at 11:30 — 90 minutes to capture. DMA with STP: order placed at 10:00, execution confirmed at 10:00:08, trade auto-captured by 10:00:30 — 30 seconds to capture. This 99% reduction in capture time reduces settlement risk and gives operations more time to resolve exceptions.</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DMA → Algo → Exchange → instant STP capture chain.</w:t>
            </w:r>
          </w:p>
        </w:tc>
        <w:tc>
          <w:tcPr>
            <w:tcW w:type="dxa" w:w="2493"/>
          </w:tcPr>
          <w:p>
            <w:pPr>
              <w:jc w:val="center"/>
            </w:pPr>
            <w:r>
              <w:rPr>
                <w:rFonts w:ascii="Calibri" w:hAnsi="Calibri"/>
                <w:b/>
                <w:i w:val="0"/>
                <w:color w:val="007A87"/>
                <w:sz w:val="18"/>
              </w:rPr>
              <w:t>RECAP E9 2 V3</w:t>
            </w:r>
          </w:p>
        </w:tc>
        <w:tc>
          <w:tcPr>
            <w:tcW w:type="dxa" w:w="2493"/>
          </w:tcPr>
          <w:p>
            <w:r>
              <w:rPr>
                <w:sz w:val="20"/>
              </w:rPr>
              <w:t>KAVI: DMA and algorithmic execution have transformed trade initiation — orders are now executed in milliseconds, with full audit trails, and STP-fed directly into capture systems. RYO: Next: E9.3 — Order Types and Market Participants. We'll cover every order type a dealer needs to know: Market, Limit, Stop-Loss, IOC, GTC, and the participant ecosystem around the exchange.</w:t>
            </w:r>
          </w:p>
        </w:tc>
      </w:tr>
    </w:tbl>
    <w:p/>
    <w:p>
      <w:r>
        <w:rPr>
          <w:rFonts w:ascii="Calibri" w:hAnsi="Calibri"/>
          <w:b/>
          <w:i w:val="0"/>
          <w:color w:val="007A87"/>
          <w:sz w:val="20"/>
        </w:rPr>
        <w:t xml:space="preserve">▶ Transition: </w:t>
      </w:r>
      <w:r>
        <w:rPr>
          <w:rFonts w:ascii="Calibri" w:hAnsi="Calibri"/>
          <w:b w:val="0"/>
          <w:i/>
          <w:color w:val="404040"/>
          <w:sz w:val="20"/>
        </w:rPr>
        <w:t>Next — E9.3 Video 1: Order Types</w:t>
      </w:r>
    </w:p>
    <w:p/>
    <w:p>
      <w:pPr>
        <w:pStyle w:val="Heading1"/>
      </w:pPr>
      <w:r>
        <w:rPr>
          <w:color w:val="101C4F"/>
        </w:rPr>
        <w:t>E9.3: Order Types and Market Participants</w:t>
      </w:r>
    </w:p>
    <w:p>
      <w:r>
        <w:rPr>
          <w:rFonts w:ascii="Calibri" w:hAnsi="Calibri"/>
          <w:b/>
          <w:i w:val="0"/>
          <w:color w:val="007A87"/>
          <w:sz w:val="22"/>
        </w:rPr>
        <w:t xml:space="preserve">Competency Statement: </w:t>
      </w:r>
      <w:r>
        <w:rPr>
          <w:rFonts w:ascii="Calibri" w:hAnsi="Calibri"/>
          <w:b w:val="0"/>
          <w:i w:val="0"/>
          <w:sz w:val="22"/>
        </w:rPr>
        <w:t>Identify and distinguish the major order types used on exchanges and describe the roles of key market participants — broker-dealers, custodians, CCPs, and depositories.</w:t>
      </w:r>
    </w:p>
    <w:p/>
    <w:p>
      <w:pPr>
        <w:spacing w:before="120"/>
        <w:shd w:val="clear" w:color="auto" w:fill="101C4F"/>
      </w:pPr>
      <w:r>
        <w:rPr>
          <w:rFonts w:ascii="Calibri" w:hAnsi="Calibri"/>
          <w:b/>
          <w:i w:val="0"/>
          <w:color w:val="FFFFFF"/>
          <w:sz w:val="24"/>
        </w:rPr>
        <w:t xml:space="preserve">  E9.3: Order Types and Market Participants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Order Types and Market Participants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Identify and distinguish the major order types used on exchanges and describe the roles of key market participants — broker-dealers, custodians, CCPs, and depositories.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all major order types and explain when each is used</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define Market, Limit, Stop-Loss, IOC, GTC, and AMO orders and explain the appropriate use case for each</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E9.2 Video 3: DMA and Algorithmic Trading</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E9.3 Video 2: Market Participants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Order type menu on NSE terminal: Market, Limit, Stop-Loss, Stop-Limit, IOC, GTC, AMO.</w:t>
            </w:r>
          </w:p>
        </w:tc>
        <w:tc>
          <w:tcPr>
            <w:tcW w:type="dxa" w:w="2493"/>
          </w:tcPr>
          <w:p>
            <w:pPr>
              <w:jc w:val="center"/>
            </w:pPr>
            <w:r>
              <w:rPr>
                <w:rFonts w:ascii="Calibri" w:hAnsi="Calibri"/>
                <w:b/>
                <w:i w:val="0"/>
                <w:color w:val="007A87"/>
                <w:sz w:val="18"/>
              </w:rPr>
              <w:t>ORDER TYPES INTRO</w:t>
            </w:r>
          </w:p>
        </w:tc>
        <w:tc>
          <w:tcPr>
            <w:tcW w:type="dxa" w:w="2493"/>
          </w:tcPr>
          <w:p>
            <w:r>
              <w:rPr>
                <w:sz w:val="20"/>
              </w:rPr>
              <w:t>KAVI: An order tells the exchange what to do. But a single 'buy' instruction isn't enough — you need to specify how urgently you want the fill and whether you'll accept any price or only a specific one. Different order types give traders different levels of price control and execution certainty.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Two panels: Market Order (filled immediately at best available price) vs Limit Order (filled only at specified price or better).</w:t>
            </w:r>
          </w:p>
        </w:tc>
        <w:tc>
          <w:tcPr>
            <w:tcW w:type="dxa" w:w="2493"/>
          </w:tcPr>
          <w:p>
            <w:pPr>
              <w:jc w:val="center"/>
            </w:pPr>
            <w:r>
              <w:rPr>
                <w:rFonts w:ascii="Calibri" w:hAnsi="Calibri"/>
                <w:b/>
                <w:i w:val="0"/>
                <w:color w:val="007A87"/>
                <w:sz w:val="18"/>
              </w:rPr>
              <w:t>MARKET LIMIT</w:t>
            </w:r>
          </w:p>
        </w:tc>
        <w:tc>
          <w:tcPr>
            <w:tcW w:type="dxa" w:w="2493"/>
          </w:tcPr>
          <w:p>
            <w:r>
              <w:rPr>
                <w:sz w:val="20"/>
              </w:rPr>
              <w:t>RYO: Market Order: executes immediately at the best available price. Advantage: guaranteed execution. Disadvantage: price is uncertain — especially for illiquid securities. Used when speed matters more than price. Limit Order: executes only at the specified price or better. Buy limit: only fills at or below the limit price. Sell limit: only fills at or above the limit price. Advantage: price certainty. Disadvantage: may not fill if market never reaches your price.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Stop-loss order: investor holds Infosys at ₹1,800 buy price. Stop-loss set at ₹1,650. Market falls to ₹1,648 — order triggers, sells at market.</w:t>
            </w:r>
          </w:p>
        </w:tc>
        <w:tc>
          <w:tcPr>
            <w:tcW w:type="dxa" w:w="2493"/>
          </w:tcPr>
          <w:p>
            <w:pPr>
              <w:jc w:val="center"/>
            </w:pPr>
            <w:r>
              <w:rPr>
                <w:rFonts w:ascii="Calibri" w:hAnsi="Calibri"/>
                <w:b/>
                <w:i w:val="0"/>
                <w:color w:val="007A87"/>
                <w:sz w:val="18"/>
              </w:rPr>
              <w:t>STOP LOSS</w:t>
            </w:r>
          </w:p>
        </w:tc>
        <w:tc>
          <w:tcPr>
            <w:tcW w:type="dxa" w:w="2493"/>
          </w:tcPr>
          <w:p>
            <w:r>
              <w:rPr>
                <w:sz w:val="20"/>
              </w:rPr>
              <w:t>ARIA: Stop-Loss Order: protects against excessive losses. Set a trigger price — when the market trades at or below this price, the stop-loss converts into a market order and executes immediately. Example: you bought Infosys at ₹1,800. You place a stop-loss at ₹1,650 — if Infosys falls to ₹1,650, your position is automatically sold, limiting your loss to ₹150 per share. Used by traders to manage downside risk without constant monitoring.</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Two scenarios: IOC — fill what you can, cancel the rest immediately. GTC — stay open until filled or manually cancelled.</w:t>
            </w:r>
          </w:p>
        </w:tc>
        <w:tc>
          <w:tcPr>
            <w:tcW w:type="dxa" w:w="2493"/>
          </w:tcPr>
          <w:p>
            <w:pPr>
              <w:jc w:val="center"/>
            </w:pPr>
            <w:r>
              <w:rPr>
                <w:rFonts w:ascii="Calibri" w:hAnsi="Calibri"/>
                <w:b/>
                <w:i w:val="0"/>
                <w:color w:val="007A87"/>
                <w:sz w:val="18"/>
              </w:rPr>
              <w:t>IOC GTC</w:t>
            </w:r>
          </w:p>
        </w:tc>
        <w:tc>
          <w:tcPr>
            <w:tcW w:type="dxa" w:w="2493"/>
          </w:tcPr>
          <w:p>
            <w:r>
              <w:rPr>
                <w:sz w:val="20"/>
              </w:rPr>
              <w:t>KAVI: IOC — Immediate or Cancel: fill as much as possible immediately, cancel any unfilled portion. Used for large orders where partial fills are acceptable but resting in the order book is not. GTC — Good Till Cancelled: the order remains open until fully filled or manually cancelled by the trader. Used for limit orders when the trader is willing to wait for the right price to come to them.</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AMO screen: After-Market Order placed at 8 PM for next day open. Order queued and submitted to exchange at 9:00 AM.</w:t>
            </w:r>
          </w:p>
        </w:tc>
        <w:tc>
          <w:tcPr>
            <w:tcW w:type="dxa" w:w="2493"/>
          </w:tcPr>
          <w:p>
            <w:pPr>
              <w:jc w:val="center"/>
            </w:pPr>
            <w:r>
              <w:rPr>
                <w:rFonts w:ascii="Calibri" w:hAnsi="Calibri"/>
                <w:b/>
                <w:i w:val="0"/>
                <w:color w:val="007A87"/>
                <w:sz w:val="18"/>
              </w:rPr>
              <w:t>AMO AFTER HOURS</w:t>
            </w:r>
          </w:p>
        </w:tc>
        <w:tc>
          <w:tcPr>
            <w:tcW w:type="dxa" w:w="2493"/>
          </w:tcPr>
          <w:p>
            <w:r>
              <w:rPr>
                <w:sz w:val="20"/>
              </w:rPr>
              <w:t>MOTION: AMO — After-Market Order: placed outside trading hours (6:00 PM to 9:00 AM on NSE) for execution at the next session's open. Common for retail investors who can't monitor markets during trading hours. The order is queued by the broker and automatically submitted to NSE at the start of the next trading session. AMO is a convenience feature — not available for all order types (typically Market or Limit only).</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Order types reference table: Type / When Used / Price Control / Fill Certainty.</w:t>
            </w:r>
          </w:p>
        </w:tc>
        <w:tc>
          <w:tcPr>
            <w:tcW w:type="dxa" w:w="2493"/>
          </w:tcPr>
          <w:p>
            <w:pPr>
              <w:jc w:val="center"/>
            </w:pPr>
            <w:r>
              <w:rPr>
                <w:rFonts w:ascii="Calibri" w:hAnsi="Calibri"/>
                <w:b/>
                <w:i w:val="0"/>
                <w:color w:val="007A87"/>
                <w:sz w:val="18"/>
              </w:rPr>
              <w:t>RECAP E9 3 V1</w:t>
            </w:r>
          </w:p>
        </w:tc>
        <w:tc>
          <w:tcPr>
            <w:tcW w:type="dxa" w:w="2493"/>
          </w:tcPr>
          <w:p>
            <w:r>
              <w:rPr>
                <w:sz w:val="20"/>
              </w:rPr>
              <w:t>ARIA: Order types summary: Market (immediate fill, any price), Limit (specific price or better, may not fill), Stop-Loss (loss protection trigger), IOC (fill or cancel immediately), GTC (wait until price reached), AMO (next day at open). RYO: In Video 2 we meet the ecosystem of participants who operate around these orders — brokers, custodians, CCPs, and depositories.</w:t>
            </w:r>
          </w:p>
        </w:tc>
      </w:tr>
    </w:tbl>
    <w:p/>
    <w:p>
      <w:r>
        <w:rPr>
          <w:rFonts w:ascii="Calibri" w:hAnsi="Calibri"/>
          <w:b/>
          <w:i w:val="0"/>
          <w:color w:val="007A87"/>
          <w:sz w:val="20"/>
        </w:rPr>
        <w:t xml:space="preserve">▶ Transition: </w:t>
      </w:r>
      <w:r>
        <w:rPr>
          <w:rFonts w:ascii="Calibri" w:hAnsi="Calibri"/>
          <w:b w:val="0"/>
          <w:i/>
          <w:color w:val="404040"/>
          <w:sz w:val="20"/>
        </w:rPr>
        <w:t>Next — E9.3 Video 2: Market Participants</w:t>
      </w:r>
    </w:p>
    <w:p/>
    <w:p>
      <w:pPr>
        <w:spacing w:before="120"/>
        <w:shd w:val="clear" w:color="auto" w:fill="101C4F"/>
      </w:pPr>
      <w:r>
        <w:rPr>
          <w:rFonts w:ascii="Calibri" w:hAnsi="Calibri"/>
          <w:b/>
          <w:i w:val="0"/>
          <w:color w:val="FFFFFF"/>
          <w:sz w:val="24"/>
        </w:rPr>
        <w:t xml:space="preserve">  E9.3: Order Types and Market Participants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Order Types and Market Participants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Identify and distinguish the major order types used on exchanges and describe the roles of key market participants — broker-dealers, custodians, CCPs, and depositories.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Map each market participant to its role in the exchange ecosystem</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function of broker-dealers, custodians, clearing corporations, and depositories and trace how they interact in a standard trade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E9.3 Video 1: Order Types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E9.3 Video 3: Exchange Microstructure — Order Book and Matching</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Ecosystem diagram: Buy-Side Client → Broker-Dealer → Exchange → CCP (NSCC) → Depository (NSDL/CDSL) → Custodian → Client Account.</w:t>
            </w:r>
          </w:p>
        </w:tc>
        <w:tc>
          <w:tcPr>
            <w:tcW w:type="dxa" w:w="2493"/>
          </w:tcPr>
          <w:p>
            <w:pPr>
              <w:jc w:val="center"/>
            </w:pPr>
            <w:r>
              <w:rPr>
                <w:rFonts w:ascii="Calibri" w:hAnsi="Calibri"/>
                <w:b/>
                <w:i w:val="0"/>
                <w:color w:val="007A87"/>
                <w:sz w:val="18"/>
              </w:rPr>
              <w:t>PARTICIPANTS MAP</w:t>
            </w:r>
          </w:p>
        </w:tc>
        <w:tc>
          <w:tcPr>
            <w:tcW w:type="dxa" w:w="2493"/>
          </w:tcPr>
          <w:p>
            <w:r>
              <w:rPr>
                <w:sz w:val="20"/>
              </w:rPr>
              <w:t>KAVI: Six key participant types form the exchange ecosystem. Let's meet each one.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Broker-dealer screen: dual role — agent for clients AND principal in proprietary trading. NSE member registration certificate shown.</w:t>
            </w:r>
          </w:p>
        </w:tc>
        <w:tc>
          <w:tcPr>
            <w:tcW w:type="dxa" w:w="2493"/>
          </w:tcPr>
          <w:p>
            <w:pPr>
              <w:jc w:val="center"/>
            </w:pPr>
            <w:r>
              <w:rPr>
                <w:rFonts w:ascii="Calibri" w:hAnsi="Calibri"/>
                <w:b/>
                <w:i w:val="0"/>
                <w:color w:val="007A87"/>
                <w:sz w:val="18"/>
              </w:rPr>
              <w:t>BROKER DEALER</w:t>
            </w:r>
          </w:p>
        </w:tc>
        <w:tc>
          <w:tcPr>
            <w:tcW w:type="dxa" w:w="2493"/>
          </w:tcPr>
          <w:p>
            <w:r>
              <w:rPr>
                <w:sz w:val="20"/>
              </w:rPr>
              <w:t>RYO: Broker-Dealers: licensed intermediaries who execute trades on behalf of clients (broker role) and sometimes trade with their own capital (dealer role). In India, they must be SEBI-registered and NSE/BSE members. They maintain client accounts, execute orders, and submit settlement instructions. Examples: Zerodha, ICICI Securities, Motilal Oswal, Kotak Securities.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NSCC — National Securities Clearing Corporation — in the centre of the trade web. Both buyer's broker and seller's broker facing NSCC, not each other.</w:t>
            </w:r>
          </w:p>
        </w:tc>
        <w:tc>
          <w:tcPr>
            <w:tcW w:type="dxa" w:w="2493"/>
          </w:tcPr>
          <w:p>
            <w:pPr>
              <w:jc w:val="center"/>
            </w:pPr>
            <w:r>
              <w:rPr>
                <w:rFonts w:ascii="Calibri" w:hAnsi="Calibri"/>
                <w:b/>
                <w:i w:val="0"/>
                <w:color w:val="007A87"/>
                <w:sz w:val="18"/>
              </w:rPr>
              <w:t>CCP</w:t>
            </w:r>
          </w:p>
        </w:tc>
        <w:tc>
          <w:tcPr>
            <w:tcW w:type="dxa" w:w="2493"/>
          </w:tcPr>
          <w:p>
            <w:r>
              <w:rPr>
                <w:sz w:val="20"/>
              </w:rPr>
              <w:t>ARIA: Central Counterparty — CCP: the CCP interposes itself between buyer and seller, becoming the buyer to every seller and the seller to every buyer. In India, NSCC is the CCP for NSE trades; BSE Clearing is the CCP for BSE. By guaranteeing settlement, the CCP eliminates bilateral counterparty risk — even if one broker fails, the other side's settlement is protected. CCPs collect margin from members to fund this guarantee.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NSDL and CDSL logos. Demat account screen: securities held as electronic entries, not physical certificates.</w:t>
            </w:r>
          </w:p>
        </w:tc>
        <w:tc>
          <w:tcPr>
            <w:tcW w:type="dxa" w:w="2493"/>
          </w:tcPr>
          <w:p>
            <w:pPr>
              <w:jc w:val="center"/>
            </w:pPr>
            <w:r>
              <w:rPr>
                <w:rFonts w:ascii="Calibri" w:hAnsi="Calibri"/>
                <w:b/>
                <w:i w:val="0"/>
                <w:color w:val="007A87"/>
                <w:sz w:val="18"/>
              </w:rPr>
              <w:t>DEPOSITORY</w:t>
            </w:r>
          </w:p>
        </w:tc>
        <w:tc>
          <w:tcPr>
            <w:tcW w:type="dxa" w:w="2493"/>
          </w:tcPr>
          <w:p>
            <w:r>
              <w:rPr>
                <w:sz w:val="20"/>
              </w:rPr>
              <w:t>KAVI: Depositories: hold securities in electronic (dematerialized) form. In India: NSDL (National Securities Depository Limited) and CDSL (Central Depository Services Limited). When you buy shares, they appear as an electronic entry in your demat account at NSDL or CDSL — there are no physical share certificates. Settlement on T+1 means your demat account is updated one business day after trade execution.</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Custodian bank: safekeeping function. Client's securities and cash accounts at custodian. Custodian receives settlement instructions and acts on behalf of client.</w:t>
            </w:r>
          </w:p>
        </w:tc>
        <w:tc>
          <w:tcPr>
            <w:tcW w:type="dxa" w:w="2493"/>
          </w:tcPr>
          <w:p>
            <w:pPr>
              <w:jc w:val="center"/>
            </w:pPr>
            <w:r>
              <w:rPr>
                <w:rFonts w:ascii="Calibri" w:hAnsi="Calibri"/>
                <w:b/>
                <w:i w:val="0"/>
                <w:color w:val="007A87"/>
                <w:sz w:val="18"/>
              </w:rPr>
              <w:t>CUSTODIAN</w:t>
            </w:r>
          </w:p>
        </w:tc>
        <w:tc>
          <w:tcPr>
            <w:tcW w:type="dxa" w:w="2493"/>
          </w:tcPr>
          <w:p>
            <w:r>
              <w:rPr>
                <w:sz w:val="20"/>
              </w:rPr>
              <w:t>MOTION: Custodian Banks: third-party banks that safekeep client assets and manage settlement on behalf of institutional investors. While the broker executes trades, the custodian holds the securities. On settlement day, the broker instructs the custodian with the SWIFT message to deliver or receive securities. Examples: HDFC Bank Custody, Deutsche Bank Custody, Citibank Custody, HSBC Securities Services India.</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Participant interaction matrix: who does what at each TLC stage.</w:t>
            </w:r>
          </w:p>
        </w:tc>
        <w:tc>
          <w:tcPr>
            <w:tcW w:type="dxa" w:w="2493"/>
          </w:tcPr>
          <w:p>
            <w:pPr>
              <w:jc w:val="center"/>
            </w:pPr>
            <w:r>
              <w:rPr>
                <w:rFonts w:ascii="Calibri" w:hAnsi="Calibri"/>
                <w:b/>
                <w:i w:val="0"/>
                <w:color w:val="007A87"/>
                <w:sz w:val="18"/>
              </w:rPr>
              <w:t>RECAP E9 3 V2</w:t>
            </w:r>
          </w:p>
        </w:tc>
        <w:tc>
          <w:tcPr>
            <w:tcW w:type="dxa" w:w="2493"/>
          </w:tcPr>
          <w:p>
            <w:r>
              <w:rPr>
                <w:sz w:val="20"/>
              </w:rPr>
              <w:t>RYO: Participant recap: Broker-Dealer (executes), CCP (guarantees), Depository (holds securities), Custodian (settles for institutions). ARIA: In Video 3 we go inside the exchange itself — how orders match, what the order book looks like, and how price discovery happens in real time.</w:t>
            </w:r>
          </w:p>
        </w:tc>
      </w:tr>
    </w:tbl>
    <w:p/>
    <w:p>
      <w:r>
        <w:rPr>
          <w:rFonts w:ascii="Calibri" w:hAnsi="Calibri"/>
          <w:b/>
          <w:i w:val="0"/>
          <w:color w:val="007A87"/>
          <w:sz w:val="20"/>
        </w:rPr>
        <w:t xml:space="preserve">▶ Transition: </w:t>
      </w:r>
      <w:r>
        <w:rPr>
          <w:rFonts w:ascii="Calibri" w:hAnsi="Calibri"/>
          <w:b w:val="0"/>
          <w:i/>
          <w:color w:val="404040"/>
          <w:sz w:val="20"/>
        </w:rPr>
        <w:t>Next — E9.3 Video 3: Exchange Microstructure — Order Book and Matching</w:t>
      </w:r>
    </w:p>
    <w:p/>
    <w:p>
      <w:pPr>
        <w:spacing w:before="120"/>
        <w:shd w:val="clear" w:color="auto" w:fill="101C4F"/>
      </w:pPr>
      <w:r>
        <w:rPr>
          <w:rFonts w:ascii="Calibri" w:hAnsi="Calibri"/>
          <w:b/>
          <w:i w:val="0"/>
          <w:color w:val="FFFFFF"/>
          <w:sz w:val="24"/>
        </w:rPr>
        <w:t xml:space="preserve">  E9.3: Order Types and Market Participants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E9.3</w:t>
            </w:r>
          </w:p>
        </w:tc>
      </w:tr>
      <w:tr>
        <w:tc>
          <w:tcPr>
            <w:tcW w:type="dxa" w:w="4986"/>
            <w:shd w:val="clear" w:color="auto" w:fill="007A87"/>
          </w:tcPr>
          <w:p>
            <w:r>
              <w:rPr>
                <w:rFonts w:ascii="Calibri" w:hAnsi="Calibri"/>
                <w:b/>
                <w:i w:val="0"/>
                <w:color w:val="FFFFFF"/>
                <w:sz w:val="20"/>
              </w:rPr>
              <w:t>UOR Title</w:t>
            </w:r>
          </w:p>
        </w:tc>
        <w:tc>
          <w:tcPr>
            <w:tcW w:type="dxa" w:w="4986"/>
          </w:tcPr>
          <w:p>
            <w:r>
              <w:rPr>
                <w:sz w:val="20"/>
              </w:rPr>
              <w:t>Order Types and Market Participants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Identify and distinguish the major order types used on exchanges and describe the roles of key market participants — broker-dealers, custodians, CCPs, and depositories.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order book dynamics to price discovery and execution quality</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how the exchange order book works, explain price-time priority matching, and relate order book depth to execution quality</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E9.3 Video 2: Market Participants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E9.4 Video 1: Trade Execution — OMS to Exchange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Live order book graphic: Bid side (buy orders ranked by price, then time) and Ask side (sell orders ranked by price, then time). Best bid and best ask highlighted.</w:t>
            </w:r>
          </w:p>
        </w:tc>
        <w:tc>
          <w:tcPr>
            <w:tcW w:type="dxa" w:w="2493"/>
          </w:tcPr>
          <w:p>
            <w:pPr>
              <w:jc w:val="center"/>
            </w:pPr>
            <w:r>
              <w:rPr>
                <w:rFonts w:ascii="Calibri" w:hAnsi="Calibri"/>
                <w:b/>
                <w:i w:val="0"/>
                <w:color w:val="007A87"/>
                <w:sz w:val="18"/>
              </w:rPr>
              <w:t>ORDER BOOK</w:t>
            </w:r>
          </w:p>
        </w:tc>
        <w:tc>
          <w:tcPr>
            <w:tcW w:type="dxa" w:w="2493"/>
          </w:tcPr>
          <w:p>
            <w:r>
              <w:rPr>
                <w:sz w:val="20"/>
              </w:rPr>
              <w:t>ARIA: The exchange order book is a real-time list of all outstanding buy and sell orders, ranked by price and then time. Best bid — the highest price someone is willing to pay. Best ask — the lowest price someone is willing to accept. The difference between best bid and best ask is the bid-ask spread. The narrower the spread, the more liquid the market.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Animation: buy order at ₹2,500 hits the order book. Matching engine checks — sell order exists at ₹2,499. Match! Execution report generated in microseconds.</w:t>
            </w:r>
          </w:p>
        </w:tc>
        <w:tc>
          <w:tcPr>
            <w:tcW w:type="dxa" w:w="2493"/>
          </w:tcPr>
          <w:p>
            <w:pPr>
              <w:jc w:val="center"/>
            </w:pPr>
            <w:r>
              <w:rPr>
                <w:rFonts w:ascii="Calibri" w:hAnsi="Calibri"/>
                <w:b/>
                <w:i w:val="0"/>
                <w:color w:val="007A87"/>
                <w:sz w:val="18"/>
              </w:rPr>
              <w:t>MATCHING ENGINE</w:t>
            </w:r>
          </w:p>
        </w:tc>
        <w:tc>
          <w:tcPr>
            <w:tcW w:type="dxa" w:w="2493"/>
          </w:tcPr>
          <w:p>
            <w:r>
              <w:rPr>
                <w:sz w:val="20"/>
              </w:rPr>
              <w:t>KAVI: The exchange matching engine uses price-time priority. When a new order arrives: Step 1 — find all resting orders on the opposite side at an acceptable price. Step 2 — match with the best-priced resting order first. Step 3 — if two resting orders have the same price, match with the one that arrived first (time priority). Step 4 — generate execution reports for both the buyer's and seller's brokers.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NSE pre-open session (9:00–9:15): call auction mechanism. All orders collected, equilibrium price determined. Opening price set.</w:t>
            </w:r>
          </w:p>
        </w:tc>
        <w:tc>
          <w:tcPr>
            <w:tcW w:type="dxa" w:w="2493"/>
          </w:tcPr>
          <w:p>
            <w:pPr>
              <w:jc w:val="center"/>
            </w:pPr>
            <w:r>
              <w:rPr>
                <w:rFonts w:ascii="Calibri" w:hAnsi="Calibri"/>
                <w:b/>
                <w:i w:val="0"/>
                <w:color w:val="007A87"/>
                <w:sz w:val="18"/>
              </w:rPr>
              <w:t>CALL AUCTION</w:t>
            </w:r>
          </w:p>
        </w:tc>
        <w:tc>
          <w:tcPr>
            <w:tcW w:type="dxa" w:w="2493"/>
          </w:tcPr>
          <w:p>
            <w:r>
              <w:rPr>
                <w:sz w:val="20"/>
              </w:rPr>
              <w:t>RYO: NSE uses a call auction mechanism for the pre-open session (9:00–9:15 AM). All buy and sell orders submitted during this window are collected and a single clearing price is determined — the price that maximises the number of shares matched. This sets the opening price for the day. After 9:15, continuous matching begins and trades execute in real time.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Market depth screen: 5 levels of bid/ask. Large buy wall at ₹2,490 (100,000 shares). Small sell wall at ₹2,501. Analysis: order likely to fill quickly on buy side.</w:t>
            </w:r>
          </w:p>
        </w:tc>
        <w:tc>
          <w:tcPr>
            <w:tcW w:type="dxa" w:w="2493"/>
          </w:tcPr>
          <w:p>
            <w:pPr>
              <w:jc w:val="center"/>
            </w:pPr>
            <w:r>
              <w:rPr>
                <w:rFonts w:ascii="Calibri" w:hAnsi="Calibri"/>
                <w:b/>
                <w:i w:val="0"/>
                <w:color w:val="007A87"/>
                <w:sz w:val="18"/>
              </w:rPr>
              <w:t>MARKET DEPTH</w:t>
            </w:r>
          </w:p>
        </w:tc>
        <w:tc>
          <w:tcPr>
            <w:tcW w:type="dxa" w:w="2493"/>
          </w:tcPr>
          <w:p>
            <w:r>
              <w:rPr>
                <w:sz w:val="20"/>
              </w:rPr>
              <w:t>ARIA: Market depth shows the full order book beyond just the best bid/ask — typically 5 or 20 levels. A deep order book with large quantities at multiple price levels indicates a liquid market — large orders can be executed without significant price impact. A thin order book means even moderate-sized orders will move the price substantially.</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Circuit breaker animation: Nifty 50 drops 10% — Level 1 halt triggered. Trading pauses for 45 minutes. Cooling-off period.</w:t>
            </w:r>
          </w:p>
        </w:tc>
        <w:tc>
          <w:tcPr>
            <w:tcW w:type="dxa" w:w="2493"/>
          </w:tcPr>
          <w:p>
            <w:pPr>
              <w:jc w:val="center"/>
            </w:pPr>
            <w:r>
              <w:rPr>
                <w:rFonts w:ascii="Calibri" w:hAnsi="Calibri"/>
                <w:b/>
                <w:i w:val="0"/>
                <w:color w:val="007A87"/>
                <w:sz w:val="18"/>
              </w:rPr>
              <w:t>CIRCUIT BREAKERS</w:t>
            </w:r>
          </w:p>
        </w:tc>
        <w:tc>
          <w:tcPr>
            <w:tcW w:type="dxa" w:w="2493"/>
          </w:tcPr>
          <w:p>
            <w:r>
              <w:rPr>
                <w:sz w:val="20"/>
              </w:rPr>
              <w:t>MOTION: Circuit breakers are exchange-imposed trading halts triggered by extreme price movements. NSE/BSE circuit breakers: Level 1 — 10% drop → 45-minute halt. Level 2 — 15% drop → 2-hour halt. Level 3 — 20% drop → full-day halt. Individual stock circuit breakers: upper and lower limits (typically ±20% for large caps, ±5% for some categories). Circuit breakers prevent panic selling from becoming a market collapse.</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Order book, matching, depth, circuit breaker summary.</w:t>
            </w:r>
          </w:p>
        </w:tc>
        <w:tc>
          <w:tcPr>
            <w:tcW w:type="dxa" w:w="2493"/>
          </w:tcPr>
          <w:p>
            <w:pPr>
              <w:jc w:val="center"/>
            </w:pPr>
            <w:r>
              <w:rPr>
                <w:rFonts w:ascii="Calibri" w:hAnsi="Calibri"/>
                <w:b/>
                <w:i w:val="0"/>
                <w:color w:val="007A87"/>
                <w:sz w:val="18"/>
              </w:rPr>
              <w:t>RECAP E9 3 V3</w:t>
            </w:r>
          </w:p>
        </w:tc>
        <w:tc>
          <w:tcPr>
            <w:tcW w:type="dxa" w:w="2493"/>
          </w:tcPr>
          <w:p>
            <w:r>
              <w:rPr>
                <w:sz w:val="20"/>
              </w:rPr>
              <w:t>KAVI: The exchange order book uses price-time priority matching. Market depth indicates liquidity. Circuit breakers protect against extreme volatility. RYO: We've covered the full initiation ecosystem — from investment decision through order types, market participants, and exchange microstructure. Next: E9.4 — Trade Execution in detail, including how execution quality is measured and reported.</w:t>
            </w:r>
          </w:p>
        </w:tc>
      </w:tr>
    </w:tbl>
    <w:p/>
    <w:p>
      <w:r>
        <w:rPr>
          <w:rFonts w:ascii="Calibri" w:hAnsi="Calibri"/>
          <w:b/>
          <w:i w:val="0"/>
          <w:color w:val="007A87"/>
          <w:sz w:val="20"/>
        </w:rPr>
        <w:t xml:space="preserve">▶ Transition: </w:t>
      </w:r>
      <w:r>
        <w:rPr>
          <w:rFonts w:ascii="Calibri" w:hAnsi="Calibri"/>
          <w:b w:val="0"/>
          <w:i/>
          <w:color w:val="404040"/>
          <w:sz w:val="20"/>
        </w:rPr>
        <w:t>Next — E9.4 Video 1: Trade Execution — OMS to Exchange</w:t>
      </w:r>
    </w:p>
    <w:p/>
    <w:p>
      <w:pPr>
        <w:pStyle w:val="Heading1"/>
      </w:pPr>
      <w:r>
        <w:rPr>
          <w:color w:val="101C4F"/>
        </w:rPr>
        <w:t>E9.4: Trade Execution — Quality, Reporting, and Capture</w:t>
      </w:r>
    </w:p>
    <w:p>
      <w:r>
        <w:rPr>
          <w:rFonts w:ascii="Calibri" w:hAnsi="Calibri"/>
          <w:b/>
          <w:i w:val="0"/>
          <w:color w:val="007A87"/>
          <w:sz w:val="22"/>
        </w:rPr>
        <w:t xml:space="preserve">Competency Statement: </w:t>
      </w:r>
      <w:r>
        <w:rPr>
          <w:rFonts w:ascii="Calibri" w:hAnsi="Calibri"/>
          <w:b w:val="0"/>
          <w:i w:val="0"/>
          <w:sz w:val="22"/>
        </w:rPr>
        <w:t>Describe the trade execution stage including execution channels, execution quality measurement, and how execution reports flow from the exchange to operations systems.</w:t>
      </w:r>
    </w:p>
    <w:p/>
    <w:p>
      <w:pPr>
        <w:spacing w:before="120"/>
        <w:shd w:val="clear" w:color="auto" w:fill="101C4F"/>
      </w:pPr>
      <w:r>
        <w:rPr>
          <w:rFonts w:ascii="Calibri" w:hAnsi="Calibri"/>
          <w:b/>
          <w:i w:val="0"/>
          <w:color w:val="FFFFFF"/>
          <w:sz w:val="24"/>
        </w:rPr>
        <w:t xml:space="preserve">  E9.4: Trade Execution — Quality, Reporting, and Capture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Execution — Quality, Reporting, and Capture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execution stage including execution channels, execution quality measurement, and how execution reports flow from the exchange to operations systems.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how trade execution works and how execution quality is measured</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the execution process, define key execution quality metrics, and describe SEBI's best execution requirements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E9.3 Video 3: Exchange Microstructure</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E9.4 Video 2: The Execution Report and Trade Reporting</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Exchange matching engine firing: two orders matched, time-stamped at 10:23:45.287.</w:t>
            </w:r>
          </w:p>
        </w:tc>
        <w:tc>
          <w:tcPr>
            <w:tcW w:type="dxa" w:w="2493"/>
          </w:tcPr>
          <w:p>
            <w:pPr>
              <w:jc w:val="center"/>
            </w:pPr>
            <w:r>
              <w:rPr>
                <w:rFonts w:ascii="Calibri" w:hAnsi="Calibri"/>
                <w:b/>
                <w:i w:val="0"/>
                <w:color w:val="007A87"/>
                <w:sz w:val="18"/>
              </w:rPr>
              <w:t>EXEC INTRO</w:t>
            </w:r>
          </w:p>
        </w:tc>
        <w:tc>
          <w:tcPr>
            <w:tcW w:type="dxa" w:w="2493"/>
          </w:tcPr>
          <w:p>
            <w:r>
              <w:rPr>
                <w:sz w:val="20"/>
              </w:rPr>
              <w:t>KAVI: Execution is the moment a trade becomes real — when the exchange's matching engine pairs a buy order with a sell order and creates a binding contract. Everything before execution is an order; everything after execution is a trade. The split-second of matching generates a cascade of messages and obligations.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Three channel cards: 1. Exchange Floor (manual — now rare), 2. Electronic OMS via FIX, 3. DMA/Algorithmic (institutional).</w:t>
            </w:r>
          </w:p>
        </w:tc>
        <w:tc>
          <w:tcPr>
            <w:tcW w:type="dxa" w:w="2493"/>
          </w:tcPr>
          <w:p>
            <w:pPr>
              <w:jc w:val="center"/>
            </w:pPr>
            <w:r>
              <w:rPr>
                <w:rFonts w:ascii="Calibri" w:hAnsi="Calibri"/>
                <w:b/>
                <w:i w:val="0"/>
                <w:color w:val="007A87"/>
                <w:sz w:val="18"/>
              </w:rPr>
              <w:t>EXECUTION CHANNELS</w:t>
            </w:r>
          </w:p>
        </w:tc>
        <w:tc>
          <w:tcPr>
            <w:tcW w:type="dxa" w:w="2493"/>
          </w:tcPr>
          <w:p>
            <w:r>
              <w:rPr>
                <w:sz w:val="20"/>
              </w:rPr>
              <w:t>RYO: Execution channels in India: Retail investors use broker apps — Zerodha Kite, Upstox, Angel One — which route orders electronically to NSE/BSE. Institutional investors use OMS-based electronic routing or DMA for direct exchange access. High-frequency traders use co-location and proprietary low-latency infrastructure. Physical floor trading is effectively extinct in India — NSE and BSE are fully electronic.</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SEBI best execution framework: broker must execute at best available price. Transaction cost analysis (TCA) report comparing fill price to VWAP benchmark.</w:t>
            </w:r>
          </w:p>
        </w:tc>
        <w:tc>
          <w:tcPr>
            <w:tcW w:type="dxa" w:w="2493"/>
          </w:tcPr>
          <w:p>
            <w:pPr>
              <w:jc w:val="center"/>
            </w:pPr>
            <w:r>
              <w:rPr>
                <w:rFonts w:ascii="Calibri" w:hAnsi="Calibri"/>
                <w:b/>
                <w:i w:val="0"/>
                <w:color w:val="007A87"/>
                <w:sz w:val="18"/>
              </w:rPr>
              <w:t>BEST EXECUTION</w:t>
            </w:r>
          </w:p>
        </w:tc>
        <w:tc>
          <w:tcPr>
            <w:tcW w:type="dxa" w:w="2493"/>
          </w:tcPr>
          <w:p>
            <w:r>
              <w:rPr>
                <w:sz w:val="20"/>
              </w:rPr>
              <w:t>ARIA: SEBI requires brokers to achieve best execution for client orders — executing at the most advantageous terms reasonably available. This considers: price (primary factor), speed of execution, likelihood of execution, and total transaction cost including commissions. Brokers must produce Transaction Cost Analysis (TCA) reports showing how client orders were executed relative to benchmarks like VWAP or arrival price.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Slippage calculation: Decision price ₹2,500. Execution price ₹2,506. Slippage = 0.24%. Impact on a ₹5 crore trade: ₹12,000 cost.</w:t>
            </w:r>
          </w:p>
        </w:tc>
        <w:tc>
          <w:tcPr>
            <w:tcW w:type="dxa" w:w="2493"/>
          </w:tcPr>
          <w:p>
            <w:pPr>
              <w:jc w:val="center"/>
            </w:pPr>
            <w:r>
              <w:rPr>
                <w:rFonts w:ascii="Calibri" w:hAnsi="Calibri"/>
                <w:b/>
                <w:i w:val="0"/>
                <w:color w:val="007A87"/>
                <w:sz w:val="18"/>
              </w:rPr>
              <w:t>SLIPPAGE</w:t>
            </w:r>
          </w:p>
        </w:tc>
        <w:tc>
          <w:tcPr>
            <w:tcW w:type="dxa" w:w="2493"/>
          </w:tcPr>
          <w:p>
            <w:r>
              <w:rPr>
                <w:sz w:val="20"/>
              </w:rPr>
              <w:t>KAVI: Slippage — the difference between the expected price (when the decision was made) and the actual execution price — is the primary execution cost after commissions. Sources of slippage: market impact (your own order moves the price), timing (market moves between decision and execution), and spread cost (paying the bid-ask spread on market orders). For institutional investors, minimizing slippage on large trades is a critical performance factor.</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Order book: buy order for 50,000 shares. Available at ask: 12,000 shares. Partial fill: 12,000 filled, 38,000 remaining as open order.</w:t>
            </w:r>
          </w:p>
        </w:tc>
        <w:tc>
          <w:tcPr>
            <w:tcW w:type="dxa" w:w="2493"/>
          </w:tcPr>
          <w:p>
            <w:pPr>
              <w:jc w:val="center"/>
            </w:pPr>
            <w:r>
              <w:rPr>
                <w:rFonts w:ascii="Calibri" w:hAnsi="Calibri"/>
                <w:b/>
                <w:i w:val="0"/>
                <w:color w:val="007A87"/>
                <w:sz w:val="18"/>
              </w:rPr>
              <w:t>PARTIAL FILLS</w:t>
            </w:r>
          </w:p>
        </w:tc>
        <w:tc>
          <w:tcPr>
            <w:tcW w:type="dxa" w:w="2493"/>
          </w:tcPr>
          <w:p>
            <w:r>
              <w:rPr>
                <w:sz w:val="20"/>
              </w:rPr>
              <w:t>MOTION: Partial fills occur when there aren't enough shares available at the target price to fill the entire order. The OMS handles this: 12,000 shares filled at ₹2,501, order remains open for remaining 38,000. As more sellers enter at ₹2,501, additional fills occur. Each partial fill generates a separate execution report — the OMS aggregates all partials to the parent order for the portfolio manager's view.</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Execution quality metrics dashboard: slippage, fill rate, time to fill, benchmark comparison.</w:t>
            </w:r>
          </w:p>
        </w:tc>
        <w:tc>
          <w:tcPr>
            <w:tcW w:type="dxa" w:w="2493"/>
          </w:tcPr>
          <w:p>
            <w:pPr>
              <w:jc w:val="center"/>
            </w:pPr>
            <w:r>
              <w:rPr>
                <w:rFonts w:ascii="Calibri" w:hAnsi="Calibri"/>
                <w:b/>
                <w:i w:val="0"/>
                <w:color w:val="007A87"/>
                <w:sz w:val="18"/>
              </w:rPr>
              <w:t>RECAP E9 4 V1</w:t>
            </w:r>
          </w:p>
        </w:tc>
        <w:tc>
          <w:tcPr>
            <w:tcW w:type="dxa" w:w="2493"/>
          </w:tcPr>
          <w:p>
            <w:r>
              <w:rPr>
                <w:sz w:val="20"/>
              </w:rPr>
              <w:t>RYO: Execution quality is measured by: slippage vs benchmark, fill rate (% of order filled), time to fill, and market impact. ARIA: Brokers report these metrics to institutional clients in TCA reports. In Video 2, we cover what happens the moment execution occurs — the execution report flow and trade reporting obligations.</w:t>
            </w:r>
          </w:p>
        </w:tc>
      </w:tr>
    </w:tbl>
    <w:p/>
    <w:p>
      <w:r>
        <w:rPr>
          <w:rFonts w:ascii="Calibri" w:hAnsi="Calibri"/>
          <w:b/>
          <w:i w:val="0"/>
          <w:color w:val="007A87"/>
          <w:sz w:val="20"/>
        </w:rPr>
        <w:t xml:space="preserve">▶ Transition: </w:t>
      </w:r>
      <w:r>
        <w:rPr>
          <w:rFonts w:ascii="Calibri" w:hAnsi="Calibri"/>
          <w:b w:val="0"/>
          <w:i/>
          <w:color w:val="404040"/>
          <w:sz w:val="20"/>
        </w:rPr>
        <w:t>Next — E9.4 Video 2: The Execution Report and Trade Reporting</w:t>
      </w:r>
    </w:p>
    <w:p/>
    <w:p>
      <w:pPr>
        <w:spacing w:before="120"/>
        <w:shd w:val="clear" w:color="auto" w:fill="101C4F"/>
      </w:pPr>
      <w:r>
        <w:rPr>
          <w:rFonts w:ascii="Calibri" w:hAnsi="Calibri"/>
          <w:b/>
          <w:i w:val="0"/>
          <w:color w:val="FFFFFF"/>
          <w:sz w:val="24"/>
        </w:rPr>
        <w:t xml:space="preserve">  E9.4: Trade Execution — Quality, Reporting, and Capture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Execution — Quality, Reporting, and Capture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execution stage including execution channels, execution quality measurement, and how execution reports flow from the exchange to operations systems.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Process an execution report through the trade reporting and capture chain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content of an execution report, explain how it flows to operations, and identify the key data fields captured at this stage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E9.4 Video 1: Execution Quality</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E9.4 Video 3: Trade Capture System Deep-Dive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FIX ExecutionReport (MsgType 8) message arriving at broker OMS. Animated alert on operations blotter.</w:t>
            </w:r>
          </w:p>
        </w:tc>
        <w:tc>
          <w:tcPr>
            <w:tcW w:type="dxa" w:w="2493"/>
          </w:tcPr>
          <w:p>
            <w:pPr>
              <w:jc w:val="center"/>
            </w:pPr>
            <w:r>
              <w:rPr>
                <w:rFonts w:ascii="Calibri" w:hAnsi="Calibri"/>
                <w:b/>
                <w:i w:val="0"/>
                <w:color w:val="007A87"/>
                <w:sz w:val="18"/>
              </w:rPr>
              <w:t>EXEC REPORT INTRO</w:t>
            </w:r>
          </w:p>
        </w:tc>
        <w:tc>
          <w:tcPr>
            <w:tcW w:type="dxa" w:w="2493"/>
          </w:tcPr>
          <w:p>
            <w:r>
              <w:rPr>
                <w:sz w:val="20"/>
              </w:rPr>
              <w:t>ARIA: The moment a trade executes, the exchange generates a FIX ExecutionReport — message type 8. This is the official record that a trade occurred. It flows simultaneously to: the buyer's broker OMS, the seller's broker OMS, the exchange's own systems, and, for listed derivatives, the clearing corporation.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FIX message fields highlighted: ExecID (unique report ID), OrderID, ClOrdID, ExecType (F=Fill, 1=Partial), OrdStatus, Symbol, Side, LastQty (shares just filled), LastPx (fill price), CumQty (total filled), AvgPx (average fill price), TransactTime (exchange timestamp).</w:t>
            </w:r>
          </w:p>
        </w:tc>
        <w:tc>
          <w:tcPr>
            <w:tcW w:type="dxa" w:w="2493"/>
          </w:tcPr>
          <w:p>
            <w:pPr>
              <w:jc w:val="center"/>
            </w:pPr>
            <w:r>
              <w:rPr>
                <w:rFonts w:ascii="Calibri" w:hAnsi="Calibri"/>
                <w:b/>
                <w:i w:val="0"/>
                <w:color w:val="007A87"/>
                <w:sz w:val="18"/>
              </w:rPr>
              <w:t>EXEC REPORT FIELDS</w:t>
            </w:r>
          </w:p>
        </w:tc>
        <w:tc>
          <w:tcPr>
            <w:tcW w:type="dxa" w:w="2493"/>
          </w:tcPr>
          <w:p>
            <w:r>
              <w:rPr>
                <w:sz w:val="20"/>
              </w:rPr>
              <w:t>KAVI: Key execution report fields: ExecID — unique identifier for this report. ExecType — F for a complete fill, 1 for a partial fill. LastQty — shares filled in this report. LastPx — price of this fill. CumQty — total shares filled so far on this order. AvgPx — average fill price across all partial fills. TransactTime — the exact exchange timestamp of execution — critical for regulatory reporting.</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NSE trade reporting: all executions reported to NSE's surveillance system, SEBI's data warehouse, and published in end-of-day trade files.</w:t>
            </w:r>
          </w:p>
        </w:tc>
        <w:tc>
          <w:tcPr>
            <w:tcW w:type="dxa" w:w="2493"/>
          </w:tcPr>
          <w:p>
            <w:pPr>
              <w:jc w:val="center"/>
            </w:pPr>
            <w:r>
              <w:rPr>
                <w:rFonts w:ascii="Calibri" w:hAnsi="Calibri"/>
                <w:b/>
                <w:i w:val="0"/>
                <w:color w:val="007A87"/>
                <w:sz w:val="18"/>
              </w:rPr>
              <w:t>EXCHANGE REPORTING</w:t>
            </w:r>
          </w:p>
        </w:tc>
        <w:tc>
          <w:tcPr>
            <w:tcW w:type="dxa" w:w="2493"/>
          </w:tcPr>
          <w:p>
            <w:r>
              <w:rPr>
                <w:sz w:val="20"/>
              </w:rPr>
              <w:t>RYO: Trade reporting at the exchange level: NSE reports all executed trades to SEBI's surveillance systems in real time. This allows SEBI to monitor for market manipulation, insider trading, and unusual patterns. End-of-day, NSE publishes complete trade files — available to all participants for reconciliation. Every trade on NSE is time-stamped, recorded, and regulatorily reported automatically.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OMS blotter update: execution report received, order status changes to Filled. Position update triggered. P&amp;L calculation running.</w:t>
            </w:r>
          </w:p>
        </w:tc>
        <w:tc>
          <w:tcPr>
            <w:tcW w:type="dxa" w:w="2493"/>
          </w:tcPr>
          <w:p>
            <w:pPr>
              <w:jc w:val="center"/>
            </w:pPr>
            <w:r>
              <w:rPr>
                <w:rFonts w:ascii="Calibri" w:hAnsi="Calibri"/>
                <w:b/>
                <w:i w:val="0"/>
                <w:color w:val="007A87"/>
                <w:sz w:val="18"/>
              </w:rPr>
              <w:t>OMS RECEIPT</w:t>
            </w:r>
          </w:p>
        </w:tc>
        <w:tc>
          <w:tcPr>
            <w:tcW w:type="dxa" w:w="2493"/>
          </w:tcPr>
          <w:p>
            <w:r>
              <w:rPr>
                <w:sz w:val="20"/>
              </w:rPr>
              <w:t>ARIA: When the OMS receives the execution report: order status updates to Filled or Partially Filled. The position management module updates the portfolio manager's live position. P&amp;L is calculated using the fill price vs the previous close. The execution report is queued for transmission to the operations team's trade capture system. All within milliseconds.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FIX AllocationInstruction: parent order 10,000 shares allocated across 3 client accounts — 3,000 / 4,000 / 3,000 shares each with respective average prices.</w:t>
            </w:r>
          </w:p>
        </w:tc>
        <w:tc>
          <w:tcPr>
            <w:tcW w:type="dxa" w:w="2493"/>
          </w:tcPr>
          <w:p>
            <w:pPr>
              <w:jc w:val="center"/>
            </w:pPr>
            <w:r>
              <w:rPr>
                <w:rFonts w:ascii="Calibri" w:hAnsi="Calibri"/>
                <w:b/>
                <w:i w:val="0"/>
                <w:color w:val="007A87"/>
                <w:sz w:val="18"/>
              </w:rPr>
              <w:t>ALLOCATION MSG</w:t>
            </w:r>
          </w:p>
        </w:tc>
        <w:tc>
          <w:tcPr>
            <w:tcW w:type="dxa" w:w="2493"/>
          </w:tcPr>
          <w:p>
            <w:r>
              <w:rPr>
                <w:sz w:val="20"/>
              </w:rPr>
              <w:t>KAVI: Allocation — for institutional managers trading multiple portfolios with one parent order: once execution is complete, an Allocation Instruction is sent to the broker specifying how the filled shares are divided between client accounts. Average price allocation: all accounts get the same weighted average fill price, regardless of which partial fill they 'got'. This must be submitted promptly — SEBI requires same-day allocation for institutional trades.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404040"/>
                <w:sz w:val="20"/>
              </w:rPr>
              <w:t>MOTION</w:t>
            </w:r>
          </w:p>
        </w:tc>
        <w:tc>
          <w:tcPr>
            <w:tcW w:type="dxa" w:w="2493"/>
          </w:tcPr>
          <w:p>
            <w:r>
              <w:rPr>
                <w:sz w:val="20"/>
              </w:rPr>
              <w:t>Execution Report → OMS → Position Update → Allocation flow.</w:t>
            </w:r>
          </w:p>
        </w:tc>
        <w:tc>
          <w:tcPr>
            <w:tcW w:type="dxa" w:w="2493"/>
          </w:tcPr>
          <w:p>
            <w:pPr>
              <w:jc w:val="center"/>
            </w:pPr>
            <w:r>
              <w:rPr>
                <w:rFonts w:ascii="Calibri" w:hAnsi="Calibri"/>
                <w:b/>
                <w:i w:val="0"/>
                <w:color w:val="007A87"/>
                <w:sz w:val="18"/>
              </w:rPr>
              <w:t>RECAP E9 4 V2</w:t>
            </w:r>
          </w:p>
        </w:tc>
        <w:tc>
          <w:tcPr>
            <w:tcW w:type="dxa" w:w="2493"/>
          </w:tcPr>
          <w:p>
            <w:r>
              <w:rPr>
                <w:sz w:val="20"/>
              </w:rPr>
              <w:t>RYO: Execution report chain: Exchange generates FIX ExecutionReport → OMS receives and updates order status → positions updated → allocations sent to broker. MOTION: In Video 3 we go deeper into the trade capture system — how the execution report becomes a full trade record with all the fields needed for settlement.</w:t>
            </w:r>
          </w:p>
        </w:tc>
      </w:tr>
    </w:tbl>
    <w:p/>
    <w:p>
      <w:r>
        <w:rPr>
          <w:rFonts w:ascii="Calibri" w:hAnsi="Calibri"/>
          <w:b/>
          <w:i w:val="0"/>
          <w:color w:val="007A87"/>
          <w:sz w:val="20"/>
        </w:rPr>
        <w:t xml:space="preserve">▶ Transition: </w:t>
      </w:r>
      <w:r>
        <w:rPr>
          <w:rFonts w:ascii="Calibri" w:hAnsi="Calibri"/>
          <w:b w:val="0"/>
          <w:i/>
          <w:color w:val="404040"/>
          <w:sz w:val="20"/>
        </w:rPr>
        <w:t>Next — E9.4 Video 3: Trade Capture System Deep-Dive</w:t>
      </w:r>
    </w:p>
    <w:p/>
    <w:p>
      <w:pPr>
        <w:spacing w:before="120"/>
        <w:shd w:val="clear" w:color="auto" w:fill="101C4F"/>
      </w:pPr>
      <w:r>
        <w:rPr>
          <w:rFonts w:ascii="Calibri" w:hAnsi="Calibri"/>
          <w:b/>
          <w:i w:val="0"/>
          <w:color w:val="FFFFFF"/>
          <w:sz w:val="24"/>
        </w:rPr>
        <w:t xml:space="preserve">  E9.4: Trade Execution — Quality, Reporting, and Capture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E9.4</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Execution — Quality, Reporting, and Capture</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execution stage including execution channels, execution quality measurement, and how execution reports flow from the exchange to operations systems.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the trade ticket fields to downstream settlement and reconciliation requirements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all fields in a complete trade ticket and explain why each field is required for settlement and reconciliation</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E9.4 Video 2: Execution Report and Trade Reporting</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E9.5 Video 1: Introduction to Trade Enrichment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Trade Capture System screen: execution report received, trade ticket being auto-populated from reference data.</w:t>
            </w:r>
          </w:p>
        </w:tc>
        <w:tc>
          <w:tcPr>
            <w:tcW w:type="dxa" w:w="2493"/>
          </w:tcPr>
          <w:p>
            <w:pPr>
              <w:jc w:val="center"/>
            </w:pPr>
            <w:r>
              <w:rPr>
                <w:rFonts w:ascii="Calibri" w:hAnsi="Calibri"/>
                <w:b/>
                <w:i w:val="0"/>
                <w:color w:val="007A87"/>
                <w:sz w:val="18"/>
              </w:rPr>
              <w:t>TCS INTRO</w:t>
            </w:r>
          </w:p>
        </w:tc>
        <w:tc>
          <w:tcPr>
            <w:tcW w:type="dxa" w:w="2493"/>
          </w:tcPr>
          <w:p>
            <w:r>
              <w:rPr>
                <w:sz w:val="20"/>
              </w:rPr>
              <w:t>KAVI: The Trade Capture System — TCS — is where execution reports become formal trade records. The TCS takes the raw execution report and enriches it with reference data to create a complete trade ticket that can be used for all downstream processes.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Trade ticket form: all fields highlighted — Trade ID, Trade Date, Settlement Date, Security (ISIN + description), Counterparty, Quantity, Price, Gross Value, Accrued Interest (bonds), Net Value, Commission, Net Net Value, Currency, Exchange, Portfolio/Account, Trader, Broker, Custodian.</w:t>
            </w:r>
          </w:p>
        </w:tc>
        <w:tc>
          <w:tcPr>
            <w:tcW w:type="dxa" w:w="2493"/>
          </w:tcPr>
          <w:p>
            <w:pPr>
              <w:jc w:val="center"/>
            </w:pPr>
            <w:r>
              <w:rPr>
                <w:rFonts w:ascii="Calibri" w:hAnsi="Calibri"/>
                <w:b/>
                <w:i w:val="0"/>
                <w:color w:val="007A87"/>
                <w:sz w:val="18"/>
              </w:rPr>
              <w:t>TRADE TICKET FIELDS</w:t>
            </w:r>
          </w:p>
        </w:tc>
        <w:tc>
          <w:tcPr>
            <w:tcW w:type="dxa" w:w="2493"/>
          </w:tcPr>
          <w:p>
            <w:r>
              <w:rPr>
                <w:sz w:val="20"/>
              </w:rPr>
              <w:t>ARIA: The complete trade ticket contains: Trade ID (unique internal reference), Trade Date (T+0), Settlement Date (T+1 for equities in India), Security details from ISIN (name, exchange, currency, tick size), Counterparty broker, Quantity and price, Gross trade value (quantity × price), For bonds: accrued interest added. Commission. Net trade value. Settlement currency. Which custodian account to use.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Three downstream requirement boxes: Settlement (needs: ISIN, counterparty, settlement date, custodian), Reconciliation (needs: trade ID, quantity, price, account), Regulatory Reporting (needs: trade date, time, exchange, counterparty LEI).</w:t>
            </w:r>
          </w:p>
        </w:tc>
        <w:tc>
          <w:tcPr>
            <w:tcW w:type="dxa" w:w="2493"/>
          </w:tcPr>
          <w:p>
            <w:pPr>
              <w:jc w:val="center"/>
            </w:pPr>
            <w:r>
              <w:rPr>
                <w:rFonts w:ascii="Calibri" w:hAnsi="Calibri"/>
                <w:b/>
                <w:i w:val="0"/>
                <w:color w:val="007A87"/>
                <w:sz w:val="18"/>
              </w:rPr>
              <w:t>WHY EACH FIELD</w:t>
            </w:r>
          </w:p>
        </w:tc>
        <w:tc>
          <w:tcPr>
            <w:tcW w:type="dxa" w:w="2493"/>
          </w:tcPr>
          <w:p>
            <w:r>
              <w:rPr>
                <w:sz w:val="20"/>
              </w:rPr>
              <w:t>RYO: Every field serves a purpose. ISIN — settlement systems need the standardized security identifier. Settlement Date — custodian must know when to move assets. Counterparty LEI — Legal Entity Identifier needed for SEBI and EMIR transaction reporting. Custodian account — tells the settlement instruction where to deliver or receive. Commission — for P&amp;L accounting. Accrued interest — for bond settlement, the buyer pays the seller for interest earned since the last coupon.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System map: Exchange Trade ID → Broker Internal Trade ID → Allocation ID → Settlement Reference. Each system uses its own ID but links to upstream IDs.</w:t>
            </w:r>
          </w:p>
        </w:tc>
        <w:tc>
          <w:tcPr>
            <w:tcW w:type="dxa" w:w="2493"/>
          </w:tcPr>
          <w:p>
            <w:pPr>
              <w:jc w:val="center"/>
            </w:pPr>
            <w:r>
              <w:rPr>
                <w:rFonts w:ascii="Calibri" w:hAnsi="Calibri"/>
                <w:b/>
                <w:i w:val="0"/>
                <w:color w:val="007A87"/>
                <w:sz w:val="18"/>
              </w:rPr>
              <w:t>TRADE ID HIERARCHY</w:t>
            </w:r>
          </w:p>
        </w:tc>
        <w:tc>
          <w:tcPr>
            <w:tcW w:type="dxa" w:w="2493"/>
          </w:tcPr>
          <w:p>
            <w:r>
              <w:rPr>
                <w:sz w:val="20"/>
              </w:rPr>
              <w:t>KAVI: Trade ID hierarchy: every system assigns its own ID. The exchange issues an Exchange Trade ID. The broker's TCS assigns an internal Trade ID. After allocation, each allocated block gets an Allocation ID. The custodian assigns a Settlement Reference. Reconciliation depends on being able to link all these IDs back to the same underlying trade. Missing or broken ID linkages cause reconciliation breaks.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Trade book: end of day summary. All trades captured, allocated, and sent to enrichment queue. Count: 847 trades. STP rate: 96.4%. Breaks: 31 trades needing manual intervention.</w:t>
            </w:r>
          </w:p>
        </w:tc>
        <w:tc>
          <w:tcPr>
            <w:tcW w:type="dxa" w:w="2493"/>
          </w:tcPr>
          <w:p>
            <w:pPr>
              <w:jc w:val="center"/>
            </w:pPr>
            <w:r>
              <w:rPr>
                <w:rFonts w:ascii="Calibri" w:hAnsi="Calibri"/>
                <w:b/>
                <w:i w:val="0"/>
                <w:color w:val="007A87"/>
                <w:sz w:val="18"/>
              </w:rPr>
              <w:t>TRADE BOOK</w:t>
            </w:r>
          </w:p>
        </w:tc>
        <w:tc>
          <w:tcPr>
            <w:tcW w:type="dxa" w:w="2493"/>
          </w:tcPr>
          <w:p>
            <w:r>
              <w:rPr>
                <w:sz w:val="20"/>
              </w:rPr>
              <w:t>MOTION: End of day, the TCS produces a trade book — the complete record of all trades executed that day. 847 trades captured. 96.4% STP — 816 trades flowed through automatically. 31 breaks require manual intervention. Operations team priorities: resolve all 31 breaks before the enrichment and settlement deadlines tomorrow morning.</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Trade ticket field map with settlement, reconciliation, and reporting tags on each field.</w:t>
            </w:r>
          </w:p>
        </w:tc>
        <w:tc>
          <w:tcPr>
            <w:tcW w:type="dxa" w:w="2493"/>
          </w:tcPr>
          <w:p>
            <w:pPr>
              <w:jc w:val="center"/>
            </w:pPr>
            <w:r>
              <w:rPr>
                <w:rFonts w:ascii="Calibri" w:hAnsi="Calibri"/>
                <w:b/>
                <w:i w:val="0"/>
                <w:color w:val="007A87"/>
                <w:sz w:val="18"/>
              </w:rPr>
              <w:t>RECAP E9 4 V3</w:t>
            </w:r>
          </w:p>
        </w:tc>
        <w:tc>
          <w:tcPr>
            <w:tcW w:type="dxa" w:w="2493"/>
          </w:tcPr>
          <w:p>
            <w:r>
              <w:rPr>
                <w:sz w:val="20"/>
              </w:rPr>
              <w:t>ARIA: Every trade ticket field exists for a reason — settlement, reconciliation, or regulatory reporting. RYO: Up next: E9.5 — Trade Enrichment. We'll take a captured trade ticket and add the two critical enrichment layers: cash figuration (what the money values are) and SSI defaults (where the money and securities go).</w:t>
            </w:r>
          </w:p>
        </w:tc>
      </w:tr>
    </w:tbl>
    <w:p/>
    <w:p>
      <w:r>
        <w:rPr>
          <w:rFonts w:ascii="Calibri" w:hAnsi="Calibri"/>
          <w:b/>
          <w:i w:val="0"/>
          <w:color w:val="007A87"/>
          <w:sz w:val="20"/>
        </w:rPr>
        <w:t xml:space="preserve">▶ Transition: </w:t>
      </w:r>
      <w:r>
        <w:rPr>
          <w:rFonts w:ascii="Calibri" w:hAnsi="Calibri"/>
          <w:b w:val="0"/>
          <w:i/>
          <w:color w:val="404040"/>
          <w:sz w:val="20"/>
        </w:rPr>
        <w:t>Next — E9.5 Video 1: Introduction to Trade Enrichment</w:t>
      </w:r>
    </w:p>
    <w:p/>
    <w:p>
      <w:pPr>
        <w:pStyle w:val="Heading1"/>
      </w:pPr>
      <w:r>
        <w:rPr>
          <w:color w:val="101C4F"/>
        </w:rPr>
        <w:t>E9.5: Trade Enrichment — Cash Figuration and SSI Defaults</w:t>
      </w:r>
    </w:p>
    <w:p>
      <w:r>
        <w:rPr>
          <w:rFonts w:ascii="Calibri" w:hAnsi="Calibri"/>
          <w:b/>
          <w:i w:val="0"/>
          <w:color w:val="007A87"/>
          <w:sz w:val="22"/>
        </w:rPr>
        <w:t xml:space="preserve">Competency Statement: </w:t>
      </w:r>
      <w:r>
        <w:rPr>
          <w:rFonts w:ascii="Calibri" w:hAnsi="Calibri"/>
          <w:b w:val="0"/>
          <w:i w:val="0"/>
          <w:sz w:val="22"/>
        </w:rPr>
        <w:t>Describe the trade enrichment stage, including cash figuration (gross value, accrued interest, net settlement amount) and SSI defaulting (matching the correct settlement instructions to a trade).</w:t>
      </w:r>
    </w:p>
    <w:p/>
    <w:p>
      <w:pPr>
        <w:spacing w:before="120"/>
        <w:shd w:val="clear" w:color="auto" w:fill="101C4F"/>
      </w:pPr>
      <w:r>
        <w:rPr>
          <w:rFonts w:ascii="Calibri" w:hAnsi="Calibri"/>
          <w:b/>
          <w:i w:val="0"/>
          <w:color w:val="FFFFFF"/>
          <w:sz w:val="24"/>
        </w:rPr>
        <w:t xml:space="preserve">  E9.5: Trade Enrichment — Cash Figuration and SSI Defaults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Enrichment — Cash Figuration and SSI Defaults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enrichment stage, including cash figuration (gross value, accrued interest, net settlement amount) and SSI defaulting (matching the correct settlement instructions to a trade).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trade enrichment and explain the purpose of cash figuration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trade enrichment is, define cash figuration, and calculate the net settlement amount for both equity and bond trades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E9.4 Video 3: Trade Capture System</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E9.5 Video 2: SSI Defaults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Trade ticket at capture stage — some fields empty: Settlement Amount ?, SSI ?. Enrichment stage begins — fields filling in automatically.</w:t>
            </w:r>
          </w:p>
        </w:tc>
        <w:tc>
          <w:tcPr>
            <w:tcW w:type="dxa" w:w="2493"/>
          </w:tcPr>
          <w:p>
            <w:pPr>
              <w:jc w:val="center"/>
            </w:pPr>
            <w:r>
              <w:rPr>
                <w:rFonts w:ascii="Calibri" w:hAnsi="Calibri"/>
                <w:b/>
                <w:i w:val="0"/>
                <w:color w:val="007A87"/>
                <w:sz w:val="18"/>
              </w:rPr>
              <w:t>ENRICHMENT INTRO</w:t>
            </w:r>
          </w:p>
        </w:tc>
        <w:tc>
          <w:tcPr>
            <w:tcW w:type="dxa" w:w="2493"/>
          </w:tcPr>
          <w:p>
            <w:r>
              <w:rPr>
                <w:sz w:val="20"/>
              </w:rPr>
              <w:t>KAVI: A captured trade ticket has the execution details — security, quantity, price, counterparty. But it's not yet ready for settlement. Enrichment fills in the remaining fields: the precise cash amounts that will move, and the exact accounts those amounts will move to. Without enrichment, settlement can't happen.</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Equity trade: 1,000 shares TCS @ ₹3,650. Cash figuration: Gross Value = 1,000 × 3,650 = ₹36,50,000. Brokerage = 0.03% = ₹1,095. STT = 0.1% on sell = N/A (buy). NSE transaction charges = ₹36.50. GST on brokerage = ₹197. Net Settlement Amount = ₹36,51,328.50.</w:t>
            </w:r>
          </w:p>
        </w:tc>
        <w:tc>
          <w:tcPr>
            <w:tcW w:type="dxa" w:w="2493"/>
          </w:tcPr>
          <w:p>
            <w:pPr>
              <w:jc w:val="center"/>
            </w:pPr>
            <w:r>
              <w:rPr>
                <w:rFonts w:ascii="Calibri" w:hAnsi="Calibri"/>
                <w:b/>
                <w:i w:val="0"/>
                <w:color w:val="007A87"/>
                <w:sz w:val="18"/>
              </w:rPr>
              <w:t>CASH FIG EQUITY</w:t>
            </w:r>
          </w:p>
        </w:tc>
        <w:tc>
          <w:tcPr>
            <w:tcW w:type="dxa" w:w="2493"/>
          </w:tcPr>
          <w:p>
            <w:r>
              <w:rPr>
                <w:sz w:val="20"/>
              </w:rPr>
              <w:t>RYO: Cash figuration for an equity buy trade. Gross value: 1,000 shares × ₹3,650 = ₹36,50,000. Add brokerage (0.03% for institutional): ₹1,095. Add exchange transaction charges (0.00325% NSE): ₹118.63. Add SEBI turnover fee (0.0001%): ₹3.65. Add GST at 18% on brokerage + exchange charges: ₹218. Net settlement amount payable by buyer: ₹36,51,435. This precise figure must be calculated and populated in the trade ticket before the custodian can move cash.</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Bond trade: ₹1 crore face value 7.26% GS 2033 @ 98.50 (clean price). Cash figuration: Principal = ₹98,50,000. Accrued interest = 7.26% × 1cr × (73 days/365) = ₹1,45,193. Dirty price = ₹99,95,193.</w:t>
            </w:r>
          </w:p>
        </w:tc>
        <w:tc>
          <w:tcPr>
            <w:tcW w:type="dxa" w:w="2493"/>
          </w:tcPr>
          <w:p>
            <w:pPr>
              <w:jc w:val="center"/>
            </w:pPr>
            <w:r>
              <w:rPr>
                <w:rFonts w:ascii="Calibri" w:hAnsi="Calibri"/>
                <w:b/>
                <w:i w:val="0"/>
                <w:color w:val="007A87"/>
                <w:sz w:val="18"/>
              </w:rPr>
              <w:t>CASH FIG BOND</w:t>
            </w:r>
          </w:p>
        </w:tc>
        <w:tc>
          <w:tcPr>
            <w:tcW w:type="dxa" w:w="2493"/>
          </w:tcPr>
          <w:p>
            <w:r>
              <w:rPr>
                <w:sz w:val="20"/>
              </w:rPr>
              <w:t>ARIA: Cash figuration for a bond trade is more complex because bonds trade at a clean price but settle at a dirty price — clean price plus accrued interest. Example: ₹1 crore face value of 7.26% Government of India bond at 98.50 clean price. Principal = ₹98,50,000. Accrued interest = (7.26% × ₹1 crore × 73 days) ÷ 365 = ₹1,45,193. Dirty settlement price = ₹99,95,193. The buyer pays this amount; the seller receives it — because the buyer is compensating the seller for the 73 days of interest earned since the last coupon.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Tax and charges breakdown table for Indian equity trade: STT (0.1% on sell), CTT (commodities only), SEBI fee, NSE/BSE charges, GST on brokerage, stamp duty.</w:t>
            </w:r>
          </w:p>
        </w:tc>
        <w:tc>
          <w:tcPr>
            <w:tcW w:type="dxa" w:w="2493"/>
          </w:tcPr>
          <w:p>
            <w:pPr>
              <w:jc w:val="center"/>
            </w:pPr>
            <w:r>
              <w:rPr>
                <w:rFonts w:ascii="Calibri" w:hAnsi="Calibri"/>
                <w:b/>
                <w:i w:val="0"/>
                <w:color w:val="007A87"/>
                <w:sz w:val="18"/>
              </w:rPr>
              <w:t>FEES CHARGES</w:t>
            </w:r>
          </w:p>
        </w:tc>
        <w:tc>
          <w:tcPr>
            <w:tcW w:type="dxa" w:w="2493"/>
          </w:tcPr>
          <w:p>
            <w:r>
              <w:rPr>
                <w:sz w:val="20"/>
              </w:rPr>
              <w:t>KAVI: Indian-specific charges every operations professional must know: STT — Securities Transaction Tax — 0.1% on sell side for equities (delivery). SEBI turnover fees — 0.0001%. NSE transaction charges — 0.00335% each side. Stamp duty — 0.015% on buy side for delivery trades since 2020. GST at 18% applies to brokerage and exchange charges. Each charge must be calculated accurately — errors create reconciliation breaks and client billing disputes.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Reference data engine: security master file feeds dividend/coupon data. Day count rules engine. Charge schedule database. All feeding into automated cash figuration.</w:t>
            </w:r>
          </w:p>
        </w:tc>
        <w:tc>
          <w:tcPr>
            <w:tcW w:type="dxa" w:w="2493"/>
          </w:tcPr>
          <w:p>
            <w:pPr>
              <w:jc w:val="center"/>
            </w:pPr>
            <w:r>
              <w:rPr>
                <w:rFonts w:ascii="Calibri" w:hAnsi="Calibri"/>
                <w:b/>
                <w:i w:val="0"/>
                <w:color w:val="007A87"/>
                <w:sz w:val="18"/>
              </w:rPr>
              <w:t>CASH FIG SYSTEM</w:t>
            </w:r>
          </w:p>
        </w:tc>
        <w:tc>
          <w:tcPr>
            <w:tcW w:type="dxa" w:w="2493"/>
          </w:tcPr>
          <w:p>
            <w:r>
              <w:rPr>
                <w:sz w:val="20"/>
              </w:rPr>
              <w:t>MOTION: Cash figuration is automated — driven by reference data. The security master holds: tick size, lot size, exchange, day count convention for bonds. The charge schedule holds: brokerage rates, exchange fees, tax rates per instrument type. The cash figuration engine applies these rules to every trade automatically. Exception: reference data gaps — new securities, special instruments, or unusual transaction types — require manual cash fig.</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Cash figuration outputs: equity (gross → charges → net settlement amount), bond (clean → accrued → dirty price).</w:t>
            </w:r>
          </w:p>
        </w:tc>
        <w:tc>
          <w:tcPr>
            <w:tcW w:type="dxa" w:w="2493"/>
          </w:tcPr>
          <w:p>
            <w:pPr>
              <w:jc w:val="center"/>
            </w:pPr>
            <w:r>
              <w:rPr>
                <w:rFonts w:ascii="Calibri" w:hAnsi="Calibri"/>
                <w:b/>
                <w:i w:val="0"/>
                <w:color w:val="007A87"/>
                <w:sz w:val="18"/>
              </w:rPr>
              <w:t>RECAP E9 5 V1</w:t>
            </w:r>
          </w:p>
        </w:tc>
        <w:tc>
          <w:tcPr>
            <w:tcW w:type="dxa" w:w="2493"/>
          </w:tcPr>
          <w:p>
            <w:r>
              <w:rPr>
                <w:sz w:val="20"/>
              </w:rPr>
              <w:t>RYO: Cash figuration produces the precise settlement amounts: for equities, gross value adjusted for all charges; for bonds, clean price plus accrued interest. ARIA: In Video 2, we cover SSI defaults — the second enrichment step that tells settlement systems exactly which accounts to move money and securities to.</w:t>
            </w:r>
          </w:p>
        </w:tc>
      </w:tr>
    </w:tbl>
    <w:p/>
    <w:p>
      <w:r>
        <w:rPr>
          <w:rFonts w:ascii="Calibri" w:hAnsi="Calibri"/>
          <w:b/>
          <w:i w:val="0"/>
          <w:color w:val="007A87"/>
          <w:sz w:val="20"/>
        </w:rPr>
        <w:t xml:space="preserve">▶ Transition: </w:t>
      </w:r>
      <w:r>
        <w:rPr>
          <w:rFonts w:ascii="Calibri" w:hAnsi="Calibri"/>
          <w:b w:val="0"/>
          <w:i/>
          <w:color w:val="404040"/>
          <w:sz w:val="20"/>
        </w:rPr>
        <w:t>Next — E9.5 Video 2: SSI Defaults</w:t>
      </w:r>
    </w:p>
    <w:p/>
    <w:p>
      <w:pPr>
        <w:spacing w:before="120"/>
        <w:shd w:val="clear" w:color="auto" w:fill="101C4F"/>
      </w:pPr>
      <w:r>
        <w:rPr>
          <w:rFonts w:ascii="Calibri" w:hAnsi="Calibri"/>
          <w:b/>
          <w:i w:val="0"/>
          <w:color w:val="FFFFFF"/>
          <w:sz w:val="24"/>
        </w:rPr>
        <w:t xml:space="preserve">  E9.5: Trade Enrichment — Cash Figuration and SSI Defaults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Enrichment — Cash Figuration and SSI Defaults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enrichment stage, including cash figuration (gross value, accrued interest, net settlement amount) and SSI defaulting (matching the correct settlement instructions to a trade).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Apply SSI defaults to a trade record and identify the consequences of an incorrect SSI</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SSIs are, describe the SSI database, and apply the correct SSI to a trade and identify what happens when SSIs are wrong</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E9.5 Video 1: Cash Figuration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E9.5 Video 3: Enrichment Exceptions and SLA Management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SSI definition card: Standard Settlement Instructions — pre-agreed instructions specifying exact account numbers for delivering/receiving securities and cash.</w:t>
            </w:r>
          </w:p>
        </w:tc>
        <w:tc>
          <w:tcPr>
            <w:tcW w:type="dxa" w:w="2493"/>
          </w:tcPr>
          <w:p>
            <w:pPr>
              <w:jc w:val="center"/>
            </w:pPr>
            <w:r>
              <w:rPr>
                <w:rFonts w:ascii="Calibri" w:hAnsi="Calibri"/>
                <w:b/>
                <w:i w:val="0"/>
                <w:color w:val="007A87"/>
                <w:sz w:val="18"/>
              </w:rPr>
              <w:t>SSI INTRO</w:t>
            </w:r>
          </w:p>
        </w:tc>
        <w:tc>
          <w:tcPr>
            <w:tcW w:type="dxa" w:w="2493"/>
          </w:tcPr>
          <w:p>
            <w:r>
              <w:rPr>
                <w:sz w:val="20"/>
              </w:rPr>
              <w:t>KAVI: SSI stands for Standard Settlement Instructions. An SSI answers two questions: Where do the securities go? Where does the cash go? Every counterparty relationship has pre-agreed SSIs stored in a database. When a trade is enriched, the system looks up the correct SSI for the counterparty and instrument type and populates the trade ticket automatically.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SSI record: Counterparty Name, Counterparty LEI, Security Type (Equity/Bond/Govt Sec), Settlement Location (NSDL/CDSL/CCIL), Depository Participant (DP) ID, Beneficiary Account Number, Custodian BIC code, Cash Account (RTGS/NEFT account), Currency.</w:t>
            </w:r>
          </w:p>
        </w:tc>
        <w:tc>
          <w:tcPr>
            <w:tcW w:type="dxa" w:w="2493"/>
          </w:tcPr>
          <w:p>
            <w:pPr>
              <w:jc w:val="center"/>
            </w:pPr>
            <w:r>
              <w:rPr>
                <w:rFonts w:ascii="Calibri" w:hAnsi="Calibri"/>
                <w:b/>
                <w:i w:val="0"/>
                <w:color w:val="007A87"/>
                <w:sz w:val="18"/>
              </w:rPr>
              <w:t>SSI COMPONENTS</w:t>
            </w:r>
          </w:p>
        </w:tc>
        <w:tc>
          <w:tcPr>
            <w:tcW w:type="dxa" w:w="2493"/>
          </w:tcPr>
          <w:p>
            <w:r>
              <w:rPr>
                <w:sz w:val="20"/>
              </w:rPr>
              <w:t>RYO: An SSI record contains: Counterparty identifier (LEI). Security type — different SSIs for equities vs government securities vs corporate bonds. Settlement location — NSDL, CDSL, or CCIL for G-Secs. DP ID and beneficiary demat account number for securities. Custodian SWIFT BIC for international settlement. Cash account (RTGS account number) for domestic INR settlement. Each counterparty may have different SSIs for different security types — the enrichment system must select the right one.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SSI database management screen: 2,847 active SSI records. Last updated: today. Pending new counterparty SSI setup: 3 records. Failed SSI lookup: 7 trades flagged.</w:t>
            </w:r>
          </w:p>
        </w:tc>
        <w:tc>
          <w:tcPr>
            <w:tcW w:type="dxa" w:w="2493"/>
          </w:tcPr>
          <w:p>
            <w:pPr>
              <w:jc w:val="center"/>
            </w:pPr>
            <w:r>
              <w:rPr>
                <w:rFonts w:ascii="Calibri" w:hAnsi="Calibri"/>
                <w:b/>
                <w:i w:val="0"/>
                <w:color w:val="007A87"/>
                <w:sz w:val="18"/>
              </w:rPr>
              <w:t>SSI DATABASE</w:t>
            </w:r>
          </w:p>
        </w:tc>
        <w:tc>
          <w:tcPr>
            <w:tcW w:type="dxa" w:w="2493"/>
          </w:tcPr>
          <w:p>
            <w:r>
              <w:rPr>
                <w:sz w:val="20"/>
              </w:rPr>
              <w:t>ARIA: The SSI database is a critical piece of operations infrastructure. New counterparty SSIs must be set up before any trades with that counterparty can be enriched. SSI updates — when counterparties change their custodian or account — must be applied immediately. Stale or incorrect SSIs are the most common cause of settlement failures. In a large broker, the SSI team manages thousands of SSI records for hundreds of counterparties.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Wrong SSI scenario: securities delivered to wrong demat account. Counterparty claims non-receipt. Settlement fail triggered. Penalty charges, recall process.</w:t>
            </w:r>
          </w:p>
        </w:tc>
        <w:tc>
          <w:tcPr>
            <w:tcW w:type="dxa" w:w="2493"/>
          </w:tcPr>
          <w:p>
            <w:pPr>
              <w:jc w:val="center"/>
            </w:pPr>
            <w:r>
              <w:rPr>
                <w:rFonts w:ascii="Calibri" w:hAnsi="Calibri"/>
                <w:b/>
                <w:i w:val="0"/>
                <w:color w:val="007A87"/>
                <w:sz w:val="18"/>
              </w:rPr>
              <w:t>WRONG SSI</w:t>
            </w:r>
          </w:p>
        </w:tc>
        <w:tc>
          <w:tcPr>
            <w:tcW w:type="dxa" w:w="2493"/>
          </w:tcPr>
          <w:p>
            <w:r>
              <w:rPr>
                <w:sz w:val="20"/>
              </w:rPr>
              <w:t>KAVI: What happens with a wrong SSI: securities are delivered to the wrong demat account. The counterparty's custodian reports non-receipt. The trade is marked as a settlement failure. The delivering party faces: SEBI-mandated penalty charges (0.05–0.1% per day). A costly recall process — reversing the delivery from the wrong account, which may take days if the wrong account holder is unresponsive. Potential buy-in — the exchange buying the securities on behalf of the non-receiving counterparty at your cost.</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Enrichment engine: trade record arrives → counterparty lookup → security type filter → SSI record retrieved → all settlement fields populated → trade moves to validation queue.</w:t>
            </w:r>
          </w:p>
        </w:tc>
        <w:tc>
          <w:tcPr>
            <w:tcW w:type="dxa" w:w="2493"/>
          </w:tcPr>
          <w:p>
            <w:pPr>
              <w:jc w:val="center"/>
            </w:pPr>
            <w:r>
              <w:rPr>
                <w:rFonts w:ascii="Calibri" w:hAnsi="Calibri"/>
                <w:b/>
                <w:i w:val="0"/>
                <w:color w:val="007A87"/>
                <w:sz w:val="18"/>
              </w:rPr>
              <w:t>SSI DEFAULTING</w:t>
            </w:r>
          </w:p>
        </w:tc>
        <w:tc>
          <w:tcPr>
            <w:tcW w:type="dxa" w:w="2493"/>
          </w:tcPr>
          <w:p>
            <w:r>
              <w:rPr>
                <w:sz w:val="20"/>
              </w:rPr>
              <w:t>MOTION: SSI defaulting in the enrichment engine: trade record arrives with counterparty ID and security ISIN. System queries SSI database: 'Give me the SSI for counterparty X for equity securities.' SSI record retrieved. Settlement fields populated: DP ID, beneficiary account, cash account, custodian BIC. Trade moves to validation queue — fully enriched. Elapsed time: under 1 second for STP trades.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SSI enrichment chain: trade → SSI database lookup → settlement fields populated.</w:t>
            </w:r>
          </w:p>
        </w:tc>
        <w:tc>
          <w:tcPr>
            <w:tcW w:type="dxa" w:w="2493"/>
          </w:tcPr>
          <w:p>
            <w:pPr>
              <w:jc w:val="center"/>
            </w:pPr>
            <w:r>
              <w:rPr>
                <w:rFonts w:ascii="Calibri" w:hAnsi="Calibri"/>
                <w:b/>
                <w:i w:val="0"/>
                <w:color w:val="007A87"/>
                <w:sz w:val="18"/>
              </w:rPr>
              <w:t>RECAP E9 5 V2</w:t>
            </w:r>
          </w:p>
        </w:tc>
        <w:tc>
          <w:tcPr>
            <w:tcW w:type="dxa" w:w="2493"/>
          </w:tcPr>
          <w:p>
            <w:r>
              <w:rPr>
                <w:sz w:val="20"/>
              </w:rPr>
              <w:t>RYO: SSI enrichment: for every trade, the system looks up the pre-agreed SSI for the counterparty and instrument type, and populates the settlement account fields automatically. ARIA: SSI errors are the most common cause of settlement failures — maintaining a clean, current SSI database is a core operations responsibility. Video 3 covers what happens when enrichment fails and how the SLA clock forces resolution.</w:t>
            </w:r>
          </w:p>
        </w:tc>
      </w:tr>
    </w:tbl>
    <w:p/>
    <w:p>
      <w:r>
        <w:rPr>
          <w:rFonts w:ascii="Calibri" w:hAnsi="Calibri"/>
          <w:b/>
          <w:i w:val="0"/>
          <w:color w:val="007A87"/>
          <w:sz w:val="20"/>
        </w:rPr>
        <w:t xml:space="preserve">▶ Transition: </w:t>
      </w:r>
      <w:r>
        <w:rPr>
          <w:rFonts w:ascii="Calibri" w:hAnsi="Calibri"/>
          <w:b w:val="0"/>
          <w:i/>
          <w:color w:val="404040"/>
          <w:sz w:val="20"/>
        </w:rPr>
        <w:t>Next — E9.5 Video 3: Enrichment Exceptions and SLA Management</w:t>
      </w:r>
    </w:p>
    <w:p/>
    <w:p>
      <w:pPr>
        <w:spacing w:before="120"/>
        <w:shd w:val="clear" w:color="auto" w:fill="101C4F"/>
      </w:pPr>
      <w:r>
        <w:rPr>
          <w:rFonts w:ascii="Calibri" w:hAnsi="Calibri"/>
          <w:b/>
          <w:i w:val="0"/>
          <w:color w:val="FFFFFF"/>
          <w:sz w:val="24"/>
        </w:rPr>
        <w:t xml:space="preserve">  E9.5: Trade Enrichment — Cash Figuration and SSI Defaults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E9.5</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Enrichment — Cash Figuration and SSI Defaults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enrichment stage, including cash figuration (gross value, accrued interest, net settlement amount) and SSI defaulting (matching the correct settlement instructions to a trade).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enrichment failures to settlement risk and operational SLA management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identify enrichment exception types, describe the SLA framework for pre-settlement processing, and explain the escalation process for unresolved enrichment breaks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E9.5 Video 2: SSI Defaults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E9.6 Video 1: Trade Validation — Automated Checks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Exception queue: 7 trades flagged. Reasons: 3× Missing SSI (new counterparty), 2× Cash Fig mismatch (reference data error), 1× Unknown ISIN, 1× Settlement date holiday conflict.</w:t>
            </w:r>
          </w:p>
        </w:tc>
        <w:tc>
          <w:tcPr>
            <w:tcW w:type="dxa" w:w="2493"/>
          </w:tcPr>
          <w:p>
            <w:pPr>
              <w:jc w:val="center"/>
            </w:pPr>
            <w:r>
              <w:rPr>
                <w:rFonts w:ascii="Calibri" w:hAnsi="Calibri"/>
                <w:b/>
                <w:i w:val="0"/>
                <w:color w:val="007A87"/>
                <w:sz w:val="18"/>
              </w:rPr>
              <w:t>ENRICHMENT EXCEPTIONS</w:t>
            </w:r>
          </w:p>
        </w:tc>
        <w:tc>
          <w:tcPr>
            <w:tcW w:type="dxa" w:w="2493"/>
          </w:tcPr>
          <w:p>
            <w:r>
              <w:rPr>
                <w:sz w:val="20"/>
              </w:rPr>
              <w:t>ARIA: Even with high STP rates, a portion of trades fail automatic enrichment. Common exception types: Missing SSI — counterparty is new or SSI setup is incomplete. Cash figuration mismatch — reference data error, e.g., wrong tick size or day count convention in the security master. Unknown ISIN — security not yet loaded in reference data. Settlement date error — system calculated settlement on a public holiday and must be rolled to the next business day.</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SLA timeline: Trade executes T+0 10:00 → Capture SLA 10:30 → Enrichment SLA 12:00 → Validation SLA 14:00 → Confirmation SLA 16:00 → Settlement Instruction SLA 17:00.</w:t>
            </w:r>
          </w:p>
        </w:tc>
        <w:tc>
          <w:tcPr>
            <w:tcW w:type="dxa" w:w="2493"/>
          </w:tcPr>
          <w:p>
            <w:pPr>
              <w:jc w:val="center"/>
            </w:pPr>
            <w:r>
              <w:rPr>
                <w:rFonts w:ascii="Calibri" w:hAnsi="Calibri"/>
                <w:b/>
                <w:i w:val="0"/>
                <w:color w:val="007A87"/>
                <w:sz w:val="18"/>
              </w:rPr>
              <w:t>SLA CLOCK</w:t>
            </w:r>
          </w:p>
        </w:tc>
        <w:tc>
          <w:tcPr>
            <w:tcW w:type="dxa" w:w="2493"/>
          </w:tcPr>
          <w:p>
            <w:r>
              <w:rPr>
                <w:sz w:val="20"/>
              </w:rPr>
              <w:t>KAVI: The SLA clock runs from trade execution. Typical NSE/BSE T+1 settlement SLAs: capture by 10:30 AM, enrichment complete by 12:00 PM, validation complete by 2:00 PM, confirmation received by 4:00 PM, settlement instructions to custodian by 5:00 PM. Miss any deadline and the domino effect pushes the trade toward a settlement fail. The operations team tracks SLA compliance on a live dashboard.</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Operations analyst resolving exception: pulls up trade, identifies missing SSI, contacts counterparty's ops team via phone, obtains SSI, manually enters into database, reprocesses trade.</w:t>
            </w:r>
          </w:p>
        </w:tc>
        <w:tc>
          <w:tcPr>
            <w:tcW w:type="dxa" w:w="2493"/>
          </w:tcPr>
          <w:p>
            <w:pPr>
              <w:jc w:val="center"/>
            </w:pPr>
            <w:r>
              <w:rPr>
                <w:rFonts w:ascii="Calibri" w:hAnsi="Calibri"/>
                <w:b/>
                <w:i w:val="0"/>
                <w:color w:val="007A87"/>
                <w:sz w:val="18"/>
              </w:rPr>
              <w:t>EXCEPTION RESOLUTION</w:t>
            </w:r>
          </w:p>
        </w:tc>
        <w:tc>
          <w:tcPr>
            <w:tcW w:type="dxa" w:w="2493"/>
          </w:tcPr>
          <w:p>
            <w:r>
              <w:rPr>
                <w:sz w:val="20"/>
              </w:rPr>
              <w:t>RYO: Exception resolution workflow: analyst identifies the break type. For missing SSI: contact the counterparty's operations team immediately — request SSI. Set up the new SSI record in the database. Reprocess the trade through the enrichment engine. For unknown ISIN: contact the security master team to add the new security's reference data. For holiday conflict: manually override the settlement date to the next valid business day per SEBI holiday calendar.</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Escalation matrix: Unresolved by 12:00 → Senior analyst. Unresolved by 14:00 → Operations Manager. Unresolved by 16:00 → Head of Operations + Risk notification. Potential settlement fail notification to counterparty.</w:t>
            </w:r>
          </w:p>
        </w:tc>
        <w:tc>
          <w:tcPr>
            <w:tcW w:type="dxa" w:w="2493"/>
          </w:tcPr>
          <w:p>
            <w:pPr>
              <w:jc w:val="center"/>
            </w:pPr>
            <w:r>
              <w:rPr>
                <w:rFonts w:ascii="Calibri" w:hAnsi="Calibri"/>
                <w:b/>
                <w:i w:val="0"/>
                <w:color w:val="007A87"/>
                <w:sz w:val="18"/>
              </w:rPr>
              <w:t>ESCALATION</w:t>
            </w:r>
          </w:p>
        </w:tc>
        <w:tc>
          <w:tcPr>
            <w:tcW w:type="dxa" w:w="2493"/>
          </w:tcPr>
          <w:p>
            <w:r>
              <w:rPr>
                <w:sz w:val="20"/>
              </w:rPr>
              <w:t>ARIA: Escalation protocol: if an enrichment break isn't resolved within 2 hours of identification, it escalates to a senior analyst. If unresolved by 2 PM, it escalates to the Operations Manager, who can engage risk management and compliance. At 4 PM, if still unresolved, the Head of Operations is notified and the counterparty receives a pre-fail notification — formally alerting them that settlement may fail. This gives both sides time to prepare.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Dashboard: enrichment STP rate 96.2%, average enrichment time 4.2 minutes, exception volume 31, average resolution time 38 minutes.</w:t>
            </w:r>
          </w:p>
        </w:tc>
        <w:tc>
          <w:tcPr>
            <w:tcW w:type="dxa" w:w="2493"/>
          </w:tcPr>
          <w:p>
            <w:pPr>
              <w:jc w:val="center"/>
            </w:pPr>
            <w:r>
              <w:rPr>
                <w:rFonts w:ascii="Calibri" w:hAnsi="Calibri"/>
                <w:b/>
                <w:i w:val="0"/>
                <w:color w:val="007A87"/>
                <w:sz w:val="18"/>
              </w:rPr>
              <w:t>ENRICHMENT METRICS</w:t>
            </w:r>
          </w:p>
        </w:tc>
        <w:tc>
          <w:tcPr>
            <w:tcW w:type="dxa" w:w="2493"/>
          </w:tcPr>
          <w:p>
            <w:r>
              <w:rPr>
                <w:sz w:val="20"/>
              </w:rPr>
              <w:t>KAVI: Enrichment KPIs: STP rate (target 97%+), average enrichment time (target under 10 minutes), exception volume (trend analysis — rising exceptions signal data quality issues), average exception resolution time (target under 45 minutes). These metrics are reported daily to operations management and fed into the firm's operational risk framework.</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404040"/>
                <w:sz w:val="20"/>
              </w:rPr>
              <w:t>MOTION</w:t>
            </w:r>
          </w:p>
        </w:tc>
        <w:tc>
          <w:tcPr>
            <w:tcW w:type="dxa" w:w="2493"/>
          </w:tcPr>
          <w:p>
            <w:r>
              <w:rPr>
                <w:sz w:val="20"/>
              </w:rPr>
              <w:t>Full enrichment stage summary: cash fig + SSI → STP → exception queue → resolution → settlement-ready.</w:t>
            </w:r>
          </w:p>
        </w:tc>
        <w:tc>
          <w:tcPr>
            <w:tcW w:type="dxa" w:w="2493"/>
          </w:tcPr>
          <w:p>
            <w:pPr>
              <w:jc w:val="center"/>
            </w:pPr>
            <w:r>
              <w:rPr>
                <w:rFonts w:ascii="Calibri" w:hAnsi="Calibri"/>
                <w:b/>
                <w:i w:val="0"/>
                <w:color w:val="007A87"/>
                <w:sz w:val="18"/>
              </w:rPr>
              <w:t>RECAP E9 5 V3</w:t>
            </w:r>
          </w:p>
        </w:tc>
        <w:tc>
          <w:tcPr>
            <w:tcW w:type="dxa" w:w="2493"/>
          </w:tcPr>
          <w:p>
            <w:r>
              <w:rPr>
                <w:sz w:val="20"/>
              </w:rPr>
              <w:t>RYO: Enrichment stage complete: cash figuration produces exact settlement amounts; SSI defaulting populates settlement account details; STP handles 96%+ automatically; exceptions are triaged and resolved against SLA deadlines. MOTION: Next: E9.6 — Trade Validation. The enriched trade now goes through a rigorous checking process — automated rules and manual four-eyes review — before it's released for confirmation.</w:t>
            </w:r>
          </w:p>
        </w:tc>
      </w:tr>
    </w:tbl>
    <w:p/>
    <w:p>
      <w:r>
        <w:rPr>
          <w:rFonts w:ascii="Calibri" w:hAnsi="Calibri"/>
          <w:b/>
          <w:i w:val="0"/>
          <w:color w:val="007A87"/>
          <w:sz w:val="20"/>
        </w:rPr>
        <w:t xml:space="preserve">▶ Transition: </w:t>
      </w:r>
      <w:r>
        <w:rPr>
          <w:rFonts w:ascii="Calibri" w:hAnsi="Calibri"/>
          <w:b w:val="0"/>
          <w:i/>
          <w:color w:val="404040"/>
          <w:sz w:val="20"/>
        </w:rPr>
        <w:t>Next — E9.6 Video 1: Trade Validation — Automated Checks</w:t>
      </w:r>
    </w:p>
    <w:p/>
    <w:p>
      <w:pPr>
        <w:pStyle w:val="Heading1"/>
      </w:pPr>
      <w:r>
        <w:rPr>
          <w:color w:val="101C4F"/>
        </w:rPr>
        <w:t>E9.6: Trade Validation and Verification</w:t>
      </w:r>
    </w:p>
    <w:p>
      <w:r>
        <w:rPr>
          <w:rFonts w:ascii="Calibri" w:hAnsi="Calibri"/>
          <w:b/>
          <w:i w:val="0"/>
          <w:color w:val="007A87"/>
          <w:sz w:val="22"/>
        </w:rPr>
        <w:t xml:space="preserve">Competency Statement: </w:t>
      </w:r>
      <w:r>
        <w:rPr>
          <w:rFonts w:ascii="Calibri" w:hAnsi="Calibri"/>
          <w:b w:val="0"/>
          <w:i w:val="0"/>
          <w:sz w:val="22"/>
        </w:rPr>
        <w:t>Describe the validation and verification stages, including the automated rules-based checks performed at validation and the bilateral matching process at verification.</w:t>
      </w:r>
    </w:p>
    <w:p/>
    <w:p>
      <w:pPr>
        <w:spacing w:before="120"/>
        <w:shd w:val="clear" w:color="auto" w:fill="101C4F"/>
      </w:pPr>
      <w:r>
        <w:rPr>
          <w:rFonts w:ascii="Calibri" w:hAnsi="Calibri"/>
          <w:b/>
          <w:i w:val="0"/>
          <w:color w:val="FFFFFF"/>
          <w:sz w:val="24"/>
        </w:rPr>
        <w:t xml:space="preserve">  E9.6: Trade Validation and Verification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E9.6</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Validation and Verification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validation and verification stages, including the automated rules-based checks performed at validation and the bilateral matching process at verification.</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validation and describe the automated checks applied to enriched trades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validation checks for, list the main automated validation rules, and describe what happens when a trade fails validation</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E9.5 Video 3: Enrichment Exceptions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E9.6 Video 2: Trade Verification — Bilateral Matching</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Validation engine: enriched trade record enters → green/red check results on each field → pass → moves to verification queue.</w:t>
            </w:r>
          </w:p>
        </w:tc>
        <w:tc>
          <w:tcPr>
            <w:tcW w:type="dxa" w:w="2493"/>
          </w:tcPr>
          <w:p>
            <w:pPr>
              <w:jc w:val="center"/>
            </w:pPr>
            <w:r>
              <w:rPr>
                <w:rFonts w:ascii="Calibri" w:hAnsi="Calibri"/>
                <w:b/>
                <w:i w:val="0"/>
                <w:color w:val="007A87"/>
                <w:sz w:val="18"/>
              </w:rPr>
              <w:t>VALIDATION INTRO</w:t>
            </w:r>
          </w:p>
        </w:tc>
        <w:tc>
          <w:tcPr>
            <w:tcW w:type="dxa" w:w="2493"/>
          </w:tcPr>
          <w:p>
            <w:r>
              <w:rPr>
                <w:sz w:val="20"/>
              </w:rPr>
              <w:t>KAVI: Validation is the automated quality gate. A fully enriched trade record — with cash figures and SSIs — enters the validation engine, which runs a battery of checks. Every check must pass before the trade is allowed to move forward. Think of validation as the pre-flight checklist before a plane is cleared for takeoff.</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Checklist screen: all mandatory fields present? Trade ID ✓, ISIN ✓, Counterparty ✓, Settlement Date ✓, Cash Amount ✓, SSI ✓, Custodian ✓.</w:t>
            </w:r>
          </w:p>
        </w:tc>
        <w:tc>
          <w:tcPr>
            <w:tcW w:type="dxa" w:w="2493"/>
          </w:tcPr>
          <w:p>
            <w:pPr>
              <w:jc w:val="center"/>
            </w:pPr>
            <w:r>
              <w:rPr>
                <w:rFonts w:ascii="Calibri" w:hAnsi="Calibri"/>
                <w:b/>
                <w:i w:val="0"/>
                <w:color w:val="007A87"/>
                <w:sz w:val="18"/>
              </w:rPr>
              <w:t>COMPLETENESS CHECKS</w:t>
            </w:r>
          </w:p>
        </w:tc>
        <w:tc>
          <w:tcPr>
            <w:tcW w:type="dxa" w:w="2493"/>
          </w:tcPr>
          <w:p>
            <w:r>
              <w:rPr>
                <w:sz w:val="20"/>
              </w:rPr>
              <w:t>RYO: Completeness checks — are all mandatory fields populated? Trade ID, ISIN, counterparty LEI, settlement date, cash settlement amount, SSI, custodian BIC. If any mandatory field is missing, the trade fails with a 'Mandatory field missing' error and returns to the enrichment team.</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Rules engine firing: 1. Settlement date = T+1 business day? 2. Cash amount within tolerance of expected range? 3. ISIN valid and listed on correct exchange? 4. Counterparty is approved and not on sanctions list?</w:t>
            </w:r>
          </w:p>
        </w:tc>
        <w:tc>
          <w:tcPr>
            <w:tcW w:type="dxa" w:w="2493"/>
          </w:tcPr>
          <w:p>
            <w:pPr>
              <w:jc w:val="center"/>
            </w:pPr>
            <w:r>
              <w:rPr>
                <w:rFonts w:ascii="Calibri" w:hAnsi="Calibri"/>
                <w:b/>
                <w:i w:val="0"/>
                <w:color w:val="007A87"/>
                <w:sz w:val="18"/>
              </w:rPr>
              <w:t>BUSINESS RULE CHECKS</w:t>
            </w:r>
          </w:p>
        </w:tc>
        <w:tc>
          <w:tcPr>
            <w:tcW w:type="dxa" w:w="2493"/>
          </w:tcPr>
          <w:p>
            <w:r>
              <w:rPr>
                <w:sz w:val="20"/>
              </w:rPr>
              <w:t>ARIA: Business rule checks: Settlement date must be a valid business day — not a weekend or public holiday on the SEBI/NSE holiday calendar. Cash amount must be within tolerance of the independently calculated expected value. ISIN must be a valid, active security listed on the exchange where the trade was executed. Counterparty must be on the approved counterparty list and not flagged on sanctions screens (OFAC, UN, EU).</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Risk limit checks: trade value vs position limit → ✓. Net open position vs risk limit → ✓. Concentration limit (single security &gt; 10% of portfolio) → ✗ FAIL.</w:t>
            </w:r>
          </w:p>
        </w:tc>
        <w:tc>
          <w:tcPr>
            <w:tcW w:type="dxa" w:w="2493"/>
          </w:tcPr>
          <w:p>
            <w:pPr>
              <w:jc w:val="center"/>
            </w:pPr>
            <w:r>
              <w:rPr>
                <w:rFonts w:ascii="Calibri" w:hAnsi="Calibri"/>
                <w:b/>
                <w:i w:val="0"/>
                <w:color w:val="007A87"/>
                <w:sz w:val="18"/>
              </w:rPr>
              <w:t>LIMIT CHECKS</w:t>
            </w:r>
          </w:p>
        </w:tc>
        <w:tc>
          <w:tcPr>
            <w:tcW w:type="dxa" w:w="2493"/>
          </w:tcPr>
          <w:p>
            <w:r>
              <w:rPr>
                <w:sz w:val="20"/>
              </w:rPr>
              <w:t>KAVI: Limit checks — post-trade risk validation: does this trade cause any risk limit to be breached? Position limits: maximum number of shares or face value in a single security. Concentration limits: maximum % of portfolio in one stock. Counterparty exposure limits: maximum outstanding settlement value with a single counterparty. If a limit is breached, the trade is flagged for risk management review — it doesn't automatically fail, but it requires approval.</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Exception queue: 3 validation failures. Trade 001: Missing SSI (enrichment failure propagated). Trade 002: Settlement date falls on Republic Day holiday — auto-rolled to next day. Trade 003: Sanctions check flag — counterparty name similar to blocked entity, manual review required.</w:t>
            </w:r>
          </w:p>
        </w:tc>
        <w:tc>
          <w:tcPr>
            <w:tcW w:type="dxa" w:w="2493"/>
          </w:tcPr>
          <w:p>
            <w:pPr>
              <w:jc w:val="center"/>
            </w:pPr>
            <w:r>
              <w:rPr>
                <w:rFonts w:ascii="Calibri" w:hAnsi="Calibri"/>
                <w:b/>
                <w:i w:val="0"/>
                <w:color w:val="007A87"/>
                <w:sz w:val="18"/>
              </w:rPr>
              <w:t>VALIDATION FAILS</w:t>
            </w:r>
          </w:p>
        </w:tc>
        <w:tc>
          <w:tcPr>
            <w:tcW w:type="dxa" w:w="2493"/>
          </w:tcPr>
          <w:p>
            <w:r>
              <w:rPr>
                <w:sz w:val="20"/>
              </w:rPr>
              <w:t>MOTION: Real validation failures from today's blotter: Trade 001 — missing SSI, returned to enrichment team. Trade 002 — settlement date 26 January is Republic Day, system auto-rolls to 27 January, operations confirms. Trade 003 — counterparty name triggered a partial sanctions match, compliance team manually confirms it's a different entity — trade cleared after 15 minutes.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Validation rule categories: completeness, business rules, limit checks, sanctions. Pass → verification. Fail → exception queue.</w:t>
            </w:r>
          </w:p>
        </w:tc>
        <w:tc>
          <w:tcPr>
            <w:tcW w:type="dxa" w:w="2493"/>
          </w:tcPr>
          <w:p>
            <w:pPr>
              <w:jc w:val="center"/>
            </w:pPr>
            <w:r>
              <w:rPr>
                <w:rFonts w:ascii="Calibri" w:hAnsi="Calibri"/>
                <w:b/>
                <w:i w:val="0"/>
                <w:color w:val="007A87"/>
                <w:sz w:val="18"/>
              </w:rPr>
              <w:t>RECAP E9 6 V1</w:t>
            </w:r>
          </w:p>
        </w:tc>
        <w:tc>
          <w:tcPr>
            <w:tcW w:type="dxa" w:w="2493"/>
          </w:tcPr>
          <w:p>
            <w:r>
              <w:rPr>
                <w:sz w:val="20"/>
              </w:rPr>
              <w:t>RYO: Validation runs four check categories: completeness, business rules, risk limits, and sanctions. Passing trades move to verification. ARIA: In Video 2 we cover verification — where we match our trade record against the counterparty's record to confirm both sides agree on every detail.</w:t>
            </w:r>
          </w:p>
        </w:tc>
      </w:tr>
    </w:tbl>
    <w:p/>
    <w:p>
      <w:r>
        <w:rPr>
          <w:rFonts w:ascii="Calibri" w:hAnsi="Calibri"/>
          <w:b/>
          <w:i w:val="0"/>
          <w:color w:val="007A87"/>
          <w:sz w:val="20"/>
        </w:rPr>
        <w:t xml:space="preserve">▶ Transition: </w:t>
      </w:r>
      <w:r>
        <w:rPr>
          <w:rFonts w:ascii="Calibri" w:hAnsi="Calibri"/>
          <w:b w:val="0"/>
          <w:i/>
          <w:color w:val="404040"/>
          <w:sz w:val="20"/>
        </w:rPr>
        <w:t>Next — E9.6 Video 2: Trade Verification — Bilateral Matching</w:t>
      </w:r>
    </w:p>
    <w:p/>
    <w:p>
      <w:pPr>
        <w:spacing w:before="120"/>
        <w:shd w:val="clear" w:color="auto" w:fill="101C4F"/>
      </w:pPr>
      <w:r>
        <w:rPr>
          <w:rFonts w:ascii="Calibri" w:hAnsi="Calibri"/>
          <w:b/>
          <w:i w:val="0"/>
          <w:color w:val="FFFFFF"/>
          <w:sz w:val="24"/>
        </w:rPr>
        <w:t xml:space="preserve">  E9.6: Trade Validation and Verification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E9.6</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Validation and Verification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validation and verification stages, including the automated rules-based checks performed at validation and the bilateral matching process at verification.</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Perform bilateral trade verification and resolve a verification mismatch</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verification process, identify common mismatch types, and explain the resolution workflow for unmatched trades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E9.6 Video 1: Validation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E9.6 Video 3: Four-Eyes Review and Pre-Settlement Checks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Two trade records side by side: Buyer's broker record vs Seller's broker record. Matching engine comparing field by field.</w:t>
            </w:r>
          </w:p>
        </w:tc>
        <w:tc>
          <w:tcPr>
            <w:tcW w:type="dxa" w:w="2493"/>
          </w:tcPr>
          <w:p>
            <w:pPr>
              <w:jc w:val="center"/>
            </w:pPr>
            <w:r>
              <w:rPr>
                <w:rFonts w:ascii="Calibri" w:hAnsi="Calibri"/>
                <w:b/>
                <w:i w:val="0"/>
                <w:color w:val="007A87"/>
                <w:sz w:val="18"/>
              </w:rPr>
              <w:t>VERIFICATION INTRO</w:t>
            </w:r>
          </w:p>
        </w:tc>
        <w:tc>
          <w:tcPr>
            <w:tcW w:type="dxa" w:w="2493"/>
          </w:tcPr>
          <w:p>
            <w:r>
              <w:rPr>
                <w:sz w:val="20"/>
              </w:rPr>
              <w:t>ARIA: Verification is bilateral — both sides of the trade must agree. Your trade record is compared against your counterparty's trade record, field by field. If both sides captured the same trade identically — ISIN, quantity, price, settlement date — the trade matches. If any field differs, you have a mismatch that must be resolved before settlement.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Three matching platforms: NSE's trade confirmation system, SWIFT Accord (for international trades), Omgeo CTM (for institutional block trades). Logos and usage context.</w:t>
            </w:r>
          </w:p>
        </w:tc>
        <w:tc>
          <w:tcPr>
            <w:tcW w:type="dxa" w:w="2493"/>
          </w:tcPr>
          <w:p>
            <w:pPr>
              <w:jc w:val="center"/>
            </w:pPr>
            <w:r>
              <w:rPr>
                <w:rFonts w:ascii="Calibri" w:hAnsi="Calibri"/>
                <w:b/>
                <w:i w:val="0"/>
                <w:color w:val="007A87"/>
                <w:sz w:val="18"/>
              </w:rPr>
              <w:t>MATCHING PLATFORMS</w:t>
            </w:r>
          </w:p>
        </w:tc>
        <w:tc>
          <w:tcPr>
            <w:tcW w:type="dxa" w:w="2493"/>
          </w:tcPr>
          <w:p>
            <w:r>
              <w:rPr>
                <w:sz w:val="20"/>
              </w:rPr>
              <w:t>KAVI: In India, verification methods depend on the trade type. Exchange-traded equities: NSE and BSE publish end-of-day trade files that both brokers' systems reconcile against automatically — the exchange is the authoritative source. Institutional block trades: Omgeo Central Trade Manager (CTM) enables real-time bilateral trade matching. International settlement: SWIFT Accord or TradeSuite+ for cross-border confirmations.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Mismatch table: Price mismatch (your price ₹3,650 / their price ₹3,645), Quantity mismatch (1,000 vs 1,050 shares), Settlement date mismatch (T+1 vs T+2), ISIN mismatch (rare — different series code).</w:t>
            </w:r>
          </w:p>
        </w:tc>
        <w:tc>
          <w:tcPr>
            <w:tcW w:type="dxa" w:w="2493"/>
          </w:tcPr>
          <w:p>
            <w:pPr>
              <w:jc w:val="center"/>
            </w:pPr>
            <w:r>
              <w:rPr>
                <w:rFonts w:ascii="Calibri" w:hAnsi="Calibri"/>
                <w:b/>
                <w:i w:val="0"/>
                <w:color w:val="007A87"/>
                <w:sz w:val="18"/>
              </w:rPr>
              <w:t>MISMATCH TYPES</w:t>
            </w:r>
          </w:p>
        </w:tc>
        <w:tc>
          <w:tcPr>
            <w:tcW w:type="dxa" w:w="2493"/>
          </w:tcPr>
          <w:p>
            <w:r>
              <w:rPr>
                <w:sz w:val="20"/>
              </w:rPr>
              <w:t>RYO: Common mismatch types: Price mismatch — usually caused by one party recording the gross price and the other recording the net-of-commission price. The gross price should always be used for matching. Quantity mismatch — often from allocation errors or partial fill miscounting. Settlement date mismatch — one party applied a holiday roll differently. ISIN mismatch — rare, but occurs with multi-listed securities or when different share classes are confused.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Ops analyst: identifies mismatch → calls counterparty ops team → compares trade blotters → identifies source of error → amends incorrect record → resubmits for matching.</w:t>
            </w:r>
          </w:p>
        </w:tc>
        <w:tc>
          <w:tcPr>
            <w:tcW w:type="dxa" w:w="2493"/>
          </w:tcPr>
          <w:p>
            <w:pPr>
              <w:jc w:val="center"/>
            </w:pPr>
            <w:r>
              <w:rPr>
                <w:rFonts w:ascii="Calibri" w:hAnsi="Calibri"/>
                <w:b/>
                <w:i w:val="0"/>
                <w:color w:val="007A87"/>
                <w:sz w:val="18"/>
              </w:rPr>
              <w:t>RESOLUTION WORKFLOW</w:t>
            </w:r>
          </w:p>
        </w:tc>
        <w:tc>
          <w:tcPr>
            <w:tcW w:type="dxa" w:w="2493"/>
          </w:tcPr>
          <w:p>
            <w:r>
              <w:rPr>
                <w:sz w:val="20"/>
              </w:rPr>
              <w:t>ARIA: Mismatch resolution: the operations analyst contacts the counterparty's operations team immediately. Both parties compare their original execution reports — the exchange-generated FIX ExecutionReport is the authoritative reference. Usually one party has a data entry error. The error is corrected in the offending system, the amended record is resubmitted, and the match is achieved. Turnaround target: under 30 minutes.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Timeline: unmatched trade at T+0 16:00. Counterparty unreachable. T+1 09:00 still unmatched. Custodian cannot process. Settlement instruction not sent. Risk of settlement fail escalating.</w:t>
            </w:r>
          </w:p>
        </w:tc>
        <w:tc>
          <w:tcPr>
            <w:tcW w:type="dxa" w:w="2493"/>
          </w:tcPr>
          <w:p>
            <w:pPr>
              <w:jc w:val="center"/>
            </w:pPr>
            <w:r>
              <w:rPr>
                <w:rFonts w:ascii="Calibri" w:hAnsi="Calibri"/>
                <w:b/>
                <w:i w:val="0"/>
                <w:color w:val="007A87"/>
                <w:sz w:val="18"/>
              </w:rPr>
              <w:t>UNMATCHED RISK</w:t>
            </w:r>
          </w:p>
        </w:tc>
        <w:tc>
          <w:tcPr>
            <w:tcW w:type="dxa" w:w="2493"/>
          </w:tcPr>
          <w:p>
            <w:r>
              <w:rPr>
                <w:sz w:val="20"/>
              </w:rPr>
              <w:t>MOTION: Unmatched trades at end of T+0 become a settlement risk. If the trade is still unmatched at T+1 morning, the custodian cannot safely process the settlement instruction — they don't know if the counterparty agrees. In India's T+1 settlement cycle, there is very little buffer time. SEBI's regulations require both parties to match by a specified deadline — failure to match can result in compulsory close-out by the CCP.</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Verification: bilateral matching, mismatch types, resolution workflow.</w:t>
            </w:r>
          </w:p>
        </w:tc>
        <w:tc>
          <w:tcPr>
            <w:tcW w:type="dxa" w:w="2493"/>
          </w:tcPr>
          <w:p>
            <w:pPr>
              <w:jc w:val="center"/>
            </w:pPr>
            <w:r>
              <w:rPr>
                <w:rFonts w:ascii="Calibri" w:hAnsi="Calibri"/>
                <w:b/>
                <w:i w:val="0"/>
                <w:color w:val="007A87"/>
                <w:sz w:val="18"/>
              </w:rPr>
              <w:t>RECAP E9 6 V2</w:t>
            </w:r>
          </w:p>
        </w:tc>
        <w:tc>
          <w:tcPr>
            <w:tcW w:type="dxa" w:w="2493"/>
          </w:tcPr>
          <w:p>
            <w:r>
              <w:rPr>
                <w:sz w:val="20"/>
              </w:rPr>
              <w:t>KAVI: Verification = bilateral matching. Both sides must agree on ISIN, quantity, price, and settlement date. KAVI: Mismatches are common and must be resolved same-day. Video 3 covers the final pre-settlement controls — four-eyes review and the settlement instruction sign-off process.</w:t>
            </w:r>
          </w:p>
        </w:tc>
      </w:tr>
    </w:tbl>
    <w:p/>
    <w:p>
      <w:r>
        <w:rPr>
          <w:rFonts w:ascii="Calibri" w:hAnsi="Calibri"/>
          <w:b/>
          <w:i w:val="0"/>
          <w:color w:val="007A87"/>
          <w:sz w:val="20"/>
        </w:rPr>
        <w:t xml:space="preserve">▶ Transition: </w:t>
      </w:r>
      <w:r>
        <w:rPr>
          <w:rFonts w:ascii="Calibri" w:hAnsi="Calibri"/>
          <w:b w:val="0"/>
          <w:i/>
          <w:color w:val="404040"/>
          <w:sz w:val="20"/>
        </w:rPr>
        <w:t>Next — E9.6 Video 3: Four-Eyes Review and Pre-Settlement Checks</w:t>
      </w:r>
    </w:p>
    <w:p/>
    <w:p>
      <w:pPr>
        <w:spacing w:before="120"/>
        <w:shd w:val="clear" w:color="auto" w:fill="101C4F"/>
      </w:pPr>
      <w:r>
        <w:rPr>
          <w:rFonts w:ascii="Calibri" w:hAnsi="Calibri"/>
          <w:b/>
          <w:i w:val="0"/>
          <w:color w:val="FFFFFF"/>
          <w:sz w:val="24"/>
        </w:rPr>
        <w:t xml:space="preserve">  E9.6: Trade Validation and Verification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E9.6</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Validation and Verification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validation and verification stages, including the automated rules-based checks performed at validation and the bilateral matching process at verification.</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pre-settlement controls to settlement risk management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four-eyes review process, explain the settlement instruction sign-off control, and relate pre-settlement controls to the firm's operational risk framework</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E9.6 Video 2: Verification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E9.7 Video 1: Trade Confirmation — Purpose and Methods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Two operations analysts at adjacent desks: Analyst A enters settlement instruction, Analyst B reviews and approves before release.</w:t>
            </w:r>
          </w:p>
        </w:tc>
        <w:tc>
          <w:tcPr>
            <w:tcW w:type="dxa" w:w="2493"/>
          </w:tcPr>
          <w:p>
            <w:pPr>
              <w:jc w:val="center"/>
            </w:pPr>
            <w:r>
              <w:rPr>
                <w:rFonts w:ascii="Calibri" w:hAnsi="Calibri"/>
                <w:b/>
                <w:i w:val="0"/>
                <w:color w:val="007A87"/>
                <w:sz w:val="18"/>
              </w:rPr>
              <w:t>FOUR EYES INTRO</w:t>
            </w:r>
          </w:p>
        </w:tc>
        <w:tc>
          <w:tcPr>
            <w:tcW w:type="dxa" w:w="2493"/>
          </w:tcPr>
          <w:p>
            <w:r>
              <w:rPr>
                <w:sz w:val="20"/>
              </w:rPr>
              <w:t>RYO: Four-eyes review is the human control layer on top of automated validation. For any trade above a defined value threshold — typically ₹1 crore in institutional operations — a second analyst must review and approve the settlement instruction before it is released to the custodian. This catches errors that automated systems miss: wrong account number entered manually, transposition errors in cash amounts, incorrect counterparty selected.</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Checklist on settlement instruction: Counterparty name ✓, ISIN ✓, Quantity ✓, Settlement date ✓, Cash amount ✓, Custodian account ✓, Authorised signatory ✓.</w:t>
            </w:r>
          </w:p>
        </w:tc>
        <w:tc>
          <w:tcPr>
            <w:tcW w:type="dxa" w:w="2493"/>
          </w:tcPr>
          <w:p>
            <w:pPr>
              <w:jc w:val="center"/>
            </w:pPr>
            <w:r>
              <w:rPr>
                <w:rFonts w:ascii="Calibri" w:hAnsi="Calibri"/>
                <w:b/>
                <w:i w:val="0"/>
                <w:color w:val="007A87"/>
                <w:sz w:val="18"/>
              </w:rPr>
              <w:t>SETTLEMENT INSTRUCTION CHECK</w:t>
            </w:r>
          </w:p>
        </w:tc>
        <w:tc>
          <w:tcPr>
            <w:tcW w:type="dxa" w:w="2493"/>
          </w:tcPr>
          <w:p>
            <w:r>
              <w:rPr>
                <w:sz w:val="20"/>
              </w:rPr>
              <w:t>KAVI: The four-eyes review checklist for a settlement instruction: Counterparty name and LEI — does it match the verified trade? ISIN and quantity — exact match to confirmed trade? Settlement date — correct and valid? Cash amount — matches enriched and validated figure? Custodian account — correct SSI applied? Authorised signatory — is the instruction being sent from an authorised system with appropriate credentials? All seven must be confirmed before release.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Threshold table: Below ₹50 lakh — fully STP, no manual review. ₹50 lakh – ₹5 crore — single analyst sign-off. Above ₹5 crore — four-eyes required. Above ₹50 crore — Head of Operations approval.</w:t>
            </w:r>
          </w:p>
        </w:tc>
        <w:tc>
          <w:tcPr>
            <w:tcW w:type="dxa" w:w="2493"/>
          </w:tcPr>
          <w:p>
            <w:pPr>
              <w:jc w:val="center"/>
            </w:pPr>
            <w:r>
              <w:rPr>
                <w:rFonts w:ascii="Calibri" w:hAnsi="Calibri"/>
                <w:b/>
                <w:i w:val="0"/>
                <w:color w:val="007A87"/>
                <w:sz w:val="18"/>
              </w:rPr>
              <w:t>VALUE THRESHOLDS</w:t>
            </w:r>
          </w:p>
        </w:tc>
        <w:tc>
          <w:tcPr>
            <w:tcW w:type="dxa" w:w="2493"/>
          </w:tcPr>
          <w:p>
            <w:r>
              <w:rPr>
                <w:sz w:val="20"/>
              </w:rPr>
              <w:t>ARIA: Value thresholds for review levels: standard retail-size trades below ₹50 lakh are fully automated — no human review required. Institutional trades between ₹50 lakh and ₹5 crore require single analyst sign-off. Trades above ₹5 crore require four-eyes. For very large block trades above ₹50 crore, the Head of Operations provides final approval. These thresholds are defined in the firm's operational risk policy.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Audit trail screen: every action logged with user ID, timestamp, action type. Settlement instruction: entered by Analyst A at 14:32:18, approved by Analyst B at 14:44:55, released to custodian at 14:45:01.</w:t>
            </w:r>
          </w:p>
        </w:tc>
        <w:tc>
          <w:tcPr>
            <w:tcW w:type="dxa" w:w="2493"/>
          </w:tcPr>
          <w:p>
            <w:pPr>
              <w:jc w:val="center"/>
            </w:pPr>
            <w:r>
              <w:rPr>
                <w:rFonts w:ascii="Calibri" w:hAnsi="Calibri"/>
                <w:b/>
                <w:i w:val="0"/>
                <w:color w:val="007A87"/>
                <w:sz w:val="18"/>
              </w:rPr>
              <w:t>AUDIT TRAIL</w:t>
            </w:r>
          </w:p>
        </w:tc>
        <w:tc>
          <w:tcPr>
            <w:tcW w:type="dxa" w:w="2493"/>
          </w:tcPr>
          <w:p>
            <w:r>
              <w:rPr>
                <w:sz w:val="20"/>
              </w:rPr>
              <w:t>RYO: Every action in the pre-settlement process is logged with: user ID, timestamp, and action type. This audit trail is mandatory under SEBI's operational requirements. Regulators can ask to see the full audit trail for any settlement instruction. The audit trail also protects the firm in disputes — you can prove exactly what was approved, by whom, and when.</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Risk dashboard: settlement fail rate 0.3%, average pre-settlement control time 22 minutes, four-eyes coverage 100% of trades above threshold, exceptions pending review: 2.</w:t>
            </w:r>
          </w:p>
        </w:tc>
        <w:tc>
          <w:tcPr>
            <w:tcW w:type="dxa" w:w="2493"/>
          </w:tcPr>
          <w:p>
            <w:pPr>
              <w:jc w:val="center"/>
            </w:pPr>
            <w:r>
              <w:rPr>
                <w:rFonts w:ascii="Calibri" w:hAnsi="Calibri"/>
                <w:b/>
                <w:i w:val="0"/>
                <w:color w:val="007A87"/>
                <w:sz w:val="18"/>
              </w:rPr>
              <w:t>PRE SETTLEMENT RISK</w:t>
            </w:r>
          </w:p>
        </w:tc>
        <w:tc>
          <w:tcPr>
            <w:tcW w:type="dxa" w:w="2493"/>
          </w:tcPr>
          <w:p>
            <w:r>
              <w:rPr>
                <w:sz w:val="20"/>
              </w:rPr>
              <w:t>MOTION: Pre-settlement risk KPIs: settlement fail rate (industry benchmark under 0.5%), average pre-settlement control time (target under 30 minutes), four-eyes coverage rate (must be 100% for in-scope trades), and open exceptions awaiting review. These metrics feed into the operational risk dashboard reviewed by the CRO daily.</w:t>
            </w:r>
          </w:p>
        </w:tc>
      </w:tr>
      <w:tr>
        <w:tc>
          <w:tcPr>
            <w:tcW w:type="dxa" w:w="2493"/>
            <w:shd w:val="clear" w:color="auto" w:fill="F5F6FA"/>
          </w:tcPr>
          <w:p>
            <w:pPr>
              <w:jc w:val="center"/>
            </w:pPr>
            <w:r>
              <w:rPr>
                <w:rFonts w:ascii="Calibri" w:hAnsi="Calibri"/>
                <w:b/>
                <w:i w:val="0"/>
                <w:color w:val="F0A800"/>
                <w:sz w:val="20"/>
              </w:rPr>
              <w:t>ARIA</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Pre-settlement controls: four-eyes, value thresholds, audit trail, settlement instruction sign-off.</w:t>
            </w:r>
          </w:p>
        </w:tc>
        <w:tc>
          <w:tcPr>
            <w:tcW w:type="dxa" w:w="2493"/>
          </w:tcPr>
          <w:p>
            <w:pPr>
              <w:jc w:val="center"/>
            </w:pPr>
            <w:r>
              <w:rPr>
                <w:rFonts w:ascii="Calibri" w:hAnsi="Calibri"/>
                <w:b/>
                <w:i w:val="0"/>
                <w:color w:val="007A87"/>
                <w:sz w:val="18"/>
              </w:rPr>
              <w:t>RECAP E9 6 V3</w:t>
            </w:r>
          </w:p>
        </w:tc>
        <w:tc>
          <w:tcPr>
            <w:tcW w:type="dxa" w:w="2493"/>
          </w:tcPr>
          <w:p>
            <w:r>
              <w:rPr>
                <w:sz w:val="20"/>
              </w:rPr>
              <w:t>ARIA: Pre-settlement controls: four-eyes review for high-value trades, value-based thresholds defining review levels, complete audit trails, and formal settlement instruction sign-off. KAVI: With validation, verification, and pre-settlement controls complete, the trade moves to formal confirmation. Next: E9.7 — Trade Confirmation and Transaction Reporting.</w:t>
            </w:r>
          </w:p>
        </w:tc>
      </w:tr>
    </w:tbl>
    <w:p/>
    <w:p>
      <w:r>
        <w:rPr>
          <w:rFonts w:ascii="Calibri" w:hAnsi="Calibri"/>
          <w:b/>
          <w:i w:val="0"/>
          <w:color w:val="007A87"/>
          <w:sz w:val="20"/>
        </w:rPr>
        <w:t xml:space="preserve">▶ Transition: </w:t>
      </w:r>
      <w:r>
        <w:rPr>
          <w:rFonts w:ascii="Calibri" w:hAnsi="Calibri"/>
          <w:b w:val="0"/>
          <w:i/>
          <w:color w:val="404040"/>
          <w:sz w:val="20"/>
        </w:rPr>
        <w:t>Next — E9.7 Video 1: Trade Confirmation — Purpose and Methods</w:t>
      </w:r>
    </w:p>
    <w:p/>
    <w:p>
      <w:pPr>
        <w:pStyle w:val="Heading1"/>
      </w:pPr>
      <w:r>
        <w:rPr>
          <w:color w:val="101C4F"/>
        </w:rPr>
        <w:t>E9.7: Trade Confirmation and Transaction Reporting</w:t>
      </w:r>
    </w:p>
    <w:p>
      <w:r>
        <w:rPr>
          <w:rFonts w:ascii="Calibri" w:hAnsi="Calibri"/>
          <w:b/>
          <w:i w:val="0"/>
          <w:color w:val="007A87"/>
          <w:sz w:val="22"/>
        </w:rPr>
        <w:t xml:space="preserve">Competency Statement: </w:t>
      </w:r>
      <w:r>
        <w:rPr>
          <w:rFonts w:ascii="Calibri" w:hAnsi="Calibri"/>
          <w:b w:val="0"/>
          <w:i w:val="0"/>
          <w:sz w:val="22"/>
        </w:rPr>
        <w:t>Describe the trade confirmation process — including methods and timeframes — and explain transaction reporting obligations under SEBI, EMIR, and Dodd-Frank regulations.</w:t>
      </w:r>
    </w:p>
    <w:p/>
    <w:p>
      <w:pPr>
        <w:spacing w:before="120"/>
        <w:shd w:val="clear" w:color="auto" w:fill="101C4F"/>
      </w:pPr>
      <w:r>
        <w:rPr>
          <w:rFonts w:ascii="Calibri" w:hAnsi="Calibri"/>
          <w:b/>
          <w:i w:val="0"/>
          <w:color w:val="FFFFFF"/>
          <w:sz w:val="24"/>
        </w:rPr>
        <w:t xml:space="preserve">  E9.7: Trade Confirmation and Transaction Reporting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E9.7</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Confirmation and Transaction Reporting</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confirmation process — including methods and timeframes — and explain transaction reporting obligations under SEBI, EMIR, and Dodd-Frank regulations.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trade confirmation and describe its purpose and methods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what trade confirmation is, why it is required, and describe the different confirmation methods used for exchange and OTC trades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E9.6 Video 3: Pre-Settlement Controls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E9.7 Video 2: SEBI Transaction Reporting</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Confirmation document: formally signed document stating all trade economics agreed between both parties.</w:t>
            </w:r>
          </w:p>
        </w:tc>
        <w:tc>
          <w:tcPr>
            <w:tcW w:type="dxa" w:w="2493"/>
          </w:tcPr>
          <w:p>
            <w:pPr>
              <w:jc w:val="center"/>
            </w:pPr>
            <w:r>
              <w:rPr>
                <w:rFonts w:ascii="Calibri" w:hAnsi="Calibri"/>
                <w:b/>
                <w:i w:val="0"/>
                <w:color w:val="007A87"/>
                <w:sz w:val="18"/>
              </w:rPr>
              <w:t>CONFIRMATION INTRO</w:t>
            </w:r>
          </w:p>
        </w:tc>
        <w:tc>
          <w:tcPr>
            <w:tcW w:type="dxa" w:w="2493"/>
          </w:tcPr>
          <w:p>
            <w:r>
              <w:rPr>
                <w:sz w:val="20"/>
              </w:rPr>
              <w:t>KAVI: Trade confirmation is the formal agreement between two counterparties that a trade occurred on specific terms. It moves the relationship from 'we think we agreed' to 'we have legally confirmed we agreed'. Confirmation is the last control before settlement — if something is wrong, this is the final opportunity to catch it before cash and securities move.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Two panels: Exchange-traded (confirmation via exchange-generated trade notice — automatic), OTC derivatives (confirmation via ISDA contract — requires active agreement from both parties).</w:t>
            </w:r>
          </w:p>
        </w:tc>
        <w:tc>
          <w:tcPr>
            <w:tcW w:type="dxa" w:w="2493"/>
          </w:tcPr>
          <w:p>
            <w:pPr>
              <w:jc w:val="center"/>
            </w:pPr>
            <w:r>
              <w:rPr>
                <w:rFonts w:ascii="Calibri" w:hAnsi="Calibri"/>
                <w:b/>
                <w:i w:val="0"/>
                <w:color w:val="007A87"/>
                <w:sz w:val="18"/>
              </w:rPr>
              <w:t>EXCHANGE VS OTC</w:t>
            </w:r>
          </w:p>
        </w:tc>
        <w:tc>
          <w:tcPr>
            <w:tcW w:type="dxa" w:w="2493"/>
          </w:tcPr>
          <w:p>
            <w:r>
              <w:rPr>
                <w:sz w:val="20"/>
              </w:rPr>
              <w:t>RYO: Confirmation works differently for exchange versus OTC trades. Exchange-traded equities and bonds: the exchange itself provides the trade confirmation — the exchange-generated trade notice is the legal confirmation for both brokers. Since the exchange was the matching party, both sides automatically agree. OTC derivatives: there is no exchange — two counterparties agreed bilaterally, so both must actively confirm the trade terms in writing.</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 confirmation methods: 1. Electronic via SWIFT MT300/MT320, 2. Omgeo ALERT / CTM platform, 3. Long-form ISDA confirmation letter (OTC derivatives).</w:t>
            </w:r>
          </w:p>
        </w:tc>
        <w:tc>
          <w:tcPr>
            <w:tcW w:type="dxa" w:w="2493"/>
          </w:tcPr>
          <w:p>
            <w:pPr>
              <w:jc w:val="center"/>
            </w:pPr>
            <w:r>
              <w:rPr>
                <w:rFonts w:ascii="Calibri" w:hAnsi="Calibri"/>
                <w:b/>
                <w:i w:val="0"/>
                <w:color w:val="007A87"/>
                <w:sz w:val="18"/>
              </w:rPr>
              <w:t>CONFIRMATION METHODS</w:t>
            </w:r>
          </w:p>
        </w:tc>
        <w:tc>
          <w:tcPr>
            <w:tcW w:type="dxa" w:w="2493"/>
          </w:tcPr>
          <w:p>
            <w:r>
              <w:rPr>
                <w:sz w:val="20"/>
              </w:rPr>
              <w:t>ARIA: Confirmation methods: SWIFT MT messages — MT300 for FX confirmations, MT320 for fixed-term deposits, MT518 for equity confirms. Electronic matching platforms — Omgeo CTM and ALERT allow same-day electronic confirmation for institutional trades. ISDA long-form confirmation — for complex OTC derivatives, a formal ISDA confirmation letter is exchanged within 1–5 business days, referencing the governing ISDA Master Agreement and applicable definitions.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SEBI regulatory timeline: exchange trades — same day confirmation. OTC derivatives — within 1 business day for plain vanilla IRS; within 5 business days for complex structured products.</w:t>
            </w:r>
          </w:p>
        </w:tc>
        <w:tc>
          <w:tcPr>
            <w:tcW w:type="dxa" w:w="2493"/>
          </w:tcPr>
          <w:p>
            <w:pPr>
              <w:jc w:val="center"/>
            </w:pPr>
            <w:r>
              <w:rPr>
                <w:rFonts w:ascii="Calibri" w:hAnsi="Calibri"/>
                <w:b/>
                <w:i w:val="0"/>
                <w:color w:val="007A87"/>
                <w:sz w:val="18"/>
              </w:rPr>
              <w:t>CONFIRMATION TIMEFRAMES</w:t>
            </w:r>
          </w:p>
        </w:tc>
        <w:tc>
          <w:tcPr>
            <w:tcW w:type="dxa" w:w="2493"/>
          </w:tcPr>
          <w:p>
            <w:r>
              <w:rPr>
                <w:sz w:val="20"/>
              </w:rPr>
              <w:t>KAVI: Confirmation timeframes: SEBI requires same-day confirmation for exchange-traded securities. For OTC derivatives, SEBI's guidelines require timely confirmation — generally within T+1 for standard products like plain vanilla IRS. International standards (IOSCO) push for electronic same-day confirmation wherever possible. Late or absent confirmations are a key operational risk indicator — regulators monitor confirmation rates closely.</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Risk report: 12 unconfirmed trades. Ages: 3 trades over 5 days — escalated. 6 trades 1–3 days — in progress. 3 trades same day — normal.</w:t>
            </w:r>
          </w:p>
        </w:tc>
        <w:tc>
          <w:tcPr>
            <w:tcW w:type="dxa" w:w="2493"/>
          </w:tcPr>
          <w:p>
            <w:pPr>
              <w:jc w:val="center"/>
            </w:pPr>
            <w:r>
              <w:rPr>
                <w:rFonts w:ascii="Calibri" w:hAnsi="Calibri"/>
                <w:b/>
                <w:i w:val="0"/>
                <w:color w:val="007A87"/>
                <w:sz w:val="18"/>
              </w:rPr>
              <w:t>UNCONFIRMED TRADES</w:t>
            </w:r>
          </w:p>
        </w:tc>
        <w:tc>
          <w:tcPr>
            <w:tcW w:type="dxa" w:w="2493"/>
          </w:tcPr>
          <w:p>
            <w:r>
              <w:rPr>
                <w:sz w:val="20"/>
              </w:rPr>
              <w:t>MOTION: Unconfirmed trades are an operational risk. Every operations team tracks its confirmation queue. Trades confirmed same day: normal. Trades 1–3 days old: follow-up in progress. Trades over 5 days unconfirmed: significant concern — escalated to senior management, counterparty relationship manager engaged, compliance notified. In extreme cases, aged unconfirmed trades are reported to SEBI.</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Confirmation: purpose, exchange vs OTC methods, timeframes, unconfirmed trade risk.</w:t>
            </w:r>
          </w:p>
        </w:tc>
        <w:tc>
          <w:tcPr>
            <w:tcW w:type="dxa" w:w="2493"/>
          </w:tcPr>
          <w:p>
            <w:pPr>
              <w:jc w:val="center"/>
            </w:pPr>
            <w:r>
              <w:rPr>
                <w:rFonts w:ascii="Calibri" w:hAnsi="Calibri"/>
                <w:b/>
                <w:i w:val="0"/>
                <w:color w:val="007A87"/>
                <w:sz w:val="18"/>
              </w:rPr>
              <w:t>RECAP E9 7 V1</w:t>
            </w:r>
          </w:p>
        </w:tc>
        <w:tc>
          <w:tcPr>
            <w:tcW w:type="dxa" w:w="2493"/>
          </w:tcPr>
          <w:p>
            <w:r>
              <w:rPr>
                <w:sz w:val="20"/>
              </w:rPr>
              <w:t>RYO: Confirmation is the final bilateral agreement before settlement — formally establishing that both parties agree on all trade terms. ARIA: Exchange confirmations are automatic; OTC confirmations require active bilateral process via SWIFT, electronic platforms, or ISDA letters. In Video 2, we cover transaction reporting — the regulatory obligation to report all trades to regulators.</w:t>
            </w:r>
          </w:p>
        </w:tc>
      </w:tr>
    </w:tbl>
    <w:p/>
    <w:p>
      <w:r>
        <w:rPr>
          <w:rFonts w:ascii="Calibri" w:hAnsi="Calibri"/>
          <w:b/>
          <w:i w:val="0"/>
          <w:color w:val="007A87"/>
          <w:sz w:val="20"/>
        </w:rPr>
        <w:t xml:space="preserve">▶ Transition: </w:t>
      </w:r>
      <w:r>
        <w:rPr>
          <w:rFonts w:ascii="Calibri" w:hAnsi="Calibri"/>
          <w:b w:val="0"/>
          <w:i/>
          <w:color w:val="404040"/>
          <w:sz w:val="20"/>
        </w:rPr>
        <w:t>Next — E9.7 Video 2: SEBI Transaction Reporting</w:t>
      </w:r>
    </w:p>
    <w:p/>
    <w:p>
      <w:pPr>
        <w:spacing w:before="120"/>
        <w:shd w:val="clear" w:color="auto" w:fill="101C4F"/>
      </w:pPr>
      <w:r>
        <w:rPr>
          <w:rFonts w:ascii="Calibri" w:hAnsi="Calibri"/>
          <w:b/>
          <w:i w:val="0"/>
          <w:color w:val="FFFFFF"/>
          <w:sz w:val="24"/>
        </w:rPr>
        <w:t xml:space="preserve">  E9.7: Trade Confirmation and Transaction Reporting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E9.7</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Confirmation and Transaction Reporting</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confirmation process — including methods and timeframes — and explain transaction reporting obligations under SEBI, EMIR, and Dodd-Frank regulations.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Apply SEBI transaction reporting rules to a standard equity and OTC derivative trade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SEBI's transaction reporting requirements, identify the key data fields required, and explain the reporting workflow and deadlines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E9.7 Video 1: Trade Confirmation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E9.7 Video 3: International Reporting — EMIR and Dodd-Frank</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SEBI Trade Repository screen. All equity trades on NSE/BSE auto-reported by exchange. OTC derivatives reported to CCIL TR.</w:t>
            </w:r>
          </w:p>
        </w:tc>
        <w:tc>
          <w:tcPr>
            <w:tcW w:type="dxa" w:w="2493"/>
          </w:tcPr>
          <w:p>
            <w:pPr>
              <w:jc w:val="center"/>
            </w:pPr>
            <w:r>
              <w:rPr>
                <w:rFonts w:ascii="Calibri" w:hAnsi="Calibri"/>
                <w:b/>
                <w:i w:val="0"/>
                <w:color w:val="007A87"/>
                <w:sz w:val="18"/>
              </w:rPr>
              <w:t>SEBI TR INTRO</w:t>
            </w:r>
          </w:p>
        </w:tc>
        <w:tc>
          <w:tcPr>
            <w:tcW w:type="dxa" w:w="2493"/>
          </w:tcPr>
          <w:p>
            <w:r>
              <w:rPr>
                <w:sz w:val="20"/>
              </w:rPr>
              <w:t>ARIA: SEBI's transaction reporting framework: exchange-traded equities and bonds — NSE and BSE automatically report all trades to SEBI's surveillance systems. The exchange is the reporting entity, so brokers have no separate obligation for exchange-traded securities. OTC derivatives — brokers and banks must report all OTC derivative transactions (IRS, FX forwards, CDS, equity derivatives) to CCIL's Trade Repository within 30 minutes of execution.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Transaction report data fields: Reporting counterparty LEI, Other counterparty LEI, Trade ID (UTI — Unique Trade Identifier), Product type (ISIN or CFI code), Trade date and time, Maturity date, Notional amount, Price/rate, Currency, Cleared/uncleared, CCP name if cleared.</w:t>
            </w:r>
          </w:p>
        </w:tc>
        <w:tc>
          <w:tcPr>
            <w:tcW w:type="dxa" w:w="2493"/>
          </w:tcPr>
          <w:p>
            <w:pPr>
              <w:jc w:val="center"/>
            </w:pPr>
            <w:r>
              <w:rPr>
                <w:rFonts w:ascii="Calibri" w:hAnsi="Calibri"/>
                <w:b/>
                <w:i w:val="0"/>
                <w:color w:val="007A87"/>
                <w:sz w:val="18"/>
              </w:rPr>
              <w:t>TR FIELDS</w:t>
            </w:r>
          </w:p>
        </w:tc>
        <w:tc>
          <w:tcPr>
            <w:tcW w:type="dxa" w:w="2493"/>
          </w:tcPr>
          <w:p>
            <w:r>
              <w:rPr>
                <w:sz w:val="20"/>
              </w:rPr>
              <w:t>KAVI: Key transaction report fields: UTI — Unique Trade Identifier — a globally unique reference for the trade, jointly agreed by both counterparties. LEI codes for both counterparties — the 20-character Legal Entity Identifier from the Global LEI Foundation. Product identifier — ISIN for listed products, CFI code for OTC. Notional and price. Cleared/uncleared flag. If cleared, the CCP name. SEBI has adopted the CPMI-IOSCO global data standards for these fields.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Clock countdown: OTC trade executed 10:23 AM. Reporting deadline: 10:53 AM (30 minutes). System submitting report at 10:24 AM — 29 minutes remaining.</w:t>
            </w:r>
          </w:p>
        </w:tc>
        <w:tc>
          <w:tcPr>
            <w:tcW w:type="dxa" w:w="2493"/>
          </w:tcPr>
          <w:p>
            <w:pPr>
              <w:jc w:val="center"/>
            </w:pPr>
            <w:r>
              <w:rPr>
                <w:rFonts w:ascii="Calibri" w:hAnsi="Calibri"/>
                <w:b/>
                <w:i w:val="0"/>
                <w:color w:val="007A87"/>
                <w:sz w:val="18"/>
              </w:rPr>
              <w:t>REPORTING DEADLINE</w:t>
            </w:r>
          </w:p>
        </w:tc>
        <w:tc>
          <w:tcPr>
            <w:tcW w:type="dxa" w:w="2493"/>
          </w:tcPr>
          <w:p>
            <w:r>
              <w:rPr>
                <w:sz w:val="20"/>
              </w:rPr>
              <w:t>RYO: The 30-minute reporting window is strict. For most firms, TR reporting is fully automated — the trade capture system generates the report and submits to CCIL's TR system automatically. Manual TR reporting is virtually impossible for active trading firms — a 30-trade-per-hour desk would need 30 manual submissions. The only acceptable approach is STP-based automated reporting.</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LEI database screen: each counterparty has a unique 20-character LEI. LEI renewal required annually. Expired LEI = reporting failure.</w:t>
            </w:r>
          </w:p>
        </w:tc>
        <w:tc>
          <w:tcPr>
            <w:tcW w:type="dxa" w:w="2493"/>
          </w:tcPr>
          <w:p>
            <w:pPr>
              <w:jc w:val="center"/>
            </w:pPr>
            <w:r>
              <w:rPr>
                <w:rFonts w:ascii="Calibri" w:hAnsi="Calibri"/>
                <w:b/>
                <w:i w:val="0"/>
                <w:color w:val="007A87"/>
                <w:sz w:val="18"/>
              </w:rPr>
              <w:t>LEI REQUIREMENT</w:t>
            </w:r>
          </w:p>
        </w:tc>
        <w:tc>
          <w:tcPr>
            <w:tcW w:type="dxa" w:w="2493"/>
          </w:tcPr>
          <w:p>
            <w:r>
              <w:rPr>
                <w:sz w:val="20"/>
              </w:rPr>
              <w:t>ARIA: The LEI — Legal Entity Identifier — is mandatory for all transaction reports. Every financial institution that trades must have a valid, annually renewed LEI from an accredited LOU (Local Operating Unit). In India, the LOU is CAMS Financial Information Services. If a counterparty's LEI has expired, the report fails validation at the TR. Operations teams must maintain an LEI renewal calendar for all counterparties.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TR submission status screen: 487 reports submitted today. 483 accepted. 4 rejected: 2 × expired counterparty LEI, 1 × invalid UTI format, 1 × missing cleared status flag.</w:t>
            </w:r>
          </w:p>
        </w:tc>
        <w:tc>
          <w:tcPr>
            <w:tcW w:type="dxa" w:w="2493"/>
          </w:tcPr>
          <w:p>
            <w:pPr>
              <w:jc w:val="center"/>
            </w:pPr>
            <w:r>
              <w:rPr>
                <w:rFonts w:ascii="Calibri" w:hAnsi="Calibri"/>
                <w:b/>
                <w:i w:val="0"/>
                <w:color w:val="007A87"/>
                <w:sz w:val="18"/>
              </w:rPr>
              <w:t>TR REJECTIONS</w:t>
            </w:r>
          </w:p>
        </w:tc>
        <w:tc>
          <w:tcPr>
            <w:tcW w:type="dxa" w:w="2493"/>
          </w:tcPr>
          <w:p>
            <w:r>
              <w:rPr>
                <w:sz w:val="20"/>
              </w:rPr>
              <w:t>MOTION: TR rejection tracking: every rejected report must be corrected and resubmitted within the same business day. Common rejection reasons: expired LEI (counterparty must renew), invalid UTI format (must follow ISDA UTI generation rules), missing mandatory field. The TR operations team monitors rejection rates daily — any rate above 0.5% triggers a data quality investigation.</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007A87"/>
                <w:sz w:val="20"/>
              </w:rPr>
              <w:t>KAVI</w:t>
            </w:r>
          </w:p>
        </w:tc>
        <w:tc>
          <w:tcPr>
            <w:tcW w:type="dxa" w:w="2493"/>
          </w:tcPr>
          <w:p>
            <w:r>
              <w:rPr>
                <w:sz w:val="20"/>
              </w:rPr>
              <w:t>SEBI TR: who reports, what fields, 30-minute deadline, LEI requirement, rejection monitoring.</w:t>
            </w:r>
          </w:p>
        </w:tc>
        <w:tc>
          <w:tcPr>
            <w:tcW w:type="dxa" w:w="2493"/>
          </w:tcPr>
          <w:p>
            <w:pPr>
              <w:jc w:val="center"/>
            </w:pPr>
            <w:r>
              <w:rPr>
                <w:rFonts w:ascii="Calibri" w:hAnsi="Calibri"/>
                <w:b/>
                <w:i w:val="0"/>
                <w:color w:val="007A87"/>
                <w:sz w:val="18"/>
              </w:rPr>
              <w:t>RECAP E9 7 V2</w:t>
            </w:r>
          </w:p>
        </w:tc>
        <w:tc>
          <w:tcPr>
            <w:tcW w:type="dxa" w:w="2493"/>
          </w:tcPr>
          <w:p>
            <w:r>
              <w:rPr>
                <w:sz w:val="20"/>
              </w:rPr>
              <w:t>RYO: SEBI TR reporting: exchange trades are reported by the exchange; OTC trades must be reported by the trading firm within 30 minutes. Key fields: UTI, LEI codes, product details, notional, cleared status. KAVI: In Video 3 we cover international reporting — EMIR in Europe and Dodd-Frank in the US — relevant for India-based firms that trade with international counterparties.</w:t>
            </w:r>
          </w:p>
        </w:tc>
      </w:tr>
    </w:tbl>
    <w:p/>
    <w:p>
      <w:r>
        <w:rPr>
          <w:rFonts w:ascii="Calibri" w:hAnsi="Calibri"/>
          <w:b/>
          <w:i w:val="0"/>
          <w:color w:val="007A87"/>
          <w:sz w:val="20"/>
        </w:rPr>
        <w:t xml:space="preserve">▶ Transition: </w:t>
      </w:r>
      <w:r>
        <w:rPr>
          <w:rFonts w:ascii="Calibri" w:hAnsi="Calibri"/>
          <w:b w:val="0"/>
          <w:i/>
          <w:color w:val="404040"/>
          <w:sz w:val="20"/>
        </w:rPr>
        <w:t>Next — E9.7 Video 3: International Reporting — EMIR and Dodd-Frank</w:t>
      </w:r>
    </w:p>
    <w:p/>
    <w:p>
      <w:pPr>
        <w:spacing w:before="120"/>
        <w:shd w:val="clear" w:color="auto" w:fill="101C4F"/>
      </w:pPr>
      <w:r>
        <w:rPr>
          <w:rFonts w:ascii="Calibri" w:hAnsi="Calibri"/>
          <w:b/>
          <w:i w:val="0"/>
          <w:color w:val="FFFFFF"/>
          <w:sz w:val="24"/>
        </w:rPr>
        <w:t xml:space="preserve">  E9.7: Trade Confirmation and Transaction Reporting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E9.7</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Confirmation and Transaction Reporting</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confirmation process — including methods and timeframes — and explain transaction reporting obligations under SEBI, EMIR, and Dodd-Frank regulations.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global transaction reporting regimes to cross-border trade compliance</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EMIR and Dodd-Frank reporting requirements and explain how Indian firms with international counterparties navigate dual reporting obligations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E9.7 Video 2: SEBI Transaction Reporting</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E9.8 Video 1: Trade Settlement — DVP and Settlement Mechanics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World map: India (SEBI/CCIL), Europe (EMIR/ESMA), USA (Dodd-Frank/CFTC), UK (UK EMIR/FCA). Arrows showing cross-border trades triggering multiple reporting obligations.</w:t>
            </w:r>
          </w:p>
        </w:tc>
        <w:tc>
          <w:tcPr>
            <w:tcW w:type="dxa" w:w="2493"/>
          </w:tcPr>
          <w:p>
            <w:pPr>
              <w:jc w:val="center"/>
            </w:pPr>
            <w:r>
              <w:rPr>
                <w:rFonts w:ascii="Calibri" w:hAnsi="Calibri"/>
                <w:b/>
                <w:i w:val="0"/>
                <w:color w:val="007A87"/>
                <w:sz w:val="18"/>
              </w:rPr>
              <w:t>GLOBAL REPORTING</w:t>
            </w:r>
          </w:p>
        </w:tc>
        <w:tc>
          <w:tcPr>
            <w:tcW w:type="dxa" w:w="2493"/>
          </w:tcPr>
          <w:p>
            <w:r>
              <w:rPr>
                <w:sz w:val="20"/>
              </w:rPr>
              <w:t>KAVI: Global transaction reporting: when an Indian bank trades an IRS with a European bank, both regulators want a report. The Indian bank reports to CCIL under SEBI rules. The European bank reports to a European Trade Repository under EMIR. If either party has US operations or the trade involves USD LIBOR rates, Dodd-Frank reporting may also apply. Cross-border trades can trigger reporting to two or three regulators simultaneously.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EMIR — European Market Infrastructure Regulation. Scope: all OTC derivatives with EU counterparties. Reporting: both counterparties report to an ESMA-registered Trade Repository (DTCC, ICE, Bloomberg) within T+1.</w:t>
            </w:r>
          </w:p>
        </w:tc>
        <w:tc>
          <w:tcPr>
            <w:tcW w:type="dxa" w:w="2493"/>
          </w:tcPr>
          <w:p>
            <w:pPr>
              <w:jc w:val="center"/>
            </w:pPr>
            <w:r>
              <w:rPr>
                <w:rFonts w:ascii="Calibri" w:hAnsi="Calibri"/>
                <w:b/>
                <w:i w:val="0"/>
                <w:color w:val="007A87"/>
                <w:sz w:val="18"/>
              </w:rPr>
              <w:t>EMIR OVERVIEW</w:t>
            </w:r>
          </w:p>
        </w:tc>
        <w:tc>
          <w:tcPr>
            <w:tcW w:type="dxa" w:w="2493"/>
          </w:tcPr>
          <w:p>
            <w:r>
              <w:rPr>
                <w:sz w:val="20"/>
              </w:rPr>
              <w:t>RYO: EMIR — European Market Infrastructure Regulation — requires both counterparties to report any OTC derivative trade to a registered EU Trade Repository. Unlike SEBI (one-sided reporting for domestic trades), EMIR is dual-sided: both the EU bank and its Indian counterparty must report. Report deadline: T+1 business day. Indian firms trading with EU counterparties must have EMIR reporting set up — either directly or via a delegated reporting arrangement where the EU counterparty reports on their behalf.</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Dodd-Frank Wall Street Reform Act: CFTC jurisdiction over swaps. Reporting to Swap Data Repository (SDR) — DTCC, ICE. US persons must report. Non-US firms may be in scope if trade has 'US nexus'.</w:t>
            </w:r>
          </w:p>
        </w:tc>
        <w:tc>
          <w:tcPr>
            <w:tcW w:type="dxa" w:w="2493"/>
          </w:tcPr>
          <w:p>
            <w:pPr>
              <w:jc w:val="center"/>
            </w:pPr>
            <w:r>
              <w:rPr>
                <w:rFonts w:ascii="Calibri" w:hAnsi="Calibri"/>
                <w:b/>
                <w:i w:val="0"/>
                <w:color w:val="007A87"/>
                <w:sz w:val="18"/>
              </w:rPr>
              <w:t>DODD FRANK</w:t>
            </w:r>
          </w:p>
        </w:tc>
        <w:tc>
          <w:tcPr>
            <w:tcW w:type="dxa" w:w="2493"/>
          </w:tcPr>
          <w:p>
            <w:r>
              <w:rPr>
                <w:sz w:val="20"/>
              </w:rPr>
              <w:t>ARIA: Dodd-Frank — US reporting regime managed by the CFTC. Scope: any swap transaction involving a US person or a guaranteed affiliate of a US person. Indian firms are typically not directly in scope — but if they trade with a US bank counterparty, the US bank has reporting obligations. The key concept: substituted compliance — SEBI's reporting regime may be considered equivalent, allowing Indian-regulated entities to satisfy Dodd-Frank obligations through SEBI reporting. Legal teams advise on applicability case by case.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Scenario: HDFC Bank (India) trades EUR/INR cross-currency swap with Deutsche Bank (Germany). HDFC reports to CCIL TR (SEBI). Deutsche Bank reports to DTCC EU TR (EMIR). Both reports must reference the same UTI — the globally unique trade identifier.</w:t>
            </w:r>
          </w:p>
        </w:tc>
        <w:tc>
          <w:tcPr>
            <w:tcW w:type="dxa" w:w="2493"/>
          </w:tcPr>
          <w:p>
            <w:pPr>
              <w:jc w:val="center"/>
            </w:pPr>
            <w:r>
              <w:rPr>
                <w:rFonts w:ascii="Calibri" w:hAnsi="Calibri"/>
                <w:b/>
                <w:i w:val="0"/>
                <w:color w:val="007A87"/>
                <w:sz w:val="18"/>
              </w:rPr>
              <w:t>DUAL REPORTING</w:t>
            </w:r>
          </w:p>
        </w:tc>
        <w:tc>
          <w:tcPr>
            <w:tcW w:type="dxa" w:w="2493"/>
          </w:tcPr>
          <w:p>
            <w:r>
              <w:rPr>
                <w:sz w:val="20"/>
              </w:rPr>
              <w:t>KAVI: Dual reporting scenario: HDFC Bank executes a EUR/INR cross-currency swap with Deutsche Bank. Both are reporting to different regulators. The UTI — Unique Trade Identifier — must be identical in both reports. ISDA's UTI generation standards specify who generates the UTI and how: the dealer (seller of protection or the fixed-rate payer for IRS) typically generates the UTI and shares it with the counterparty before both report. Mismatched UTIs cause regulatory reconciliation failures.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Compliance dashboard: SEBI TR reporting 100%. EMIR reporting 99.7% (2 late reports this month). Dodd-Frank: not in scope. LEI renewal schedule: next expiry 3 months.</w:t>
            </w:r>
          </w:p>
        </w:tc>
        <w:tc>
          <w:tcPr>
            <w:tcW w:type="dxa" w:w="2493"/>
          </w:tcPr>
          <w:p>
            <w:pPr>
              <w:jc w:val="center"/>
            </w:pPr>
            <w:r>
              <w:rPr>
                <w:rFonts w:ascii="Calibri" w:hAnsi="Calibri"/>
                <w:b/>
                <w:i w:val="0"/>
                <w:color w:val="007A87"/>
                <w:sz w:val="18"/>
              </w:rPr>
              <w:t>REPORTING COMPLIANCE</w:t>
            </w:r>
          </w:p>
        </w:tc>
        <w:tc>
          <w:tcPr>
            <w:tcW w:type="dxa" w:w="2493"/>
          </w:tcPr>
          <w:p>
            <w:r>
              <w:rPr>
                <w:sz w:val="20"/>
              </w:rPr>
              <w:t>MOTION: Compliance tracking for a large Indian bank: SEBI CCIL TR — 100% on-time. EMIR — 99.7%, two late reports this month due to system outage. Dodd-Frank — assessed as out of scope for current trading activity. LEI renewals — monitored on a rolling 90-day forward calendar to ensure no expiries are missed. Regulatory reporting compliance is reviewed monthly by the compliance committee.</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Global reporting: SEBI/CCIL, EMIR, Dodd-Frank, UTI matching, dual reporting management.</w:t>
            </w:r>
          </w:p>
        </w:tc>
        <w:tc>
          <w:tcPr>
            <w:tcW w:type="dxa" w:w="2493"/>
          </w:tcPr>
          <w:p>
            <w:pPr>
              <w:jc w:val="center"/>
            </w:pPr>
            <w:r>
              <w:rPr>
                <w:rFonts w:ascii="Calibri" w:hAnsi="Calibri"/>
                <w:b/>
                <w:i w:val="0"/>
                <w:color w:val="007A87"/>
                <w:sz w:val="18"/>
              </w:rPr>
              <w:t>RECAP E9 7 V3</w:t>
            </w:r>
          </w:p>
        </w:tc>
        <w:tc>
          <w:tcPr>
            <w:tcW w:type="dxa" w:w="2493"/>
          </w:tcPr>
          <w:p>
            <w:r>
              <w:rPr>
                <w:sz w:val="20"/>
              </w:rPr>
              <w:t>RYO: Global reporting: Indian firms report to CCIL under SEBI. Cross-border OTC trades may trigger EMIR (EU) or Dodd-Frank (US) reporting. The UTI must match across all reports. ARIA: Next: E9.8 — Trade Settlement. All pre-settlement stages are complete. Now cash and securities physically change hands — the culmination of the entire TLC.</w:t>
            </w:r>
          </w:p>
        </w:tc>
      </w:tr>
    </w:tbl>
    <w:p/>
    <w:p>
      <w:r>
        <w:rPr>
          <w:rFonts w:ascii="Calibri" w:hAnsi="Calibri"/>
          <w:b/>
          <w:i w:val="0"/>
          <w:color w:val="007A87"/>
          <w:sz w:val="20"/>
        </w:rPr>
        <w:t xml:space="preserve">▶ Transition: </w:t>
      </w:r>
      <w:r>
        <w:rPr>
          <w:rFonts w:ascii="Calibri" w:hAnsi="Calibri"/>
          <w:b w:val="0"/>
          <w:i/>
          <w:color w:val="404040"/>
          <w:sz w:val="20"/>
        </w:rPr>
        <w:t>Next — E9.8 Video 1: Trade Settlement — DVP and Settlement Mechanics</w:t>
      </w:r>
    </w:p>
    <w:p/>
    <w:p>
      <w:pPr>
        <w:pStyle w:val="Heading1"/>
      </w:pPr>
      <w:r>
        <w:rPr>
          <w:color w:val="101C4F"/>
        </w:rPr>
        <w:t>E9.8: Trade Settlement — DVP, T+1, and Settlement Mechanics</w:t>
      </w:r>
    </w:p>
    <w:p>
      <w:r>
        <w:rPr>
          <w:rFonts w:ascii="Calibri" w:hAnsi="Calibri"/>
          <w:b/>
          <w:i w:val="0"/>
          <w:color w:val="007A87"/>
          <w:sz w:val="22"/>
        </w:rPr>
        <w:t xml:space="preserve">Competency Statement: </w:t>
      </w:r>
      <w:r>
        <w:rPr>
          <w:rFonts w:ascii="Calibri" w:hAnsi="Calibri"/>
          <w:b w:val="0"/>
          <w:i w:val="0"/>
          <w:sz w:val="22"/>
        </w:rPr>
        <w:t>Describe the trade settlement stage, including DVP mechanics, T+1 settlement in India, the roles of NSCC and NSDL/CDSL, and the consequences of settlement failure.</w:t>
      </w:r>
    </w:p>
    <w:p/>
    <w:p>
      <w:pPr>
        <w:spacing w:before="120"/>
        <w:shd w:val="clear" w:color="auto" w:fill="101C4F"/>
      </w:pPr>
      <w:r>
        <w:rPr>
          <w:rFonts w:ascii="Calibri" w:hAnsi="Calibri"/>
          <w:b/>
          <w:i w:val="0"/>
          <w:color w:val="FFFFFF"/>
          <w:sz w:val="24"/>
        </w:rPr>
        <w:t xml:space="preserve">  E9.8: Trade Settlement — DVP, T+1, and Settlement Mechanics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E9.8</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Settlement — DVP, T+1, and Settlement Mechanics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settlement stage, including DVP mechanics, T+1 settlement in India, the roles of NSCC and NSDL/CDSL, and the consequences of settlement failure.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DVP and describe the T+1 settlement mechanics in India</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define Delivery versus Payment, explain why it eliminates principal risk, and describe step-by-step how T+1 equity settlement works in India</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E9.7 Video 3: International Transaction Reporting</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E9.8 Video 2: NSCC, NSDL, and the Settlement Chain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Settlement day visual: T+0 trade executed, T+1 settlement — arrow moving from trade date to settlement date.</w:t>
            </w:r>
          </w:p>
        </w:tc>
        <w:tc>
          <w:tcPr>
            <w:tcW w:type="dxa" w:w="2493"/>
          </w:tcPr>
          <w:p>
            <w:pPr>
              <w:jc w:val="center"/>
            </w:pPr>
            <w:r>
              <w:rPr>
                <w:rFonts w:ascii="Calibri" w:hAnsi="Calibri"/>
                <w:b/>
                <w:i w:val="0"/>
                <w:color w:val="007A87"/>
                <w:sz w:val="18"/>
              </w:rPr>
              <w:t>SETTLEMENT INTRO</w:t>
            </w:r>
          </w:p>
        </w:tc>
        <w:tc>
          <w:tcPr>
            <w:tcW w:type="dxa" w:w="2493"/>
          </w:tcPr>
          <w:p>
            <w:r>
              <w:rPr>
                <w:sz w:val="20"/>
              </w:rPr>
              <w:t>KAVI: Settlement is the moment the trade becomes final — securities move from the seller's demat account to the buyer's, and cash moves from the buyer's account to the seller's. In India, equity settlement happens on T+1 — the business day after execution. This is one of the fastest settlement cycles in the world — the US and Europe are only recently moving to T+1 from T+2.</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DVP animation: securities and cash move simultaneously. No delivery without payment; no payment without delivery.</w:t>
            </w:r>
          </w:p>
        </w:tc>
        <w:tc>
          <w:tcPr>
            <w:tcW w:type="dxa" w:w="2493"/>
          </w:tcPr>
          <w:p>
            <w:pPr>
              <w:jc w:val="center"/>
            </w:pPr>
            <w:r>
              <w:rPr>
                <w:rFonts w:ascii="Calibri" w:hAnsi="Calibri"/>
                <w:b/>
                <w:i w:val="0"/>
                <w:color w:val="007A87"/>
                <w:sz w:val="18"/>
              </w:rPr>
              <w:t>DVP DEFINITION</w:t>
            </w:r>
          </w:p>
        </w:tc>
        <w:tc>
          <w:tcPr>
            <w:tcW w:type="dxa" w:w="2493"/>
          </w:tcPr>
          <w:p>
            <w:r>
              <w:rPr>
                <w:sz w:val="20"/>
              </w:rPr>
              <w:t>RYO: DVP — Delivery versus Payment — is the settlement mechanism that ensures securities are only delivered if payment is simultaneously made. DVP eliminates principal risk: the risk that you deliver securities but never receive payment, or pay cash but never receive securities. Under DVP, both legs are linked — either both complete, or neither does. There is no 'half-settlement'.</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 DVP models (BIS definitions): Model 1 — securities and cash settle simultaneously in gross amounts. Model 2 — securities settle gross, cash net at end of day. Model 3 — both securities and cash settle net at end of day. India uses Model 3.</w:t>
            </w:r>
          </w:p>
        </w:tc>
        <w:tc>
          <w:tcPr>
            <w:tcW w:type="dxa" w:w="2493"/>
          </w:tcPr>
          <w:p>
            <w:pPr>
              <w:jc w:val="center"/>
            </w:pPr>
            <w:r>
              <w:rPr>
                <w:rFonts w:ascii="Calibri" w:hAnsi="Calibri"/>
                <w:b/>
                <w:i w:val="0"/>
                <w:color w:val="007A87"/>
                <w:sz w:val="18"/>
              </w:rPr>
              <w:t>DVP MODELS</w:t>
            </w:r>
          </w:p>
        </w:tc>
        <w:tc>
          <w:tcPr>
            <w:tcW w:type="dxa" w:w="2493"/>
          </w:tcPr>
          <w:p>
            <w:r>
              <w:rPr>
                <w:sz w:val="20"/>
              </w:rPr>
              <w:t>ARIA: The Bank for International Settlements defines three DVP models. India's NSCC uses Model 3 — multilateral netting. All buy and sell trades in the same security for the same settlement date are netted: if you bought 5,000 TCS shares and sold 2,000 TCS shares today, you settle the net 3,000 shares. This dramatically reduces settlement volumes — members only settle their net positions with NSCC, not every individual trade.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T+1 timeline bar: T+0 9:15–15:30 (trading) → T+0 15:30–17:00 (enrichment, validation, confirmation) → T+0 17:00–19:00 (settlement instructions to custodian) → T+1 09:00 (settlement window opens) → T+1 11:00 (securities settled at NSDL/CDSL) → T+1 14:00 (cash settled via RBI/banks).</w:t>
            </w:r>
          </w:p>
        </w:tc>
        <w:tc>
          <w:tcPr>
            <w:tcW w:type="dxa" w:w="2493"/>
          </w:tcPr>
          <w:p>
            <w:pPr>
              <w:jc w:val="center"/>
            </w:pPr>
            <w:r>
              <w:rPr>
                <w:rFonts w:ascii="Calibri" w:hAnsi="Calibri"/>
                <w:b/>
                <w:i w:val="0"/>
                <w:color w:val="007A87"/>
                <w:sz w:val="18"/>
              </w:rPr>
              <w:t>T1 TIMELINE</w:t>
            </w:r>
          </w:p>
        </w:tc>
        <w:tc>
          <w:tcPr>
            <w:tcW w:type="dxa" w:w="2493"/>
          </w:tcPr>
          <w:p>
            <w:r>
              <w:rPr>
                <w:sz w:val="20"/>
              </w:rPr>
              <w:t>KAVI: India's T+1 settlement timeline: Trading on NSE closes at 3:30 PM. Operations completes enrichment, validation, and confirmation by 5:00 PM same day. Settlement instructions sent to custodian by 7:00 PM. Settlement day (T+1): demat transfers processed at NSDL/CDSL from 9:00 AM. Cash settlement via RBI-administered CCIL settlement by 2:00 PM. By 2:00 PM on T+1, the trade is fully and finally settled.</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Infographic: India moved to T+1 in phases — large caps by February 2023, all securities by January 2023. Comparison: India T+1, US T+2 (moving to T+1 in 2024), EU T+2.</w:t>
            </w:r>
          </w:p>
        </w:tc>
        <w:tc>
          <w:tcPr>
            <w:tcW w:type="dxa" w:w="2493"/>
          </w:tcPr>
          <w:p>
            <w:pPr>
              <w:jc w:val="center"/>
            </w:pPr>
            <w:r>
              <w:rPr>
                <w:rFonts w:ascii="Calibri" w:hAnsi="Calibri"/>
                <w:b/>
                <w:i w:val="0"/>
                <w:color w:val="007A87"/>
                <w:sz w:val="18"/>
              </w:rPr>
              <w:t>INDIA ADVANTAGE</w:t>
            </w:r>
          </w:p>
        </w:tc>
        <w:tc>
          <w:tcPr>
            <w:tcW w:type="dxa" w:w="2493"/>
          </w:tcPr>
          <w:p>
            <w:r>
              <w:rPr>
                <w:sz w:val="20"/>
              </w:rPr>
              <w:t>MOTION: India is a global leader in settlement speed. SEBI mandated the phased move to T+1 settlement between 2022 and 2023 — making India the first major market with T+1 settlement for equities. Benefits of T+1: reduced counterparty risk (less time for a counterparty to default between trade and settlement), lower margin requirements (less margin needed to cover settlement risk), faster capital recycling for investors.</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DVP definition, three models, India Model 3, T+1 timeline.</w:t>
            </w:r>
          </w:p>
        </w:tc>
        <w:tc>
          <w:tcPr>
            <w:tcW w:type="dxa" w:w="2493"/>
          </w:tcPr>
          <w:p>
            <w:pPr>
              <w:jc w:val="center"/>
            </w:pPr>
            <w:r>
              <w:rPr>
                <w:rFonts w:ascii="Calibri" w:hAnsi="Calibri"/>
                <w:b/>
                <w:i w:val="0"/>
                <w:color w:val="007A87"/>
                <w:sz w:val="18"/>
              </w:rPr>
              <w:t>RECAP E9 8 V1</w:t>
            </w:r>
          </w:p>
        </w:tc>
        <w:tc>
          <w:tcPr>
            <w:tcW w:type="dxa" w:w="2493"/>
          </w:tcPr>
          <w:p>
            <w:r>
              <w:rPr>
                <w:sz w:val="20"/>
              </w:rPr>
              <w:t>RYO: DVP eliminates principal risk by linking securities and cash movement. India uses Model 3 — multilateral net settlement. T+1 timeline: trade by 3:30 PM, settle by 2:00 PM next business day. ARIA: In Video 2 we trace the settlement chain through NSCC, NSDL, and the custodian bank.</w:t>
            </w:r>
          </w:p>
        </w:tc>
      </w:tr>
    </w:tbl>
    <w:p/>
    <w:p>
      <w:r>
        <w:rPr>
          <w:rFonts w:ascii="Calibri" w:hAnsi="Calibri"/>
          <w:b/>
          <w:i w:val="0"/>
          <w:color w:val="007A87"/>
          <w:sz w:val="20"/>
        </w:rPr>
        <w:t xml:space="preserve">▶ Transition: </w:t>
      </w:r>
      <w:r>
        <w:rPr>
          <w:rFonts w:ascii="Calibri" w:hAnsi="Calibri"/>
          <w:b w:val="0"/>
          <w:i/>
          <w:color w:val="404040"/>
          <w:sz w:val="20"/>
        </w:rPr>
        <w:t>Next — E9.8 Video 2: NSCC, NSDL, and the Settlement Chain</w:t>
      </w:r>
    </w:p>
    <w:p/>
    <w:p>
      <w:pPr>
        <w:spacing w:before="120"/>
        <w:shd w:val="clear" w:color="auto" w:fill="101C4F"/>
      </w:pPr>
      <w:r>
        <w:rPr>
          <w:rFonts w:ascii="Calibri" w:hAnsi="Calibri"/>
          <w:b/>
          <w:i w:val="0"/>
          <w:color w:val="FFFFFF"/>
          <w:sz w:val="24"/>
        </w:rPr>
        <w:t xml:space="preserve">  E9.8: Trade Settlement — DVP, T+1, and Settlement Mechanics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E9.8</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Settlement — DVP, T+1, and Settlement Mechanics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settlement stage, including DVP mechanics, T+1 settlement in India, the roles of NSCC and NSDL/CDSL, and the consequences of settlement failure.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Trace the settlement instruction chain from custodian to depository</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roles of NSCC and NSDL/CDSL in settlement, trace a settlement instruction from broker to depository, and explain the cash settlement process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E9.8 Video 1: DVP and T+1</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E9.8 Video 3: Settlement Failures and Buy-Ins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NSCC diagram: novation of all NSE trades. Multilateral netting. Net obligations communicated to members. NSCC acts as central settlement counterparty.</w:t>
            </w:r>
          </w:p>
        </w:tc>
        <w:tc>
          <w:tcPr>
            <w:tcW w:type="dxa" w:w="2493"/>
          </w:tcPr>
          <w:p>
            <w:pPr>
              <w:jc w:val="center"/>
            </w:pPr>
            <w:r>
              <w:rPr>
                <w:rFonts w:ascii="Calibri" w:hAnsi="Calibri"/>
                <w:b/>
                <w:i w:val="0"/>
                <w:color w:val="007A87"/>
                <w:sz w:val="18"/>
              </w:rPr>
              <w:t>NSCC ROLE</w:t>
            </w:r>
          </w:p>
        </w:tc>
        <w:tc>
          <w:tcPr>
            <w:tcW w:type="dxa" w:w="2493"/>
          </w:tcPr>
          <w:p>
            <w:r>
              <w:rPr>
                <w:sz w:val="20"/>
              </w:rPr>
              <w:t>ARIA: NSCC — National Securities Clearing Corporation — is the CCP and settlement agency for NSE trades. After trade capture, NSCC novates all trades: the original bilateral trade between Broker A and Broker B is replaced by Broker A vs NSCC and NSCC vs Broker B. NSCC then calculates net positions: Broker A's net delivery/receipt obligations across all trades in each security for that settlement date.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SWIFT message flow: Broker's OMS → Custodian bank (SWIFT MT540/542 — receive/deliver free) → NSDL/CDSL depository → securities debited from seller's DP, credited to buyer's DP.</w:t>
            </w:r>
          </w:p>
        </w:tc>
        <w:tc>
          <w:tcPr>
            <w:tcW w:type="dxa" w:w="2493"/>
          </w:tcPr>
          <w:p>
            <w:pPr>
              <w:jc w:val="center"/>
            </w:pPr>
            <w:r>
              <w:rPr>
                <w:rFonts w:ascii="Calibri" w:hAnsi="Calibri"/>
                <w:b/>
                <w:i w:val="0"/>
                <w:color w:val="007A87"/>
                <w:sz w:val="18"/>
              </w:rPr>
              <w:t>SETTLEMENT INSTRUCTION FLOW</w:t>
            </w:r>
          </w:p>
        </w:tc>
        <w:tc>
          <w:tcPr>
            <w:tcW w:type="dxa" w:w="2493"/>
          </w:tcPr>
          <w:p>
            <w:r>
              <w:rPr>
                <w:sz w:val="20"/>
              </w:rPr>
              <w:t>KAVI: Settlement instruction flow: the broker sends a SWIFT MT540 (receive securities, free of payment) or MT542 (deliver securities, free of payment) to the custodian bank. The custodian submits a debit/credit instruction to NSDL or CDSL. On settlement day, NSDL/CDSL processes the instruction: securities are debited from the seller's depository participant account and credited to the buyer's DP account. The entire securities transfer is electronic — no physical movement of share certificates.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Cash settlement chain: NSCC calculates net cash obligations → members fund their settlement accounts at designated settlement banks → NSCC instructs RBI to debit/credit banks → final cash settlement via RTGS.</w:t>
            </w:r>
          </w:p>
        </w:tc>
        <w:tc>
          <w:tcPr>
            <w:tcW w:type="dxa" w:w="2493"/>
          </w:tcPr>
          <w:p>
            <w:pPr>
              <w:jc w:val="center"/>
            </w:pPr>
            <w:r>
              <w:rPr>
                <w:rFonts w:ascii="Calibri" w:hAnsi="Calibri"/>
                <w:b/>
                <w:i w:val="0"/>
                <w:color w:val="007A87"/>
                <w:sz w:val="18"/>
              </w:rPr>
              <w:t>CASH SETTLEMENT</w:t>
            </w:r>
          </w:p>
        </w:tc>
        <w:tc>
          <w:tcPr>
            <w:tcW w:type="dxa" w:w="2493"/>
          </w:tcPr>
          <w:p>
            <w:r>
              <w:rPr>
                <w:sz w:val="20"/>
              </w:rPr>
              <w:t>RYO: Cash settlement: NSCC calculates each clearing member's net cash obligation — the sum of all bought amounts minus all sold amounts across all settled trades. Members must fund their NSCC settlement account at their designated settlement bank before the cut-off time. NSCC then instructs the RBI to debit the payers' banks and credit the receivers' banks via RTGS. Cash settlement is final and irrevocable once processed.</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Post-settlement: NSCC releases margin held against settled positions. Remaining margin covers open (unsettled) positions. Margin release improves member liquidity.</w:t>
            </w:r>
          </w:p>
        </w:tc>
        <w:tc>
          <w:tcPr>
            <w:tcW w:type="dxa" w:w="2493"/>
          </w:tcPr>
          <w:p>
            <w:pPr>
              <w:jc w:val="center"/>
            </w:pPr>
            <w:r>
              <w:rPr>
                <w:rFonts w:ascii="Calibri" w:hAnsi="Calibri"/>
                <w:b/>
                <w:i w:val="0"/>
                <w:color w:val="007A87"/>
                <w:sz w:val="18"/>
              </w:rPr>
              <w:t>MARGIN RELEASE</w:t>
            </w:r>
          </w:p>
        </w:tc>
        <w:tc>
          <w:tcPr>
            <w:tcW w:type="dxa" w:w="2493"/>
          </w:tcPr>
          <w:p>
            <w:r>
              <w:rPr>
                <w:sz w:val="20"/>
              </w:rPr>
              <w:t>ARIA: After settlement completes, NSCC releases the margin (initial and variation margin) that was held against those now-settled positions. This releases capital back to the broker — improving their liquidity for the next day's trading. Margin management is a continuous cycle: collect margin on trade date, hold through settlement, release post-settlement.</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Custodian confirmation: MT54X acknowledgement received. Demat account updated. Client portfolio position reflects new holding. Settlement complete notification sent to operations team.</w:t>
            </w:r>
          </w:p>
        </w:tc>
        <w:tc>
          <w:tcPr>
            <w:tcW w:type="dxa" w:w="2493"/>
          </w:tcPr>
          <w:p>
            <w:pPr>
              <w:jc w:val="center"/>
            </w:pPr>
            <w:r>
              <w:rPr>
                <w:rFonts w:ascii="Calibri" w:hAnsi="Calibri"/>
                <w:b/>
                <w:i w:val="0"/>
                <w:color w:val="007A87"/>
                <w:sz w:val="18"/>
              </w:rPr>
              <w:t>CONFIRMATION OF SETTLEMENT</w:t>
            </w:r>
          </w:p>
        </w:tc>
        <w:tc>
          <w:tcPr>
            <w:tcW w:type="dxa" w:w="2493"/>
          </w:tcPr>
          <w:p>
            <w:r>
              <w:rPr>
                <w:sz w:val="20"/>
              </w:rPr>
              <w:t>KAVI: Settlement confirmation: the custodian sends a SWIFT MT545 (receive confirmation) or MT547 (deliver confirmation) back to the broker once settlement is complete. The operations team marks the trade as settled in the trade management system. The client's portfolio manager sees the updated position in their OMS. For sell trades, the cash is received in the settlement account and credited to the client's cash account.</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404040"/>
                <w:sz w:val="20"/>
              </w:rPr>
              <w:t>MOTION</w:t>
            </w:r>
          </w:p>
        </w:tc>
        <w:tc>
          <w:tcPr>
            <w:tcW w:type="dxa" w:w="2493"/>
          </w:tcPr>
          <w:p>
            <w:r>
              <w:rPr>
                <w:sz w:val="20"/>
              </w:rPr>
              <w:t>Settlement chain: Broker → Custodian → NSCC → NSDL/CDSL (securities) + RBI/banks (cash). All simultaneous under DVP.</w:t>
            </w:r>
          </w:p>
        </w:tc>
        <w:tc>
          <w:tcPr>
            <w:tcW w:type="dxa" w:w="2493"/>
          </w:tcPr>
          <w:p>
            <w:pPr>
              <w:jc w:val="center"/>
            </w:pPr>
            <w:r>
              <w:rPr>
                <w:rFonts w:ascii="Calibri" w:hAnsi="Calibri"/>
                <w:b/>
                <w:i w:val="0"/>
                <w:color w:val="007A87"/>
                <w:sz w:val="18"/>
              </w:rPr>
              <w:t>RECAP E9 8 V2</w:t>
            </w:r>
          </w:p>
        </w:tc>
        <w:tc>
          <w:tcPr>
            <w:tcW w:type="dxa" w:w="2493"/>
          </w:tcPr>
          <w:p>
            <w:r>
              <w:rPr>
                <w:sz w:val="20"/>
              </w:rPr>
              <w:t>RYO: Settlement chain: broker instruction → custodian → NSCC nets obligations → NSDL/CDSL moves securities → RBI/banks move cash. All linked under DVP. MOTION: In Video 3 we cover what happens when settlement fails — buy-ins, penalties, and how the industry manages failed trades.</w:t>
            </w:r>
          </w:p>
        </w:tc>
      </w:tr>
    </w:tbl>
    <w:p/>
    <w:p>
      <w:r>
        <w:rPr>
          <w:rFonts w:ascii="Calibri" w:hAnsi="Calibri"/>
          <w:b/>
          <w:i w:val="0"/>
          <w:color w:val="007A87"/>
          <w:sz w:val="20"/>
        </w:rPr>
        <w:t xml:space="preserve">▶ Transition: </w:t>
      </w:r>
      <w:r>
        <w:rPr>
          <w:rFonts w:ascii="Calibri" w:hAnsi="Calibri"/>
          <w:b w:val="0"/>
          <w:i/>
          <w:color w:val="404040"/>
          <w:sz w:val="20"/>
        </w:rPr>
        <w:t>Next — E9.8 Video 3: Settlement Failures and Buy-Ins</w:t>
      </w:r>
    </w:p>
    <w:p/>
    <w:p>
      <w:pPr>
        <w:spacing w:before="120"/>
        <w:shd w:val="clear" w:color="auto" w:fill="101C4F"/>
      </w:pPr>
      <w:r>
        <w:rPr>
          <w:rFonts w:ascii="Calibri" w:hAnsi="Calibri"/>
          <w:b/>
          <w:i w:val="0"/>
          <w:color w:val="FFFFFF"/>
          <w:sz w:val="24"/>
        </w:rPr>
        <w:t xml:space="preserve">  E9.8: Trade Settlement — DVP, T+1, and Settlement Mechanics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E9.8</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Settlement — DVP, T+1, and Settlement Mechanics</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settlement stage, including DVP mechanics, T+1 settlement in India, the roles of NSCC and NSDL/CDSL, and the consequences of settlement failure.</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settlement failures to market risk, penalties, and the buy-in process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what causes settlement failures, explain SEBI's penalty framework, and describe the buy-in process as the market's remedy for persistent fails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E9.8 Video 2: NSCC, NSDL, and Settlement Chain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E9.9 Video 1: Trade Reconciliation — Purpose and Types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Red alert: settlement fail. Securities not delivered. Buyer's custodian reports non-receipt. NSCC marks position as failed.</w:t>
            </w:r>
          </w:p>
        </w:tc>
        <w:tc>
          <w:tcPr>
            <w:tcW w:type="dxa" w:w="2493"/>
          </w:tcPr>
          <w:p>
            <w:pPr>
              <w:jc w:val="center"/>
            </w:pPr>
            <w:r>
              <w:rPr>
                <w:rFonts w:ascii="Calibri" w:hAnsi="Calibri"/>
                <w:b/>
                <w:i w:val="0"/>
                <w:color w:val="007A87"/>
                <w:sz w:val="18"/>
              </w:rPr>
              <w:t>SETTLEMENT FAIL INTRO</w:t>
            </w:r>
          </w:p>
        </w:tc>
        <w:tc>
          <w:tcPr>
            <w:tcW w:type="dxa" w:w="2493"/>
          </w:tcPr>
          <w:p>
            <w:r>
              <w:rPr>
                <w:sz w:val="20"/>
              </w:rPr>
              <w:t>ARIA: A settlement fail occurs when securities are not delivered or cash is not received by the settlement deadline. In India's T+1 cycle, if settlement doesn't complete by the NSCC cut-off on T+1, the trade is marked as failed. Fails are serious — the buyer doesn't receive their securities, and NSCC must manage the exposure.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Cause analysis: most common reasons for settlement fails. SSI error 35%, insufficient securities in seller's demat 28%, custodian processing error 18%, late settlement instruction 12%, other 7%.</w:t>
            </w:r>
          </w:p>
        </w:tc>
        <w:tc>
          <w:tcPr>
            <w:tcW w:type="dxa" w:w="2493"/>
          </w:tcPr>
          <w:p>
            <w:pPr>
              <w:jc w:val="center"/>
            </w:pPr>
            <w:r>
              <w:rPr>
                <w:rFonts w:ascii="Calibri" w:hAnsi="Calibri"/>
                <w:b/>
                <w:i w:val="0"/>
                <w:color w:val="007A87"/>
                <w:sz w:val="18"/>
              </w:rPr>
              <w:t>FAIL CAUSES</w:t>
            </w:r>
          </w:p>
        </w:tc>
        <w:tc>
          <w:tcPr>
            <w:tcW w:type="dxa" w:w="2493"/>
          </w:tcPr>
          <w:p>
            <w:r>
              <w:rPr>
                <w:sz w:val="20"/>
              </w:rPr>
              <w:t>KAVI: Settlement fail causes: incorrect SSI (wrong demat account) — most common, 35% of fails. Insufficient securities — the seller's demat account doesn't have enough shares to deliver. This can happen if a short sale is not properly controlled. Custodian processing error — instruction received but not processed in time. Late settlement instruction — the broker missed the custodian's cut-off. Other: holiday calendar issues, system outages.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SEBI penalty schedule: trading member fails to deliver securities → financial penalty 0.07% per day of fail value. Auction settlement triggered if fail persists. Defaulting member's position closed out at auction price.</w:t>
            </w:r>
          </w:p>
        </w:tc>
        <w:tc>
          <w:tcPr>
            <w:tcW w:type="dxa" w:w="2493"/>
          </w:tcPr>
          <w:p>
            <w:pPr>
              <w:jc w:val="center"/>
            </w:pPr>
            <w:r>
              <w:rPr>
                <w:rFonts w:ascii="Calibri" w:hAnsi="Calibri"/>
                <w:b/>
                <w:i w:val="0"/>
                <w:color w:val="007A87"/>
                <w:sz w:val="18"/>
              </w:rPr>
              <w:t>SEBI PENALTIES</w:t>
            </w:r>
          </w:p>
        </w:tc>
        <w:tc>
          <w:tcPr>
            <w:tcW w:type="dxa" w:w="2493"/>
          </w:tcPr>
          <w:p>
            <w:r>
              <w:rPr>
                <w:sz w:val="20"/>
              </w:rPr>
              <w:t>RYO: SEBI's penalty framework for settlement failures: financial penalty of 0.07% per day of the fail value. For a ₹1 crore fail: ₹7,000 per day. This accrues until the fail is resolved. If a fail persists beyond a specified period — typically 3 business days — NSCC triggers an auction settlement. The CCP purchases the required securities in the market and charges the defaulting seller the difference between the original trade price and the (usually higher) auction price.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Buy-in animation: NSCC announces auction for failed securities. Eligible sellers submit bids. NSCC accepts lowest available price. Defaulting member pays difference: auction price − original trade price.</w:t>
            </w:r>
          </w:p>
        </w:tc>
        <w:tc>
          <w:tcPr>
            <w:tcW w:type="dxa" w:w="2493"/>
          </w:tcPr>
          <w:p>
            <w:pPr>
              <w:jc w:val="center"/>
            </w:pPr>
            <w:r>
              <w:rPr>
                <w:rFonts w:ascii="Calibri" w:hAnsi="Calibri"/>
                <w:b/>
                <w:i w:val="0"/>
                <w:color w:val="007A87"/>
                <w:sz w:val="18"/>
              </w:rPr>
              <w:t>BUY IN PROCESS</w:t>
            </w:r>
          </w:p>
        </w:tc>
        <w:tc>
          <w:tcPr>
            <w:tcW w:type="dxa" w:w="2493"/>
          </w:tcPr>
          <w:p>
            <w:r>
              <w:rPr>
                <w:sz w:val="20"/>
              </w:rPr>
              <w:t>ARIA: Buy-in process: when a trade fails, the CCP (NSCC) runs a buy-in auction on behalf of the non-receiving buyer. NSCC announces the auction — specifying the security, quantity, and minimum acceptable delivery date. Market participants submit offers to sell. NSCC accepts the best offer. The defaulting seller must pay: the buy-in price minus the original trade price, plus all auction costs and penalties. Buy-ins are expensive — they incentivize sellers to always have securities ready to deliver.</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Prevention measures: pre-trade short-selling controls, securities lending to cover shorts, custodian delivery confirmation before trade, STP to minimize late instructions.</w:t>
            </w:r>
          </w:p>
        </w:tc>
        <w:tc>
          <w:tcPr>
            <w:tcW w:type="dxa" w:w="2493"/>
          </w:tcPr>
          <w:p>
            <w:pPr>
              <w:jc w:val="center"/>
            </w:pPr>
            <w:r>
              <w:rPr>
                <w:rFonts w:ascii="Calibri" w:hAnsi="Calibri"/>
                <w:b/>
                <w:i w:val="0"/>
                <w:color w:val="007A87"/>
                <w:sz w:val="18"/>
              </w:rPr>
              <w:t>FAIL PREVENTION</w:t>
            </w:r>
          </w:p>
        </w:tc>
        <w:tc>
          <w:tcPr>
            <w:tcW w:type="dxa" w:w="2493"/>
          </w:tcPr>
          <w:p>
            <w:r>
              <w:rPr>
                <w:sz w:val="20"/>
              </w:rPr>
              <w:t>KAVI: Fail prevention measures: pre-trade controls — ensure the seller actually owns the securities before the trade is allowed. Securities lending — if a portfolio needs to deliver but doesn't have shares (e.g., purchased shares haven't settled yet), borrow shares from a securities lending counterparty to bridge the gap. STP — eliminate manual steps that cause late instructions. Custodian delivery confirmations — confirm the custodian can deliver before the settlement deadline.</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Settlement fail: causes, SEBI penalties, buy-in process, prevention measures.</w:t>
            </w:r>
          </w:p>
        </w:tc>
        <w:tc>
          <w:tcPr>
            <w:tcW w:type="dxa" w:w="2493"/>
          </w:tcPr>
          <w:p>
            <w:pPr>
              <w:jc w:val="center"/>
            </w:pPr>
            <w:r>
              <w:rPr>
                <w:rFonts w:ascii="Calibri" w:hAnsi="Calibri"/>
                <w:b/>
                <w:i w:val="0"/>
                <w:color w:val="007A87"/>
                <w:sz w:val="18"/>
              </w:rPr>
              <w:t>RECAP E9 8 V3</w:t>
            </w:r>
          </w:p>
        </w:tc>
        <w:tc>
          <w:tcPr>
            <w:tcW w:type="dxa" w:w="2493"/>
          </w:tcPr>
          <w:p>
            <w:r>
              <w:rPr>
                <w:sz w:val="20"/>
              </w:rPr>
              <w:t>RYO: Settlement failures cause financial penalties (0.07% per day), reputational damage, and ultimately buy-in auctions where the defaulter pays above-market prices. ARIA: Prevention: clean SSIs, pre-trade short controls, securities lending, STP. Next: E9.9 — Trade Reconciliation — the final stage of the TLC, where all positions and accounts are balanced.</w:t>
            </w:r>
          </w:p>
        </w:tc>
      </w:tr>
    </w:tbl>
    <w:p/>
    <w:p>
      <w:r>
        <w:rPr>
          <w:rFonts w:ascii="Calibri" w:hAnsi="Calibri"/>
          <w:b/>
          <w:i w:val="0"/>
          <w:color w:val="007A87"/>
          <w:sz w:val="20"/>
        </w:rPr>
        <w:t xml:space="preserve">▶ Transition: </w:t>
      </w:r>
      <w:r>
        <w:rPr>
          <w:rFonts w:ascii="Calibri" w:hAnsi="Calibri"/>
          <w:b w:val="0"/>
          <w:i/>
          <w:color w:val="404040"/>
          <w:sz w:val="20"/>
        </w:rPr>
        <w:t>Next — E9.9 Video 1: Trade Reconciliation — Purpose and Types</w:t>
      </w:r>
    </w:p>
    <w:p/>
    <w:p>
      <w:pPr>
        <w:pStyle w:val="Heading1"/>
      </w:pPr>
      <w:r>
        <w:rPr>
          <w:color w:val="101C4F"/>
        </w:rPr>
        <w:t>E9.9: Trade Reconciliation — Types, Process, and Break Resolution</w:t>
      </w:r>
    </w:p>
    <w:p>
      <w:r>
        <w:rPr>
          <w:rFonts w:ascii="Calibri" w:hAnsi="Calibri"/>
          <w:b/>
          <w:i w:val="0"/>
          <w:color w:val="007A87"/>
          <w:sz w:val="22"/>
        </w:rPr>
        <w:t xml:space="preserve">Competency Statement: </w:t>
      </w:r>
      <w:r>
        <w:rPr>
          <w:rFonts w:ascii="Calibri" w:hAnsi="Calibri"/>
          <w:b w:val="0"/>
          <w:i w:val="0"/>
          <w:sz w:val="22"/>
        </w:rPr>
        <w:t>Describe the trade reconciliation stage, including the main types of reconciliation performed after settlement, how breaks are identified and resolved, and the role of reconciliation in operational risk management.</w:t>
      </w:r>
    </w:p>
    <w:p/>
    <w:p>
      <w:pPr>
        <w:spacing w:before="120"/>
        <w:shd w:val="clear" w:color="auto" w:fill="101C4F"/>
      </w:pPr>
      <w:r>
        <w:rPr>
          <w:rFonts w:ascii="Calibri" w:hAnsi="Calibri"/>
          <w:b/>
          <w:i w:val="0"/>
          <w:color w:val="FFFFFF"/>
          <w:sz w:val="24"/>
        </w:rPr>
        <w:t xml:space="preserve">  E9.9: Trade Reconciliation — Types, Process, and Break Resolution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E9.9</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Reconciliation — Types, Process, and Break Resolution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reconciliation stage, including the main types of reconciliation performed after settlement, how breaks are identified and resolved, and the role of reconciliation in operational risk management.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Define trade reconciliation and describe its main types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why reconciliation is necessary, define the main types of reconciliation (trade, position, cash, custodian), and describe what each type checks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E9.8 Video 3: Settlement Failures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E9.9 Video 2: Reconciliation Process and Break Resolution</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Two ledgers side by side: internal position record vs custodian statement. Numbers don't match → reconciliation required.</w:t>
            </w:r>
          </w:p>
        </w:tc>
        <w:tc>
          <w:tcPr>
            <w:tcW w:type="dxa" w:w="2493"/>
          </w:tcPr>
          <w:p>
            <w:pPr>
              <w:jc w:val="center"/>
            </w:pPr>
            <w:r>
              <w:rPr>
                <w:rFonts w:ascii="Calibri" w:hAnsi="Calibri"/>
                <w:b/>
                <w:i w:val="0"/>
                <w:color w:val="007A87"/>
                <w:sz w:val="18"/>
              </w:rPr>
              <w:t>RECON INTRO</w:t>
            </w:r>
          </w:p>
        </w:tc>
        <w:tc>
          <w:tcPr>
            <w:tcW w:type="dxa" w:w="2493"/>
          </w:tcPr>
          <w:p>
            <w:r>
              <w:rPr>
                <w:sz w:val="20"/>
              </w:rPr>
              <w:t>KAVI: Reconciliation is the final stage of the TLC — the process of ensuring that every internal record matches every external record. Internal records (your systems) vs external records (exchange confirmations, custodian statements, counterparty data). Any difference is a 'break' — a reconciliation break must be investigated and resolved. Unresolved breaks hide errors, losses, and fraud.</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Three risk scenarios: 1. Rogue trader who has hidden a loss position. 2. Duplicate trade captured — inflating positions. 3. Failed settlement not reflected in books — phantom position.</w:t>
            </w:r>
          </w:p>
        </w:tc>
        <w:tc>
          <w:tcPr>
            <w:tcW w:type="dxa" w:w="2493"/>
          </w:tcPr>
          <w:p>
            <w:pPr>
              <w:jc w:val="center"/>
            </w:pPr>
            <w:r>
              <w:rPr>
                <w:rFonts w:ascii="Calibri" w:hAnsi="Calibri"/>
                <w:b/>
                <w:i w:val="0"/>
                <w:color w:val="007A87"/>
                <w:sz w:val="18"/>
              </w:rPr>
              <w:t>WHY RECON</w:t>
            </w:r>
          </w:p>
        </w:tc>
        <w:tc>
          <w:tcPr>
            <w:tcW w:type="dxa" w:w="2493"/>
          </w:tcPr>
          <w:p>
            <w:r>
              <w:rPr>
                <w:sz w:val="20"/>
              </w:rPr>
              <w:t>RYO: Why is reconciliation so important? Without it: a rogue trader can hide a losing position by not recording it in the official system — reconciliation exposes the gap between their trade blotter and the official books. Duplicate trade entry — the same trade captured twice inflates positions and P&amp;L. Settlement failure not reflected — your books show a position you actually don't hold because settlement failed. Reconciliation prevents all three.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Four reconciliation type cards: 1. Trade Recon — did all today's trades get captured correctly? 2. Position Recon — does internal position = custodian position? 3. Cash Recon — does internal cash = bank statement? 4. Nostro/Depot Recon — settlement accounts balanced?</w:t>
            </w:r>
          </w:p>
        </w:tc>
        <w:tc>
          <w:tcPr>
            <w:tcW w:type="dxa" w:w="2493"/>
          </w:tcPr>
          <w:p>
            <w:pPr>
              <w:jc w:val="center"/>
            </w:pPr>
            <w:r>
              <w:rPr>
                <w:rFonts w:ascii="Calibri" w:hAnsi="Calibri"/>
                <w:b/>
                <w:i w:val="0"/>
                <w:color w:val="007A87"/>
                <w:sz w:val="18"/>
              </w:rPr>
              <w:t>RECON TYPES</w:t>
            </w:r>
          </w:p>
        </w:tc>
        <w:tc>
          <w:tcPr>
            <w:tcW w:type="dxa" w:w="2493"/>
          </w:tcPr>
          <w:p>
            <w:r>
              <w:rPr>
                <w:sz w:val="20"/>
              </w:rPr>
              <w:t>ARIA: Four main reconciliation types. Trade Reconciliation: every executed trade must appear in the trade management system — comparing exchange trade files against internal capture records. Position Reconciliation: internal position (how many shares you hold according to your books) must equal the custodian's record. Cash Reconciliation: internal cash balance must equal the bank statement. Nostro/Depot Reconciliation: settlement accounts at the depository (depot) and correspondent bank (nostro) must balance after each settlement cycle.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Trade recon screen: NSE trade file downloaded (1,287 trades). Internal capture (1,285 trades captured). Break: 2 trades in exchange file not in internal system.</w:t>
            </w:r>
          </w:p>
        </w:tc>
        <w:tc>
          <w:tcPr>
            <w:tcW w:type="dxa" w:w="2493"/>
          </w:tcPr>
          <w:p>
            <w:pPr>
              <w:jc w:val="center"/>
            </w:pPr>
            <w:r>
              <w:rPr>
                <w:rFonts w:ascii="Calibri" w:hAnsi="Calibri"/>
                <w:b/>
                <w:i w:val="0"/>
                <w:color w:val="007A87"/>
                <w:sz w:val="18"/>
              </w:rPr>
              <w:t>TRADE RECON DETAIL</w:t>
            </w:r>
          </w:p>
        </w:tc>
        <w:tc>
          <w:tcPr>
            <w:tcW w:type="dxa" w:w="2493"/>
          </w:tcPr>
          <w:p>
            <w:r>
              <w:rPr>
                <w:sz w:val="20"/>
              </w:rPr>
              <w:t>KAVI: Trade reconciliation in practice: every business day, the operations team downloads the exchange's end-of-day trade file. This file lists every trade executed on that exchange for that member. The file is compared against the internal trade capture system record. Today: NSE shows 1,287 trades; internal system shows 1,285 captured. 2 breaks — two trades are in the exchange file but missing from internal records. These must be investigated immediately — were they captured in a different system? Was there an STP break?</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Position recon: internal portfolio shows 50,000 shares HDFC Bank. Custodian NSDL statement: 48,750 shares. Break: 1,250 shares difference. Investigation: two unsettled buy trades pending T+1 settlement.</w:t>
            </w:r>
          </w:p>
        </w:tc>
        <w:tc>
          <w:tcPr>
            <w:tcW w:type="dxa" w:w="2493"/>
          </w:tcPr>
          <w:p>
            <w:pPr>
              <w:jc w:val="center"/>
            </w:pPr>
            <w:r>
              <w:rPr>
                <w:rFonts w:ascii="Calibri" w:hAnsi="Calibri"/>
                <w:b/>
                <w:i w:val="0"/>
                <w:color w:val="007A87"/>
                <w:sz w:val="18"/>
              </w:rPr>
              <w:t>POSITION RECON DETAIL</w:t>
            </w:r>
          </w:p>
        </w:tc>
        <w:tc>
          <w:tcPr>
            <w:tcW w:type="dxa" w:w="2493"/>
          </w:tcPr>
          <w:p>
            <w:r>
              <w:rPr>
                <w:sz w:val="20"/>
              </w:rPr>
              <w:t>MOTION: Position reconciliation: your books show 50,000 HDFC Bank shares. Your custodian's NSDL statement shows 48,750. The 1,250 share break is investigated: result — two buy trades executed today are scheduled to settle tomorrow (T+1), so the custodian statement doesn't yet reflect them. This is an expected, explainable break — it will resolve automatically after tomorrow's settlement. Unexplained breaks require urgent investigation.</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Recon types: trade, position, cash, nostro/depot. Why recon matters. What breaks mean.</w:t>
            </w:r>
          </w:p>
        </w:tc>
        <w:tc>
          <w:tcPr>
            <w:tcW w:type="dxa" w:w="2493"/>
          </w:tcPr>
          <w:p>
            <w:pPr>
              <w:jc w:val="center"/>
            </w:pPr>
            <w:r>
              <w:rPr>
                <w:rFonts w:ascii="Calibri" w:hAnsi="Calibri"/>
                <w:b/>
                <w:i w:val="0"/>
                <w:color w:val="007A87"/>
                <w:sz w:val="18"/>
              </w:rPr>
              <w:t>RECAP E9 9 V1</w:t>
            </w:r>
          </w:p>
        </w:tc>
        <w:tc>
          <w:tcPr>
            <w:tcW w:type="dxa" w:w="2493"/>
          </w:tcPr>
          <w:p>
            <w:r>
              <w:rPr>
                <w:sz w:val="20"/>
              </w:rPr>
              <w:t>RYO: Reconciliation is the TLC's final control — ensuring internal records match all external sources. Four types: trade, position, cash, and nostro/depot reconciliation. ARIA: Breaks are not always errors — some are timing differences from unsettled trades. But all breaks must be explained and tracked. In Video 2 we walk through the reconciliation process end-to-end.</w:t>
            </w:r>
          </w:p>
        </w:tc>
      </w:tr>
    </w:tbl>
    <w:p/>
    <w:p>
      <w:r>
        <w:rPr>
          <w:rFonts w:ascii="Calibri" w:hAnsi="Calibri"/>
          <w:b/>
          <w:i w:val="0"/>
          <w:color w:val="007A87"/>
          <w:sz w:val="20"/>
        </w:rPr>
        <w:t xml:space="preserve">▶ Transition: </w:t>
      </w:r>
      <w:r>
        <w:rPr>
          <w:rFonts w:ascii="Calibri" w:hAnsi="Calibri"/>
          <w:b w:val="0"/>
          <w:i/>
          <w:color w:val="404040"/>
          <w:sz w:val="20"/>
        </w:rPr>
        <w:t>Next — E9.9 Video 2: Reconciliation Process and Break Resolution</w:t>
      </w:r>
    </w:p>
    <w:p/>
    <w:p>
      <w:pPr>
        <w:spacing w:before="120"/>
        <w:shd w:val="clear" w:color="auto" w:fill="101C4F"/>
      </w:pPr>
      <w:r>
        <w:rPr>
          <w:rFonts w:ascii="Calibri" w:hAnsi="Calibri"/>
          <w:b/>
          <w:i w:val="0"/>
          <w:color w:val="FFFFFF"/>
          <w:sz w:val="24"/>
        </w:rPr>
        <w:t xml:space="preserve">  E9.9: Trade Reconciliation — Types, Process, and Break Resolution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E9.9</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Reconciliation — Types, Process, and Break Resolution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reconciliation stage, including the main types of reconciliation performed after settlement, how breaks are identified and resolved, and the role of reconciliation in operational risk management.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Run a daily reconciliation and manage a break to resolution</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daily reconciliation workflow, classify breaks by type and age, and follow the resolution process for common break types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E9.9 Video 1: Reconciliation Types</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E9.9 Video 3: Reconciliation Technology and Regulatory Requirements</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Morning reconciliation workflow: 1. Download external files (exchange, custodian, bank). 2. Load into reconciliation system. 3. Auto-match. 4. Identify breaks. 5. Classify breaks. 6. Assign to analysts. 7. Resolve.</w:t>
            </w:r>
          </w:p>
        </w:tc>
        <w:tc>
          <w:tcPr>
            <w:tcW w:type="dxa" w:w="2493"/>
          </w:tcPr>
          <w:p>
            <w:pPr>
              <w:jc w:val="center"/>
            </w:pPr>
            <w:r>
              <w:rPr>
                <w:rFonts w:ascii="Calibri" w:hAnsi="Calibri"/>
                <w:b/>
                <w:i w:val="0"/>
                <w:color w:val="007A87"/>
                <w:sz w:val="18"/>
              </w:rPr>
              <w:t>DAILY RECON WORKFLOW</w:t>
            </w:r>
          </w:p>
        </w:tc>
        <w:tc>
          <w:tcPr>
            <w:tcW w:type="dxa" w:w="2493"/>
          </w:tcPr>
          <w:p>
            <w:r>
              <w:rPr>
                <w:sz w:val="20"/>
              </w:rPr>
              <w:t>ARIA: Daily reconciliation workflow — done every morning before trading begins. Step 1: download external data — NSE/BSE trade files, custodian statements from NSDL/CDSL, bank statements. Step 2: load all data into the reconciliation system. Step 3: automated matching — the system matches internal records against external data line by line. Step 4: breaks report — all unmatched items identified. Step 5: classify each break. Step 6: assign to analysts. Step 7: resolve before end of day.</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Matching engine: 1,284 of 1,287 trades auto-matched (99.8%). 3 breaks: Break A — price difference ₹3.45, Break B — quantity difference 100 shares, Break C — trade in exchange file, absent from internal system.</w:t>
            </w:r>
          </w:p>
        </w:tc>
        <w:tc>
          <w:tcPr>
            <w:tcW w:type="dxa" w:w="2493"/>
          </w:tcPr>
          <w:p>
            <w:pPr>
              <w:jc w:val="center"/>
            </w:pPr>
            <w:r>
              <w:rPr>
                <w:rFonts w:ascii="Calibri" w:hAnsi="Calibri"/>
                <w:b/>
                <w:i w:val="0"/>
                <w:color w:val="007A87"/>
                <w:sz w:val="18"/>
              </w:rPr>
              <w:t>AUTO MATCHING</w:t>
            </w:r>
          </w:p>
        </w:tc>
        <w:tc>
          <w:tcPr>
            <w:tcW w:type="dxa" w:w="2493"/>
          </w:tcPr>
          <w:p>
            <w:r>
              <w:rPr>
                <w:sz w:val="20"/>
              </w:rPr>
              <w:t>KAVI: Auto-matching rates: a well-functioning reconciliation system matches 99%+ of items automatically. Today's result: 1,284 of 1,287 trades auto-matched. Three breaks. Break A — price mismatch of ₹3.45: likely a commission calculation difference. Break B — quantity difference 100 shares: possibly a partial fill not fully captured. Break C — trade in exchange file but missing internally: STP break from earlier — must locate the missing capture.</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Break classification matrix: Age (same-day, 1–3 days, 4+ days) × Type (timing, genuine break, system error). Colour coded: green (timing, expected), amber (1–3 days genuine), red (4+ days, escalated).</w:t>
            </w:r>
          </w:p>
        </w:tc>
        <w:tc>
          <w:tcPr>
            <w:tcW w:type="dxa" w:w="2493"/>
          </w:tcPr>
          <w:p>
            <w:pPr>
              <w:jc w:val="center"/>
            </w:pPr>
            <w:r>
              <w:rPr>
                <w:rFonts w:ascii="Calibri" w:hAnsi="Calibri"/>
                <w:b/>
                <w:i w:val="0"/>
                <w:color w:val="007A87"/>
                <w:sz w:val="18"/>
              </w:rPr>
              <w:t>BREAK CLASSIFICATION</w:t>
            </w:r>
          </w:p>
        </w:tc>
        <w:tc>
          <w:tcPr>
            <w:tcW w:type="dxa" w:w="2493"/>
          </w:tcPr>
          <w:p>
            <w:r>
              <w:rPr>
                <w:sz w:val="20"/>
              </w:rPr>
              <w:t>RYO: Break classification by age and type: Timing breaks (green) — caused by settlement timing, usually resolve automatically T+1 or T+2. Genuine breaks (amber) — an actual difference in records requiring investigation and correction. System errors (amber to red) — a technical failure that caused incorrect data. Aged breaks (red) — any break older than 3 business days is escalated to senior management. Age is the most critical dimension — old unresolved breaks hide real problems.</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Three break resolutions: Break A (price) — commission schedule difference identified, internal record amended. Break B (quantity) — partial fill second leg found in a different account, transfers consolidated. Break C (missing trade) — STP break found in audit log, trade re-captured manually.</w:t>
            </w:r>
          </w:p>
        </w:tc>
        <w:tc>
          <w:tcPr>
            <w:tcW w:type="dxa" w:w="2493"/>
          </w:tcPr>
          <w:p>
            <w:pPr>
              <w:jc w:val="center"/>
            </w:pPr>
            <w:r>
              <w:rPr>
                <w:rFonts w:ascii="Calibri" w:hAnsi="Calibri"/>
                <w:b/>
                <w:i w:val="0"/>
                <w:color w:val="007A87"/>
                <w:sz w:val="18"/>
              </w:rPr>
              <w:t>RESOLUTION EXAMPLES</w:t>
            </w:r>
          </w:p>
        </w:tc>
        <w:tc>
          <w:tcPr>
            <w:tcW w:type="dxa" w:w="2493"/>
          </w:tcPr>
          <w:p>
            <w:r>
              <w:rPr>
                <w:sz w:val="20"/>
              </w:rPr>
              <w:t>ARIA: Break resolution examples: Break A (price ₹3.45): the exchange charges transaction fees which the internal system hadn't included in its matching tolerance. Tolerance adjusted; break cleared. Break B (100 shares quantity): investigation reveals the second partial fill of 100 shares was allocated to a different fund account — consolidation confirmed, break cleared. Break C (missing trade): found in the STP break log — a reference data issue caused the trade not to flow through. Manually captured, trade record created, break cleared.</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Break ageing dashboard: 7 open breaks today. 4 same-day (expected timing). 2 breaks aged 2 days (in progress). 1 break aged 6 days (escalated to Head of Ops, compliance informed).</w:t>
            </w:r>
          </w:p>
        </w:tc>
        <w:tc>
          <w:tcPr>
            <w:tcW w:type="dxa" w:w="2493"/>
          </w:tcPr>
          <w:p>
            <w:pPr>
              <w:jc w:val="center"/>
            </w:pPr>
            <w:r>
              <w:rPr>
                <w:rFonts w:ascii="Calibri" w:hAnsi="Calibri"/>
                <w:b/>
                <w:i w:val="0"/>
                <w:color w:val="007A87"/>
                <w:sz w:val="18"/>
              </w:rPr>
              <w:t>BREAK AGEING</w:t>
            </w:r>
          </w:p>
        </w:tc>
        <w:tc>
          <w:tcPr>
            <w:tcW w:type="dxa" w:w="2493"/>
          </w:tcPr>
          <w:p>
            <w:r>
              <w:rPr>
                <w:sz w:val="20"/>
              </w:rPr>
              <w:t>MOTION: Break ageing is tracked daily. Today's dashboard: 4 same-day timing breaks (green — expected). 2 two-day breaks (amber — investigations in progress). 1 six-day break (red — escalated to Head of Operations, compliance notified). The six-day break is a position reconciliation break of 5,000 shares Wipro where internal books show a holding that the custodian's NSDL record doesn't reflect. Active investigation: possible failed purchase from 6 days ago not yet resolved.</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Recon workflow: download → match → break classification → resolution. Break ageing and escalation.</w:t>
            </w:r>
          </w:p>
        </w:tc>
        <w:tc>
          <w:tcPr>
            <w:tcW w:type="dxa" w:w="2493"/>
          </w:tcPr>
          <w:p>
            <w:pPr>
              <w:jc w:val="center"/>
            </w:pPr>
            <w:r>
              <w:rPr>
                <w:rFonts w:ascii="Calibri" w:hAnsi="Calibri"/>
                <w:b/>
                <w:i w:val="0"/>
                <w:color w:val="007A87"/>
                <w:sz w:val="18"/>
              </w:rPr>
              <w:t>RECAP E9 9 V2</w:t>
            </w:r>
          </w:p>
        </w:tc>
        <w:tc>
          <w:tcPr>
            <w:tcW w:type="dxa" w:w="2493"/>
          </w:tcPr>
          <w:p>
            <w:r>
              <w:rPr>
                <w:sz w:val="20"/>
              </w:rPr>
              <w:t>KAVI: Reconciliation workflow: download external data, auto-match, classify breaks, assign and resolve. Break age determines urgency. RYO: Aged breaks (4+ days) are escalated to management and compliance. In Video 3, we cover the systems and regulatory requirements behind reconciliation.</w:t>
            </w:r>
          </w:p>
        </w:tc>
      </w:tr>
    </w:tbl>
    <w:p/>
    <w:p>
      <w:r>
        <w:rPr>
          <w:rFonts w:ascii="Calibri" w:hAnsi="Calibri"/>
          <w:b/>
          <w:i w:val="0"/>
          <w:color w:val="007A87"/>
          <w:sz w:val="20"/>
        </w:rPr>
        <w:t xml:space="preserve">▶ Transition: </w:t>
      </w:r>
      <w:r>
        <w:rPr>
          <w:rFonts w:ascii="Calibri" w:hAnsi="Calibri"/>
          <w:b w:val="0"/>
          <w:i/>
          <w:color w:val="404040"/>
          <w:sz w:val="20"/>
        </w:rPr>
        <w:t>Next — E9.9 Video 3: Reconciliation Technology and Regulatory Requirements</w:t>
      </w:r>
    </w:p>
    <w:p/>
    <w:p>
      <w:pPr>
        <w:spacing w:before="120"/>
        <w:shd w:val="clear" w:color="auto" w:fill="101C4F"/>
      </w:pPr>
      <w:r>
        <w:rPr>
          <w:rFonts w:ascii="Calibri" w:hAnsi="Calibri"/>
          <w:b/>
          <w:i w:val="0"/>
          <w:color w:val="FFFFFF"/>
          <w:sz w:val="24"/>
        </w:rPr>
        <w:t xml:space="preserve">  E9.9: Trade Reconciliation — Types, Process, and Break Resolution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E9.9</w:t>
            </w:r>
          </w:p>
        </w:tc>
      </w:tr>
      <w:tr>
        <w:tc>
          <w:tcPr>
            <w:tcW w:type="dxa" w:w="4986"/>
            <w:shd w:val="clear" w:color="auto" w:fill="007A87"/>
          </w:tcPr>
          <w:p>
            <w:r>
              <w:rPr>
                <w:rFonts w:ascii="Calibri" w:hAnsi="Calibri"/>
                <w:b/>
                <w:i w:val="0"/>
                <w:color w:val="FFFFFF"/>
                <w:sz w:val="20"/>
              </w:rPr>
              <w:t>UOR Title</w:t>
            </w:r>
          </w:p>
        </w:tc>
        <w:tc>
          <w:tcPr>
            <w:tcW w:type="dxa" w:w="4986"/>
          </w:tcPr>
          <w:p>
            <w:r>
              <w:rPr>
                <w:sz w:val="20"/>
              </w:rPr>
              <w:t>Trade Reconciliation — Types, Process, and Break Resolution</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Describe the trade reconciliation stage, including the main types of reconciliation performed after settlement, how breaks are identified and resolved, and the role of reconciliation in operational risk management.</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reconciliation technology and regulatory requirements to operational risk management</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reconciliation technology, explain SEBI's record-keeping requirements, and relate reconciliation outputs to the operational risk framework</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E9.9 Video 2: Break Resolution</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E9.10 Video 1: US Market TLC — NYSE, NASDAQ, and NSCC</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Reconciliation platform comparison: SmartStream TLM, Broadridge Recon, SS&amp;C Algorithmics, in-house built. Features: multi-asset, multi-custodian, automated break identification, audit trail.</w:t>
            </w:r>
          </w:p>
        </w:tc>
        <w:tc>
          <w:tcPr>
            <w:tcW w:type="dxa" w:w="2493"/>
          </w:tcPr>
          <w:p>
            <w:pPr>
              <w:jc w:val="center"/>
            </w:pPr>
            <w:r>
              <w:rPr>
                <w:rFonts w:ascii="Calibri" w:hAnsi="Calibri"/>
                <w:b/>
                <w:i w:val="0"/>
                <w:color w:val="007A87"/>
                <w:sz w:val="18"/>
              </w:rPr>
              <w:t>RECON TECHNOLOGY</w:t>
            </w:r>
          </w:p>
        </w:tc>
        <w:tc>
          <w:tcPr>
            <w:tcW w:type="dxa" w:w="2493"/>
          </w:tcPr>
          <w:p>
            <w:r>
              <w:rPr>
                <w:sz w:val="20"/>
              </w:rPr>
              <w:t>ARIA: Leading reconciliation platforms: SmartStream TLM (Transaction Lifecycle Management) — used by major custodians and prime brokers. Broadridge Recon — widely used by investment managers. SS&amp;C Algorithmics — analytics-driven reconciliation. Features to look for: multi-asset coverage (equities, bonds, derivatives), multi-custodian (some firms have 5+ custodians globally), automated break identification with AI-assisted classification, complete audit trail for regulatory purposes.</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Matching tolerance settings: cash amount tolerance ±₹5 (rounding), quantity tolerance 0 (exact match required), settlement date tolerance 0 (exact match required), price tolerance ₹1 (accounts for commission inclusion/exclusion differences).</w:t>
            </w:r>
          </w:p>
        </w:tc>
        <w:tc>
          <w:tcPr>
            <w:tcW w:type="dxa" w:w="2493"/>
          </w:tcPr>
          <w:p>
            <w:pPr>
              <w:jc w:val="center"/>
            </w:pPr>
            <w:r>
              <w:rPr>
                <w:rFonts w:ascii="Calibri" w:hAnsi="Calibri"/>
                <w:b/>
                <w:i w:val="0"/>
                <w:color w:val="007A87"/>
                <w:sz w:val="18"/>
              </w:rPr>
              <w:t>MATCHING TOLERANCE</w:t>
            </w:r>
          </w:p>
        </w:tc>
        <w:tc>
          <w:tcPr>
            <w:tcW w:type="dxa" w:w="2493"/>
          </w:tcPr>
          <w:p>
            <w:r>
              <w:rPr>
                <w:sz w:val="20"/>
              </w:rPr>
              <w:t>KAVI: Reconciliation matching tolerances are configured to reduce noise while not hiding real breaks. Cash amount tolerance: ±₹5 for rounding differences. Quantity: zero tolerance — any quantity difference is a genuine break. Settlement date: zero tolerance — a date mismatch is always investigated. Price: ±₹1 tolerance to accommodate commission-inclusive vs exclusive pricing. Setting tolerances too wide hides real errors; too tight generates excessive false positives.</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SEBI record-keeping requirements: all trade records, settlement records, and reconciliation reports must be retained for 5 years. Reconciliation breaks and their resolution must be documented. Internal audit reviews reconciliation quality quarterly.</w:t>
            </w:r>
          </w:p>
        </w:tc>
        <w:tc>
          <w:tcPr>
            <w:tcW w:type="dxa" w:w="2493"/>
          </w:tcPr>
          <w:p>
            <w:pPr>
              <w:jc w:val="center"/>
            </w:pPr>
            <w:r>
              <w:rPr>
                <w:rFonts w:ascii="Calibri" w:hAnsi="Calibri"/>
                <w:b/>
                <w:i w:val="0"/>
                <w:color w:val="007A87"/>
                <w:sz w:val="18"/>
              </w:rPr>
              <w:t>SEBI RECORD KEEPING</w:t>
            </w:r>
          </w:p>
        </w:tc>
        <w:tc>
          <w:tcPr>
            <w:tcW w:type="dxa" w:w="2493"/>
          </w:tcPr>
          <w:p>
            <w:r>
              <w:rPr>
                <w:sz w:val="20"/>
              </w:rPr>
              <w:t>RYO: SEBI's record-keeping requirements: all trade records and settlement confirmations — 5 years minimum. Reconciliation reports showing all breaks and their resolution — 5 years. Client account statements — 5 years. Firms must be able to reproduce any reconciliation from any date within the 5-year period upon regulatory request. Reconciliation quality is reviewed by internal audit quarterly and external audit annually.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Operational risk framework: reconciliation break rate KPI. Aged break value KPI. Unresolved break trend analysis. Fed into RCSA (Risk and Control Self-Assessment). Reported to CRO monthly.</w:t>
            </w:r>
          </w:p>
        </w:tc>
        <w:tc>
          <w:tcPr>
            <w:tcW w:type="dxa" w:w="2493"/>
          </w:tcPr>
          <w:p>
            <w:pPr>
              <w:jc w:val="center"/>
            </w:pPr>
            <w:r>
              <w:rPr>
                <w:rFonts w:ascii="Calibri" w:hAnsi="Calibri"/>
                <w:b/>
                <w:i w:val="0"/>
                <w:color w:val="007A87"/>
                <w:sz w:val="18"/>
              </w:rPr>
              <w:t>RECON AND RISK</w:t>
            </w:r>
          </w:p>
        </w:tc>
        <w:tc>
          <w:tcPr>
            <w:tcW w:type="dxa" w:w="2493"/>
          </w:tcPr>
          <w:p>
            <w:r>
              <w:rPr>
                <w:sz w:val="20"/>
              </w:rPr>
              <w:t>ARIA: Reconciliation metrics feed the operational risk framework: break rate (breaks per 1,000 trades — target under 3), aged break value (total value of breaks older than 3 days — target near zero), break resolution time (average hours to resolve — target under 4 hours). These metrics are reported to the Chief Risk Officer monthly and included in the RCSA — Risk and Control Self-Assessment — which maps key controls to operational risks.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Trend: AI-based matching, natural language break investigation, predictive break prevention using ML on historical data patterns.</w:t>
            </w:r>
          </w:p>
        </w:tc>
        <w:tc>
          <w:tcPr>
            <w:tcW w:type="dxa" w:w="2493"/>
          </w:tcPr>
          <w:p>
            <w:pPr>
              <w:jc w:val="center"/>
            </w:pPr>
            <w:r>
              <w:rPr>
                <w:rFonts w:ascii="Calibri" w:hAnsi="Calibri"/>
                <w:b/>
                <w:i w:val="0"/>
                <w:color w:val="007A87"/>
                <w:sz w:val="18"/>
              </w:rPr>
              <w:t>RECON AUTOMATION TRENDS</w:t>
            </w:r>
          </w:p>
        </w:tc>
        <w:tc>
          <w:tcPr>
            <w:tcW w:type="dxa" w:w="2493"/>
          </w:tcPr>
          <w:p>
            <w:r>
              <w:rPr>
                <w:sz w:val="20"/>
              </w:rPr>
              <w:t>MOTION: Trends in reconciliation: AI-based matching algorithms that learn from historical matches to handle complex non-standard comparisons. Natural language processing for break investigation — the system reads external documents and identifies likely break causes automatically. Predictive analytics — ML models trained on historical break data to predict which trades are likely to break before they actually do, enabling pre-emptive intervention.</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Reconciliation technology, tolerances, SEBI record-keeping, operational risk KPIs.</w:t>
            </w:r>
          </w:p>
        </w:tc>
        <w:tc>
          <w:tcPr>
            <w:tcW w:type="dxa" w:w="2493"/>
          </w:tcPr>
          <w:p>
            <w:pPr>
              <w:jc w:val="center"/>
            </w:pPr>
            <w:r>
              <w:rPr>
                <w:rFonts w:ascii="Calibri" w:hAnsi="Calibri"/>
                <w:b/>
                <w:i w:val="0"/>
                <w:color w:val="007A87"/>
                <w:sz w:val="18"/>
              </w:rPr>
              <w:t>RECAP E9 9 V3</w:t>
            </w:r>
          </w:p>
        </w:tc>
        <w:tc>
          <w:tcPr>
            <w:tcW w:type="dxa" w:w="2493"/>
          </w:tcPr>
          <w:p>
            <w:r>
              <w:rPr>
                <w:sz w:val="20"/>
              </w:rPr>
              <w:t>KAVI: Reconciliation technology automates matching, manages tolerances, and produces audit trails for regulatory compliance. RYO: SEBI requires 5-year records. Break metrics feed operational risk reporting. Next and final UOR: E9.10 — US Market TLC — comparing the NYSE/NASDAQ ecosystem with India's NSE/BSE, and tracing the US settlement chain through NSCC and DTCC.</w:t>
            </w:r>
          </w:p>
        </w:tc>
      </w:tr>
    </w:tbl>
    <w:p/>
    <w:p>
      <w:r>
        <w:rPr>
          <w:rFonts w:ascii="Calibri" w:hAnsi="Calibri"/>
          <w:b/>
          <w:i w:val="0"/>
          <w:color w:val="007A87"/>
          <w:sz w:val="20"/>
        </w:rPr>
        <w:t xml:space="preserve">▶ Transition: </w:t>
      </w:r>
      <w:r>
        <w:rPr>
          <w:rFonts w:ascii="Calibri" w:hAnsi="Calibri"/>
          <w:b w:val="0"/>
          <w:i/>
          <w:color w:val="404040"/>
          <w:sz w:val="20"/>
        </w:rPr>
        <w:t>Next — E9.10 Video 1: US Market TLC — NYSE, NASDAQ, and NSCC</w:t>
      </w:r>
    </w:p>
    <w:p/>
    <w:p>
      <w:pPr>
        <w:pStyle w:val="Heading1"/>
      </w:pPr>
      <w:r>
        <w:rPr>
          <w:color w:val="101C4F"/>
        </w:rPr>
        <w:t>E9.10: US Market TLC — NYSE, NASDAQ, NSCC, and DTCC</w:t>
      </w:r>
    </w:p>
    <w:p>
      <w:r>
        <w:rPr>
          <w:rFonts w:ascii="Calibri" w:hAnsi="Calibri"/>
          <w:b/>
          <w:i w:val="0"/>
          <w:color w:val="007A87"/>
          <w:sz w:val="22"/>
        </w:rPr>
        <w:t xml:space="preserve">Competency Statement: </w:t>
      </w:r>
      <w:r>
        <w:rPr>
          <w:rFonts w:ascii="Calibri" w:hAnsi="Calibri"/>
          <w:b w:val="0"/>
          <w:i w:val="0"/>
          <w:sz w:val="22"/>
        </w:rPr>
        <w:t>Compare the US equity TLC (NYSE/NASDAQ → NSCC → DTCC → DTC) with the Indian TLC (NSE/BSE → NSCC → NSDL/CDSL), identifying the key structural similarities and differences.</w:t>
      </w:r>
    </w:p>
    <w:p/>
    <w:p>
      <w:pPr>
        <w:spacing w:before="120"/>
        <w:shd w:val="clear" w:color="auto" w:fill="101C4F"/>
      </w:pPr>
      <w:r>
        <w:rPr>
          <w:rFonts w:ascii="Calibri" w:hAnsi="Calibri"/>
          <w:b/>
          <w:i w:val="0"/>
          <w:color w:val="FFFFFF"/>
          <w:sz w:val="24"/>
        </w:rPr>
        <w:t xml:space="preserve">  E9.10: US Market TLC — NYSE, NASDAQ, NSCC, and DTCC  —  Video 1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E9.10</w:t>
            </w:r>
          </w:p>
        </w:tc>
      </w:tr>
      <w:tr>
        <w:tc>
          <w:tcPr>
            <w:tcW w:type="dxa" w:w="4986"/>
            <w:shd w:val="clear" w:color="auto" w:fill="007A87"/>
          </w:tcPr>
          <w:p>
            <w:r>
              <w:rPr>
                <w:rFonts w:ascii="Calibri" w:hAnsi="Calibri"/>
                <w:b/>
                <w:i w:val="0"/>
                <w:color w:val="FFFFFF"/>
                <w:sz w:val="20"/>
              </w:rPr>
              <w:t>UOR Title</w:t>
            </w:r>
          </w:p>
        </w:tc>
        <w:tc>
          <w:tcPr>
            <w:tcW w:type="dxa" w:w="4986"/>
          </w:tcPr>
          <w:p>
            <w:r>
              <w:rPr>
                <w:sz w:val="20"/>
              </w:rPr>
              <w:t>US Market TLC — NYSE, NASDAQ, NSCC, and DTCC</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Compare the US equity TLC (NYSE/NASDAQ → NSCC → DTCC → DTC) with the Indian TLC (NSE/BSE → NSCC → NSDL/CDSL), identifying the key structural similarities and differences.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Explain: Describe the US equity market structure and its key infrastructure participants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explain the roles of NYSE, NASDAQ, NSCC (US), and DTCC/DTC in the US equity TLC and compare them to their Indian equivalents</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E9.9 Video 3: Reconciliation Technology</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E9.10 Video 2: US TLC — Buy-Side and Sell-Side Workflow</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Side-by-side: NYSE (New York, physical trading floor + electronic) and NASDAQ (fully electronic, market-maker model) logos with trading volume stats.</w:t>
            </w:r>
          </w:p>
        </w:tc>
        <w:tc>
          <w:tcPr>
            <w:tcW w:type="dxa" w:w="2493"/>
          </w:tcPr>
          <w:p>
            <w:pPr>
              <w:jc w:val="center"/>
            </w:pPr>
            <w:r>
              <w:rPr>
                <w:rFonts w:ascii="Calibri" w:hAnsi="Calibri"/>
                <w:b/>
                <w:i w:val="0"/>
                <w:color w:val="007A87"/>
                <w:sz w:val="18"/>
              </w:rPr>
              <w:t>US MARKET INTRO</w:t>
            </w:r>
          </w:p>
        </w:tc>
        <w:tc>
          <w:tcPr>
            <w:tcW w:type="dxa" w:w="2493"/>
          </w:tcPr>
          <w:p>
            <w:r>
              <w:rPr>
                <w:sz w:val="20"/>
              </w:rPr>
              <w:t>KAVI: The US equity market has two major exchanges: NYSE — New York Stock Exchange — the world's largest by market capitalisation. NYSE uses a hybrid model: a designated market maker (DMM) on the floor plus electronic matching. NASDAQ — fully electronic, using competitive market makers who quote bid/ask prices. Both exchanges route to the same post-trade infrastructure: NSCC and DTCC.</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NSCC (US) — National Securities Clearing Corporation, a subsidiary of DTCC. CCP for US equity trades. Continuous Net Settlement (CNS) system.</w:t>
            </w:r>
          </w:p>
        </w:tc>
        <w:tc>
          <w:tcPr>
            <w:tcW w:type="dxa" w:w="2493"/>
          </w:tcPr>
          <w:p>
            <w:pPr>
              <w:jc w:val="center"/>
            </w:pPr>
            <w:r>
              <w:rPr>
                <w:rFonts w:ascii="Calibri" w:hAnsi="Calibri"/>
                <w:b/>
                <w:i w:val="0"/>
                <w:color w:val="007A87"/>
                <w:sz w:val="18"/>
              </w:rPr>
              <w:t>NSCC US</w:t>
            </w:r>
          </w:p>
        </w:tc>
        <w:tc>
          <w:tcPr>
            <w:tcW w:type="dxa" w:w="2493"/>
          </w:tcPr>
          <w:p>
            <w:r>
              <w:rPr>
                <w:sz w:val="20"/>
              </w:rPr>
              <w:t>RYO: NSCC in the US — different from India's NSCC — is a subsidiary of DTCC (Depository Trust &amp; Clearing Corporation). NSCC provides central counterparty clearing for all US equity and bond trades through its CNS system — Continuous Net Settlement. Like India's NSCC, it novates trades and nets obligations. US NSCC processes 98% of all US equity trades, averaging over $2 trillion per day.</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DTCC ecosystem: NSCC (clearing) + DTC (settlement/custody) + FICC (fixed income). DTC — Depository Trust Company — holds $70 trillion in securities in electronic form.</w:t>
            </w:r>
          </w:p>
        </w:tc>
        <w:tc>
          <w:tcPr>
            <w:tcW w:type="dxa" w:w="2493"/>
          </w:tcPr>
          <w:p>
            <w:pPr>
              <w:jc w:val="center"/>
            </w:pPr>
            <w:r>
              <w:rPr>
                <w:rFonts w:ascii="Calibri" w:hAnsi="Calibri"/>
                <w:b/>
                <w:i w:val="0"/>
                <w:color w:val="007A87"/>
                <w:sz w:val="18"/>
              </w:rPr>
              <w:t>DTCC DTC</w:t>
            </w:r>
          </w:p>
        </w:tc>
        <w:tc>
          <w:tcPr>
            <w:tcW w:type="dxa" w:w="2493"/>
          </w:tcPr>
          <w:p>
            <w:r>
              <w:rPr>
                <w:sz w:val="20"/>
              </w:rPr>
              <w:t>ARIA: DTCC — Depository Trust and Clearing Corporation — is the parent of three critical US infrastructure entities: NSCC handles equities clearing. DTC — Depository Trust Company — is the US central securities depository, equivalent to India's NSDL/CDSL. DTC holds virtually all US publicly traded securities in electronic form — over $70 trillion. FICC — Fixed Income Clearing Corporation — clears US government bonds and MBS. Together they form the backbone of US post-trade infrastructure.</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Comparison table: India (NSE/BSE → NSCC India → NSDL/CDSL) vs US (NYSE/NASDAQ → NSCC US → DTC). Similarities: both have CCP + depository. Differences: India has two depositories; US has one. India T+1; US moving from T+2 to T+1.</w:t>
            </w:r>
          </w:p>
        </w:tc>
        <w:tc>
          <w:tcPr>
            <w:tcW w:type="dxa" w:w="2493"/>
          </w:tcPr>
          <w:p>
            <w:pPr>
              <w:jc w:val="center"/>
            </w:pPr>
            <w:r>
              <w:rPr>
                <w:rFonts w:ascii="Calibri" w:hAnsi="Calibri"/>
                <w:b/>
                <w:i w:val="0"/>
                <w:color w:val="007A87"/>
                <w:sz w:val="18"/>
              </w:rPr>
              <w:t>US VS INDIA STRUCTURE</w:t>
            </w:r>
          </w:p>
        </w:tc>
        <w:tc>
          <w:tcPr>
            <w:tcW w:type="dxa" w:w="2493"/>
          </w:tcPr>
          <w:p>
            <w:r>
              <w:rPr>
                <w:sz w:val="20"/>
              </w:rPr>
              <w:t>KAVI: Structural comparison: India — NSE/BSE as exchanges, NSCC India as CCP, NSDL and CDSL as dual depositories, T+1 settlement. US — NYSE/NASDAQ as exchanges, NSCC US (under DTCC) as CCP, DTC as single depository, T+2 historically (moving to T+1 from May 2024). Key difference: India has two competing depositories; the US has one central DTC. Both use DVP settlement. Both use multilateral netting.</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US T+2 settlement cycle timeline: Trade Day (execution) → T+1 (confirmation, allocation, DTC pre-matching) → T+2 (settlement — DTC debit/credit of securities, Fedwire cash settlement).</w:t>
            </w:r>
          </w:p>
        </w:tc>
        <w:tc>
          <w:tcPr>
            <w:tcW w:type="dxa" w:w="2493"/>
          </w:tcPr>
          <w:p>
            <w:pPr>
              <w:jc w:val="center"/>
            </w:pPr>
            <w:r>
              <w:rPr>
                <w:rFonts w:ascii="Calibri" w:hAnsi="Calibri"/>
                <w:b/>
                <w:i w:val="0"/>
                <w:color w:val="007A87"/>
                <w:sz w:val="18"/>
              </w:rPr>
              <w:t>US SETTLEMENT T2</w:t>
            </w:r>
          </w:p>
        </w:tc>
        <w:tc>
          <w:tcPr>
            <w:tcW w:type="dxa" w:w="2493"/>
          </w:tcPr>
          <w:p>
            <w:r>
              <w:rPr>
                <w:sz w:val="20"/>
              </w:rPr>
              <w:t>MOTION: US T+2 settlement timeline (standard until May 2024): trade day — execution. T+1 — institutional brokers submit allocation instructions via DTCC's OASYS or Omgeo. DTC pre-matching occurs. T+2 — DTC processes all security transfers. Cash settlement occurs via Fedwire Funds — the US Federal Reserve's real-time gross settlement system, equivalent to India's RTGS. Moving to T+1 eliminates T+1 from the timeline — everything must complete on trade day for T+1 settlement.</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F0A800"/>
                <w:sz w:val="20"/>
              </w:rPr>
              <w:t>ARIA</w:t>
            </w:r>
          </w:p>
        </w:tc>
        <w:tc>
          <w:tcPr>
            <w:tcW w:type="dxa" w:w="2493"/>
          </w:tcPr>
          <w:p>
            <w:r>
              <w:rPr>
                <w:sz w:val="20"/>
              </w:rPr>
              <w:t>US market structure: NYSE/NASDAQ → NSCC (US) → DTC. Comparison with Indian TLC infrastructure.</w:t>
            </w:r>
          </w:p>
        </w:tc>
        <w:tc>
          <w:tcPr>
            <w:tcW w:type="dxa" w:w="2493"/>
          </w:tcPr>
          <w:p>
            <w:pPr>
              <w:jc w:val="center"/>
            </w:pPr>
            <w:r>
              <w:rPr>
                <w:rFonts w:ascii="Calibri" w:hAnsi="Calibri"/>
                <w:b/>
                <w:i w:val="0"/>
                <w:color w:val="007A87"/>
                <w:sz w:val="18"/>
              </w:rPr>
              <w:t>RECAP E9 10 V1</w:t>
            </w:r>
          </w:p>
        </w:tc>
        <w:tc>
          <w:tcPr>
            <w:tcW w:type="dxa" w:w="2493"/>
          </w:tcPr>
          <w:p>
            <w:r>
              <w:rPr>
                <w:sz w:val="20"/>
              </w:rPr>
              <w:t>RYO: US market structure: two major exchanges, one CCP (NSCC/DTCC), one depository (DTC), historical T+2 settlement moving to T+1. ARIA: Same DVP model, same multilateral netting — structurally very similar to India. In Video 2 we trace how a US institutional investor's order flows through the full buy-side and sell-side workflow.</w:t>
            </w:r>
          </w:p>
        </w:tc>
      </w:tr>
    </w:tbl>
    <w:p/>
    <w:p>
      <w:r>
        <w:rPr>
          <w:rFonts w:ascii="Calibri" w:hAnsi="Calibri"/>
          <w:b/>
          <w:i w:val="0"/>
          <w:color w:val="007A87"/>
          <w:sz w:val="20"/>
        </w:rPr>
        <w:t xml:space="preserve">▶ Transition: </w:t>
      </w:r>
      <w:r>
        <w:rPr>
          <w:rFonts w:ascii="Calibri" w:hAnsi="Calibri"/>
          <w:b w:val="0"/>
          <w:i/>
          <w:color w:val="404040"/>
          <w:sz w:val="20"/>
        </w:rPr>
        <w:t>Next — E9.10 Video 2: US TLC — Buy-Side and Sell-Side Workflow</w:t>
      </w:r>
    </w:p>
    <w:p/>
    <w:p>
      <w:pPr>
        <w:spacing w:before="120"/>
        <w:shd w:val="clear" w:color="auto" w:fill="101C4F"/>
      </w:pPr>
      <w:r>
        <w:rPr>
          <w:rFonts w:ascii="Calibri" w:hAnsi="Calibri"/>
          <w:b/>
          <w:i w:val="0"/>
          <w:color w:val="FFFFFF"/>
          <w:sz w:val="24"/>
        </w:rPr>
        <w:t xml:space="preserve">  E9.10: US Market TLC — NYSE, NASDAQ, NSCC, and DTCC  —  Video 2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E9.10</w:t>
            </w:r>
          </w:p>
        </w:tc>
      </w:tr>
      <w:tr>
        <w:tc>
          <w:tcPr>
            <w:tcW w:type="dxa" w:w="4986"/>
            <w:shd w:val="clear" w:color="auto" w:fill="007A87"/>
          </w:tcPr>
          <w:p>
            <w:r>
              <w:rPr>
                <w:rFonts w:ascii="Calibri" w:hAnsi="Calibri"/>
                <w:b/>
                <w:i w:val="0"/>
                <w:color w:val="FFFFFF"/>
                <w:sz w:val="20"/>
              </w:rPr>
              <w:t>UOR Title</w:t>
            </w:r>
          </w:p>
        </w:tc>
        <w:tc>
          <w:tcPr>
            <w:tcW w:type="dxa" w:w="4986"/>
          </w:tcPr>
          <w:p>
            <w:r>
              <w:rPr>
                <w:sz w:val="20"/>
              </w:rPr>
              <w:t>US Market TLC — NYSE, NASDAQ, NSCC, and DTCC</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Compare the US equity TLC (NYSE/NASDAQ → NSCC → DTCC → DTC) with the Indian TLC (NSE/BSE → NSCC → NSDL/CDSL), identifying the key structural similarities and differences.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Apply: Trace a US institutional equity trade through the buy-side and sell-side TLC</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trace a US equity trade from investment decision through to DTC settlement, identifying the role of each participant at each stage</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E9.10 Video 1: US Market Structure</w:t>
            </w:r>
          </w:p>
        </w:tc>
      </w:tr>
      <w:tr>
        <w:tc>
          <w:tcPr>
            <w:tcW w:type="dxa" w:w="4986"/>
            <w:shd w:val="clear" w:color="auto" w:fill="007A87"/>
          </w:tcPr>
          <w:p>
            <w:r>
              <w:rPr>
                <w:rFonts w:ascii="Calibri" w:hAnsi="Calibri"/>
                <w:b/>
                <w:i w:val="0"/>
                <w:color w:val="FFFFFF"/>
                <w:sz w:val="20"/>
              </w:rPr>
              <w:t>Next UOR</w:t>
            </w:r>
          </w:p>
        </w:tc>
        <w:tc>
          <w:tcPr>
            <w:tcW w:type="dxa" w:w="4986"/>
          </w:tcPr>
          <w:p>
            <w:r>
              <w:rPr>
                <w:sz w:val="20"/>
              </w:rPr>
              <w:t>E9.10 Video 3: Custodian Role and Cross-Border Settlement</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Fidelity portfolio manager (Boston): decides to buy 50,000 Apple shares. Enters order into Charles River IMS (OMS). Pre-trade compliance check. Routes to execution desk.</w:t>
            </w:r>
          </w:p>
        </w:tc>
        <w:tc>
          <w:tcPr>
            <w:tcW w:type="dxa" w:w="2493"/>
          </w:tcPr>
          <w:p>
            <w:pPr>
              <w:jc w:val="center"/>
            </w:pPr>
            <w:r>
              <w:rPr>
                <w:rFonts w:ascii="Calibri" w:hAnsi="Calibri"/>
                <w:b/>
                <w:i w:val="0"/>
                <w:color w:val="007A87"/>
                <w:sz w:val="18"/>
              </w:rPr>
              <w:t>US BUYSIDE DECISION</w:t>
            </w:r>
          </w:p>
        </w:tc>
        <w:tc>
          <w:tcPr>
            <w:tcW w:type="dxa" w:w="2493"/>
          </w:tcPr>
          <w:p>
            <w:r>
              <w:rPr>
                <w:sz w:val="20"/>
              </w:rPr>
              <w:t>ARIA: US buy-side TLC: a portfolio manager at Fidelity Investments decides to buy 50,000 Apple shares — approximately $9.5 million. She enters the parent order into the Charles River IMS. Pre-trade checks: does this comply with the fund's investment policy? No position limits breached. Order cleared and routed to the equity trading desk.</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Trading desk: splits 50,000 AAPL into 10 child orders of 5,000. Routes via DMA to NYSE and NASDAQ. VWAP algo used. Execution complete: average fill $190.32.</w:t>
            </w:r>
          </w:p>
        </w:tc>
        <w:tc>
          <w:tcPr>
            <w:tcW w:type="dxa" w:w="2493"/>
          </w:tcPr>
          <w:p>
            <w:pPr>
              <w:jc w:val="center"/>
            </w:pPr>
            <w:r>
              <w:rPr>
                <w:rFonts w:ascii="Calibri" w:hAnsi="Calibri"/>
                <w:b/>
                <w:i w:val="0"/>
                <w:color w:val="007A87"/>
                <w:sz w:val="18"/>
              </w:rPr>
              <w:t>US EXECUTION</w:t>
            </w:r>
          </w:p>
        </w:tc>
        <w:tc>
          <w:tcPr>
            <w:tcW w:type="dxa" w:w="2493"/>
          </w:tcPr>
          <w:p>
            <w:r>
              <w:rPr>
                <w:sz w:val="20"/>
              </w:rPr>
              <w:t>KAVI: US execution: the dealer splits the 50,000 share order into ten child orders. Uses a VWAP algorithm across NYSE and NASDAQ. Some child orders fill on NYSE's electronic book, others on NASDAQ's competing market makers. By 2:00 PM Eastern, all 50,000 shares are filled at an average price of $190.32. Execution reports flow back via FIX to Charles River. Position updates instantly.</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Prime broker (Goldman Sachs) capture: FIX execution report received. Trade captured in Goldman's trade management system. Allocation instruction received from Fidelity: 50,000 shares allocated to 3 fund accounts.</w:t>
            </w:r>
          </w:p>
        </w:tc>
        <w:tc>
          <w:tcPr>
            <w:tcW w:type="dxa" w:w="2493"/>
          </w:tcPr>
          <w:p>
            <w:pPr>
              <w:jc w:val="center"/>
            </w:pPr>
            <w:r>
              <w:rPr>
                <w:rFonts w:ascii="Calibri" w:hAnsi="Calibri"/>
                <w:b/>
                <w:i w:val="0"/>
                <w:color w:val="007A87"/>
                <w:sz w:val="18"/>
              </w:rPr>
              <w:t>US BROKER CAPTURE</w:t>
            </w:r>
          </w:p>
        </w:tc>
        <w:tc>
          <w:tcPr>
            <w:tcW w:type="dxa" w:w="2493"/>
          </w:tcPr>
          <w:p>
            <w:r>
              <w:rPr>
                <w:sz w:val="20"/>
              </w:rPr>
              <w:t>RYO: Post-execution: Goldman Sachs (the executing broker) receives the FIX execution report. Fidelity submits a block allocation instruction via Omgeo CTM — allocating 50,000 shares across 3 Fidelity fund accounts. Goldman's trade management system creates 3 separate allocation records. Each allocation is submitted to DTC's ID system for affirmation by Fidelity's custodian bank.</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DTC Institutional Delivery (ID) system: Goldman submits trade details. Fidelity's custodian (State Street) affirms or dis-affirms. Affirmation deadline: 9:00 PM Eastern on Trade Day.</w:t>
            </w:r>
          </w:p>
        </w:tc>
        <w:tc>
          <w:tcPr>
            <w:tcW w:type="dxa" w:w="2493"/>
          </w:tcPr>
          <w:p>
            <w:pPr>
              <w:jc w:val="center"/>
            </w:pPr>
            <w:r>
              <w:rPr>
                <w:rFonts w:ascii="Calibri" w:hAnsi="Calibri"/>
                <w:b/>
                <w:i w:val="0"/>
                <w:color w:val="007A87"/>
                <w:sz w:val="18"/>
              </w:rPr>
              <w:t>DTC AFFIRMATION</w:t>
            </w:r>
          </w:p>
        </w:tc>
        <w:tc>
          <w:tcPr>
            <w:tcW w:type="dxa" w:w="2493"/>
          </w:tcPr>
          <w:p>
            <w:r>
              <w:rPr>
                <w:sz w:val="20"/>
              </w:rPr>
              <w:t>ARIA: DTC Affirmation: Goldman submits the three allocations to DTC's Institutional Delivery system. Fidelity's custodian — State Street Bank — reviews each allocation. If the details match Fidelity's records (quantity, price, account), State Street affirms. If not, they dis-affirm and the discrepancy must be resolved. DTCC requires affirmation by 9:00 PM Eastern on trade day for T+2 settlement — under T+1, this deadline moves to same-day afternoon.</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T+2 settlement at DTC: NSCC nets Goldman's and State Street's obligations. DTC debits Apple shares from Goldman's participant account, credits to State Street's account. Fedwire: State Street's bank pays Goldman's settlement bank $9,516,000.</w:t>
            </w:r>
          </w:p>
        </w:tc>
        <w:tc>
          <w:tcPr>
            <w:tcW w:type="dxa" w:w="2493"/>
          </w:tcPr>
          <w:p>
            <w:pPr>
              <w:jc w:val="center"/>
            </w:pPr>
            <w:r>
              <w:rPr>
                <w:rFonts w:ascii="Calibri" w:hAnsi="Calibri"/>
                <w:b/>
                <w:i w:val="0"/>
                <w:color w:val="007A87"/>
                <w:sz w:val="18"/>
              </w:rPr>
              <w:t>DTC SETTLEMENT</w:t>
            </w:r>
          </w:p>
        </w:tc>
        <w:tc>
          <w:tcPr>
            <w:tcW w:type="dxa" w:w="2493"/>
          </w:tcPr>
          <w:p>
            <w:r>
              <w:rPr>
                <w:sz w:val="20"/>
              </w:rPr>
              <w:t>KAVI: T+2 settlement at DTC: NSCC calculates Goldman's net delivery obligation (all the sell-side shares to deliver to buy-side customers). DTC processes the securities transfer: 50,000 Apple shares debited from Goldman's DTC participant account, credited to State Street's participant account. Simultaneously, $9,516,000 (50,000 × $190.32) is moved from State Street's settlement bank to Goldman's settlement bank via Fedwire. DVP complete.</w:t>
            </w:r>
          </w:p>
        </w:tc>
      </w:tr>
      <w:tr>
        <w:tc>
          <w:tcPr>
            <w:tcW w:type="dxa" w:w="2493"/>
            <w:shd w:val="clear" w:color="auto" w:fill="F5F6FA"/>
          </w:tcPr>
          <w:p>
            <w:pPr>
              <w:jc w:val="center"/>
            </w:pPr>
            <w:r>
              <w:rPr>
                <w:rFonts w:ascii="Calibri" w:hAnsi="Calibri"/>
                <w:b/>
                <w:i w:val="0"/>
                <w:color w:val="101C4F"/>
                <w:sz w:val="20"/>
              </w:rPr>
              <w:t>RYO</w:t>
            </w:r>
            <w:r>
              <w:rPr>
                <w:rFonts w:ascii="Calibri" w:hAnsi="Calibri"/>
                <w:b w:val="0"/>
                <w:i w:val="0"/>
                <w:color w:val="404040"/>
                <w:sz w:val="20"/>
              </w:rPr>
              <w:t xml:space="preserve"> / </w:t>
            </w:r>
            <w:r>
              <w:rPr>
                <w:rFonts w:ascii="Calibri" w:hAnsi="Calibri"/>
                <w:b/>
                <w:i w:val="0"/>
                <w:color w:val="404040"/>
                <w:sz w:val="20"/>
              </w:rPr>
              <w:t>MOTION</w:t>
            </w:r>
          </w:p>
        </w:tc>
        <w:tc>
          <w:tcPr>
            <w:tcW w:type="dxa" w:w="2493"/>
          </w:tcPr>
          <w:p>
            <w:r>
              <w:rPr>
                <w:sz w:val="20"/>
              </w:rPr>
              <w:t>US TLC: Fidelity PM → Goldman execution → DTC affirmation → NSCC netting → DTC settlement + Fedwire cash.</w:t>
            </w:r>
          </w:p>
        </w:tc>
        <w:tc>
          <w:tcPr>
            <w:tcW w:type="dxa" w:w="2493"/>
          </w:tcPr>
          <w:p>
            <w:pPr>
              <w:jc w:val="center"/>
            </w:pPr>
            <w:r>
              <w:rPr>
                <w:rFonts w:ascii="Calibri" w:hAnsi="Calibri"/>
                <w:b/>
                <w:i w:val="0"/>
                <w:color w:val="007A87"/>
                <w:sz w:val="18"/>
              </w:rPr>
              <w:t>RECAP E9 10 V2</w:t>
            </w:r>
          </w:p>
        </w:tc>
        <w:tc>
          <w:tcPr>
            <w:tcW w:type="dxa" w:w="2493"/>
          </w:tcPr>
          <w:p>
            <w:r>
              <w:rPr>
                <w:sz w:val="20"/>
              </w:rPr>
              <w:t>RYO: US institutional TLC: buy-side portfolio manager → executing broker → prime broker capture → allocation via Omgeo → DTC affirmation → NSCC netting → DTC securities transfer + Fedwire cash. MOTION: In Video 3 we add the custodian layer and look at cross-border settlement — when an Indian investor trades US securities.</w:t>
            </w:r>
          </w:p>
        </w:tc>
      </w:tr>
    </w:tbl>
    <w:p/>
    <w:p>
      <w:r>
        <w:rPr>
          <w:rFonts w:ascii="Calibri" w:hAnsi="Calibri"/>
          <w:b/>
          <w:i w:val="0"/>
          <w:color w:val="007A87"/>
          <w:sz w:val="20"/>
        </w:rPr>
        <w:t xml:space="preserve">▶ Transition: </w:t>
      </w:r>
      <w:r>
        <w:rPr>
          <w:rFonts w:ascii="Calibri" w:hAnsi="Calibri"/>
          <w:b w:val="0"/>
          <w:i/>
          <w:color w:val="404040"/>
          <w:sz w:val="20"/>
        </w:rPr>
        <w:t>Next — E9.10 Video 3: Custodian Role and Cross-Border Settlement</w:t>
      </w:r>
    </w:p>
    <w:p/>
    <w:p>
      <w:pPr>
        <w:spacing w:before="120"/>
        <w:shd w:val="clear" w:color="auto" w:fill="101C4F"/>
      </w:pPr>
      <w:r>
        <w:rPr>
          <w:rFonts w:ascii="Calibri" w:hAnsi="Calibri"/>
          <w:b/>
          <w:i w:val="0"/>
          <w:color w:val="FFFFFF"/>
          <w:sz w:val="24"/>
        </w:rPr>
        <w:t xml:space="preserve">  E9.10: US Market TLC — NYSE, NASDAQ, NSCC, and DTCC  —  Video 3 of 3</w:t>
      </w:r>
    </w:p>
    <w:p/>
    <w:tbl>
      <w:tblPr>
        <w:tblStyle w:val="TableGrid"/>
        <w:tblW w:type="auto" w:w="0"/>
        <w:tblLook w:firstColumn="1" w:firstRow="1" w:lastColumn="0" w:lastRow="0" w:noHBand="0" w:noVBand="1" w:val="04A0"/>
      </w:tblPr>
      <w:tblGrid>
        <w:gridCol w:w="4986"/>
        <w:gridCol w:w="4986"/>
      </w:tblGrid>
      <w:tr>
        <w:tc>
          <w:tcPr>
            <w:tcW w:type="dxa" w:w="4986"/>
            <w:shd w:val="clear" w:color="auto" w:fill="007A87"/>
          </w:tcPr>
          <w:p>
            <w:r>
              <w:rPr>
                <w:rFonts w:ascii="Calibri" w:hAnsi="Calibri"/>
                <w:b/>
                <w:i w:val="0"/>
                <w:color w:val="FFFFFF"/>
                <w:sz w:val="20"/>
              </w:rPr>
              <w:t>UOR Code</w:t>
            </w:r>
          </w:p>
        </w:tc>
        <w:tc>
          <w:tcPr>
            <w:tcW w:type="dxa" w:w="4986"/>
          </w:tcPr>
          <w:p>
            <w:r>
              <w:rPr>
                <w:sz w:val="20"/>
              </w:rPr>
              <w:t>E9.10</w:t>
            </w:r>
          </w:p>
        </w:tc>
      </w:tr>
      <w:tr>
        <w:tc>
          <w:tcPr>
            <w:tcW w:type="dxa" w:w="4986"/>
            <w:shd w:val="clear" w:color="auto" w:fill="007A87"/>
          </w:tcPr>
          <w:p>
            <w:r>
              <w:rPr>
                <w:rFonts w:ascii="Calibri" w:hAnsi="Calibri"/>
                <w:b/>
                <w:i w:val="0"/>
                <w:color w:val="FFFFFF"/>
                <w:sz w:val="20"/>
              </w:rPr>
              <w:t>UOR Title</w:t>
            </w:r>
          </w:p>
        </w:tc>
        <w:tc>
          <w:tcPr>
            <w:tcW w:type="dxa" w:w="4986"/>
          </w:tcPr>
          <w:p>
            <w:r>
              <w:rPr>
                <w:sz w:val="20"/>
              </w:rPr>
              <w:t>US Market TLC — NYSE, NASDAQ, NSCC, and DTCC</w:t>
            </w:r>
          </w:p>
        </w:tc>
      </w:tr>
      <w:tr>
        <w:tc>
          <w:tcPr>
            <w:tcW w:type="dxa" w:w="4986"/>
            <w:shd w:val="clear" w:color="auto" w:fill="007A87"/>
          </w:tcPr>
          <w:p>
            <w:r>
              <w:rPr>
                <w:rFonts w:ascii="Calibri" w:hAnsi="Calibri"/>
                <w:b/>
                <w:i w:val="0"/>
                <w:color w:val="FFFFFF"/>
                <w:sz w:val="20"/>
              </w:rPr>
              <w:t>Competency</w:t>
            </w:r>
          </w:p>
        </w:tc>
        <w:tc>
          <w:tcPr>
            <w:tcW w:type="dxa" w:w="4986"/>
          </w:tcPr>
          <w:p>
            <w:r>
              <w:rPr>
                <w:sz w:val="20"/>
              </w:rPr>
              <w:t>Compare the US equity TLC (NYSE/NASDAQ → NSCC → DTCC → DTC) with the Indian TLC (NSE/BSE → NSCC → NSDL/CDSL), identifying the key structural similarities and differences.</w:t>
            </w:r>
          </w:p>
        </w:tc>
      </w:tr>
      <w:tr>
        <w:tc>
          <w:tcPr>
            <w:tcW w:type="dxa" w:w="4986"/>
            <w:shd w:val="clear" w:color="auto" w:fill="007A87"/>
          </w:tcPr>
          <w:p>
            <w:r>
              <w:rPr>
                <w:rFonts w:ascii="Calibri" w:hAnsi="Calibri"/>
                <w:b/>
                <w:i w:val="0"/>
                <w:color w:val="FFFFFF"/>
                <w:sz w:val="20"/>
              </w:rPr>
              <w:t>EAR Verbs</w:t>
            </w:r>
          </w:p>
        </w:tc>
        <w:tc>
          <w:tcPr>
            <w:tcW w:type="dxa" w:w="4986"/>
          </w:tcPr>
          <w:p>
            <w:r>
              <w:rPr>
                <w:sz w:val="20"/>
              </w:rPr>
              <w:t>Relate: Connect the custodian's role to cross-border settlement between India and US markets</w:t>
            </w:r>
          </w:p>
        </w:tc>
      </w:tr>
      <w:tr>
        <w:tc>
          <w:tcPr>
            <w:tcW w:type="dxa" w:w="4986"/>
            <w:shd w:val="clear" w:color="auto" w:fill="007A87"/>
          </w:tcPr>
          <w:p>
            <w:r>
              <w:rPr>
                <w:rFonts w:ascii="Calibri" w:hAnsi="Calibri"/>
                <w:b/>
                <w:i w:val="0"/>
                <w:color w:val="FFFFFF"/>
                <w:sz w:val="20"/>
              </w:rPr>
              <w:t>Video Objective</w:t>
            </w:r>
          </w:p>
        </w:tc>
        <w:tc>
          <w:tcPr>
            <w:tcW w:type="dxa" w:w="4986"/>
          </w:tcPr>
          <w:p>
            <w:r>
              <w:rPr>
                <w:sz w:val="20"/>
              </w:rPr>
              <w:t>Learner can describe the custodian's function in both markets, explain how cross-border settlement works for Indian investors in US equities, and synthesise the full TLC comparison</w:t>
            </w:r>
          </w:p>
        </w:tc>
      </w:tr>
      <w:tr>
        <w:tc>
          <w:tcPr>
            <w:tcW w:type="dxa" w:w="4986"/>
            <w:shd w:val="clear" w:color="auto" w:fill="007A87"/>
          </w:tcPr>
          <w:p>
            <w:r>
              <w:rPr>
                <w:rFonts w:ascii="Calibri" w:hAnsi="Calibri"/>
                <w:b/>
                <w:i w:val="0"/>
                <w:color w:val="FFFFFF"/>
                <w:sz w:val="20"/>
              </w:rPr>
              <w:t>Pre-requisite</w:t>
            </w:r>
          </w:p>
        </w:tc>
        <w:tc>
          <w:tcPr>
            <w:tcW w:type="dxa" w:w="4986"/>
          </w:tcPr>
          <w:p>
            <w:r>
              <w:rPr>
                <w:sz w:val="20"/>
              </w:rPr>
              <w:t>E9.10 Video 2: US Buy-Side/Sell-Side TLC</w:t>
            </w:r>
          </w:p>
        </w:tc>
      </w:tr>
      <w:tr>
        <w:tc>
          <w:tcPr>
            <w:tcW w:type="dxa" w:w="4986"/>
            <w:shd w:val="clear" w:color="auto" w:fill="007A87"/>
          </w:tcPr>
          <w:p>
            <w:r>
              <w:rPr>
                <w:rFonts w:ascii="Calibri" w:hAnsi="Calibri"/>
                <w:b/>
                <w:i w:val="0"/>
                <w:color w:val="FFFFFF"/>
                <w:sz w:val="20"/>
              </w:rPr>
              <w:t>Next UOR</w:t>
            </w:r>
          </w:p>
        </w:tc>
        <w:tc>
          <w:tcPr>
            <w:tcW w:type="dxa" w:w="4986"/>
          </w:tcPr>
          <w:p>
            <w:r>
              <w:rPr>
                <w:sz w:val="20"/>
              </w:rPr>
              <w:t>Module Complete — Assessment: Exchange Trade Life Cycle</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01C4F"/>
          </w:tcPr>
          <w:p>
            <w:pPr>
              <w:jc w:val="center"/>
            </w:pPr>
            <w:r>
              <w:rPr>
                <w:rFonts w:ascii="Calibri" w:hAnsi="Calibri"/>
                <w:b/>
                <w:i w:val="0"/>
                <w:color w:val="FFFFFF"/>
                <w:sz w:val="20"/>
              </w:rPr>
              <w:t>Character</w:t>
            </w:r>
          </w:p>
        </w:tc>
        <w:tc>
          <w:tcPr>
            <w:tcW w:type="dxa" w:w="2493"/>
            <w:shd w:val="clear" w:color="auto" w:fill="101C4F"/>
          </w:tcPr>
          <w:p>
            <w:pPr>
              <w:jc w:val="center"/>
            </w:pPr>
            <w:r>
              <w:rPr>
                <w:rFonts w:ascii="Calibri" w:hAnsi="Calibri"/>
                <w:b/>
                <w:i w:val="0"/>
                <w:color w:val="FFFFFF"/>
                <w:sz w:val="20"/>
              </w:rPr>
              <w:t>Visual / Set</w:t>
            </w:r>
          </w:p>
        </w:tc>
        <w:tc>
          <w:tcPr>
            <w:tcW w:type="dxa" w:w="2493"/>
            <w:shd w:val="clear" w:color="auto" w:fill="101C4F"/>
          </w:tcPr>
          <w:p>
            <w:pPr>
              <w:jc w:val="center"/>
            </w:pPr>
            <w:r>
              <w:rPr>
                <w:rFonts w:ascii="Calibri" w:hAnsi="Calibri"/>
                <w:b/>
                <w:i w:val="0"/>
                <w:color w:val="FFFFFF"/>
                <w:sz w:val="20"/>
              </w:rPr>
              <w:t>Scene ID</w:t>
            </w:r>
          </w:p>
        </w:tc>
        <w:tc>
          <w:tcPr>
            <w:tcW w:type="dxa" w:w="2493"/>
            <w:shd w:val="clear" w:color="auto" w:fill="101C4F"/>
          </w:tcPr>
          <w:p>
            <w:pPr>
              <w:jc w:val="center"/>
            </w:pPr>
            <w:r>
              <w:rPr>
                <w:rFonts w:ascii="Calibri" w:hAnsi="Calibri"/>
                <w:b/>
                <w:i w:val="0"/>
                <w:color w:val="FFFFFF"/>
                <w:sz w:val="20"/>
              </w:rPr>
              <w:t>Voice-Over / Dialogue</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Custodian comparison: India (HDFC Bank Custody, ICICI Custody — SEBI-registered custodians, connected to NSDL/CDSL). US (State Street, BNY Mellon, Citibank — SEC-registered custodians, connected to DTC).</w:t>
            </w:r>
          </w:p>
        </w:tc>
        <w:tc>
          <w:tcPr>
            <w:tcW w:type="dxa" w:w="2493"/>
          </w:tcPr>
          <w:p>
            <w:pPr>
              <w:jc w:val="center"/>
            </w:pPr>
            <w:r>
              <w:rPr>
                <w:rFonts w:ascii="Calibri" w:hAnsi="Calibri"/>
                <w:b/>
                <w:i w:val="0"/>
                <w:color w:val="007A87"/>
                <w:sz w:val="18"/>
              </w:rPr>
              <w:t>CUSTODIAN US INDIA</w:t>
            </w:r>
          </w:p>
        </w:tc>
        <w:tc>
          <w:tcPr>
            <w:tcW w:type="dxa" w:w="2493"/>
          </w:tcPr>
          <w:p>
            <w:r>
              <w:rPr>
                <w:sz w:val="20"/>
              </w:rPr>
              <w:t>ARIA: Custodians in both markets play the same role: safekeep client assets, process settlement instructions, and report holdings to clients. In India: SEBI-registered custodians connected to NSDL and CDSL. Examples: HDFC Bank Custodial Services, Standard Chartered Custody, Citibank India Custody. In the US: SEC-registered custodians connected to DTC. Examples: State Street, BNY Mellon, Northern Trust, Citibank Global Custody.</w:t>
            </w:r>
          </w:p>
        </w:tc>
      </w:tr>
      <w:tr>
        <w:tc>
          <w:tcPr>
            <w:tcW w:type="dxa" w:w="2493"/>
            <w:shd w:val="clear" w:color="auto" w:fill="F5F6FA"/>
          </w:tcPr>
          <w:p>
            <w:pPr>
              <w:jc w:val="center"/>
            </w:pPr>
            <w:r>
              <w:rPr>
                <w:rFonts w:ascii="Calibri" w:hAnsi="Calibri"/>
                <w:b/>
                <w:i w:val="0"/>
                <w:color w:val="007A87"/>
                <w:sz w:val="20"/>
              </w:rPr>
              <w:t>KAVI</w:t>
            </w:r>
          </w:p>
        </w:tc>
        <w:tc>
          <w:tcPr>
            <w:tcW w:type="dxa" w:w="2493"/>
          </w:tcPr>
          <w:p>
            <w:r>
              <w:rPr>
                <w:sz w:val="20"/>
              </w:rPr>
              <w:t>Cross-border scenario: Foreign Portfolio Investor (FPI) — US pension fund — wants to buy Infosys shares on NSE. Must use a SEBI-registered custodian in India.</w:t>
            </w:r>
          </w:p>
        </w:tc>
        <w:tc>
          <w:tcPr>
            <w:tcW w:type="dxa" w:w="2493"/>
          </w:tcPr>
          <w:p>
            <w:pPr>
              <w:jc w:val="center"/>
            </w:pPr>
            <w:r>
              <w:rPr>
                <w:rFonts w:ascii="Calibri" w:hAnsi="Calibri"/>
                <w:b/>
                <w:i w:val="0"/>
                <w:color w:val="007A87"/>
                <w:sz w:val="18"/>
              </w:rPr>
              <w:t>CROSS BORDER FPI</w:t>
            </w:r>
          </w:p>
        </w:tc>
        <w:tc>
          <w:tcPr>
            <w:tcW w:type="dxa" w:w="2493"/>
          </w:tcPr>
          <w:p>
            <w:r>
              <w:rPr>
                <w:sz w:val="20"/>
              </w:rPr>
              <w:t>KAVI: Cross-border settlement — Foreign Portfolio Investor buying Indian equities: a US pension fund (FPI) wants to buy ₹100 crore of Infosys on NSE. They must appoint a SEBI-registered custodian in India — for example, Deutsche Bank India Custody. The custodian: registers the FPI with SEBI, opens a demat account with NSDL, opens a designated bank account for INR settlement. The FPI's global custodian (e.g., BNY Mellon in New York) instructs the sub-custodian in India (Deutsche Bank) via SWIFT.</w:t>
            </w:r>
          </w:p>
        </w:tc>
      </w:tr>
      <w:tr>
        <w:tc>
          <w:tcPr>
            <w:tcW w:type="dxa" w:w="2493"/>
            <w:shd w:val="clear" w:color="auto" w:fill="F5F6FA"/>
          </w:tcPr>
          <w:p>
            <w:pPr>
              <w:jc w:val="center"/>
            </w:pPr>
            <w:r>
              <w:rPr>
                <w:rFonts w:ascii="Calibri" w:hAnsi="Calibri"/>
                <w:b/>
                <w:i w:val="0"/>
                <w:color w:val="101C4F"/>
                <w:sz w:val="20"/>
              </w:rPr>
              <w:t>RYO</w:t>
            </w:r>
          </w:p>
        </w:tc>
        <w:tc>
          <w:tcPr>
            <w:tcW w:type="dxa" w:w="2493"/>
          </w:tcPr>
          <w:p>
            <w:r>
              <w:rPr>
                <w:sz w:val="20"/>
              </w:rPr>
              <w:t>Chain: US Pension Fund → BNY Mellon (Global Custodian, New York) → Deutsche Bank India (Sub-Custodian, Mumbai) → NSE Broker → NSE → NSCC India → NSDL.</w:t>
            </w:r>
          </w:p>
        </w:tc>
        <w:tc>
          <w:tcPr>
            <w:tcW w:type="dxa" w:w="2493"/>
          </w:tcPr>
          <w:p>
            <w:pPr>
              <w:jc w:val="center"/>
            </w:pPr>
            <w:r>
              <w:rPr>
                <w:rFonts w:ascii="Calibri" w:hAnsi="Calibri"/>
                <w:b/>
                <w:i w:val="0"/>
                <w:color w:val="007A87"/>
                <w:sz w:val="18"/>
              </w:rPr>
              <w:t>GLOBAL CUSTODIAN CHAIN</w:t>
            </w:r>
          </w:p>
        </w:tc>
        <w:tc>
          <w:tcPr>
            <w:tcW w:type="dxa" w:w="2493"/>
          </w:tcPr>
          <w:p>
            <w:r>
              <w:rPr>
                <w:sz w:val="20"/>
              </w:rPr>
              <w:t>RYO: The global custodian chain for cross-border investment: the US pension fund's assets are held by BNY Mellon globally. BNY Mellon appoints Deutsche Bank India as sub-custodian for the Indian portfolio. When the FPI buys Infosys on NSE, the Indian broker executes the trade. NSCC India processes and nets the obligation. Deutsche Bank India receives the SWIFT settlement instruction from BNY Mellon and processes the NSDL demat transfer and RTGS cash payment. Settlement: T+1 at NSDL.</w:t>
            </w:r>
          </w:p>
        </w:tc>
      </w:tr>
      <w:tr>
        <w:tc>
          <w:tcPr>
            <w:tcW w:type="dxa" w:w="2493"/>
            <w:shd w:val="clear" w:color="auto" w:fill="F5F6FA"/>
          </w:tcPr>
          <w:p>
            <w:pPr>
              <w:jc w:val="center"/>
            </w:pPr>
            <w:r>
              <w:rPr>
                <w:rFonts w:ascii="Calibri" w:hAnsi="Calibri"/>
                <w:b/>
                <w:i w:val="0"/>
                <w:color w:val="F0A800"/>
                <w:sz w:val="20"/>
              </w:rPr>
              <w:t>ARIA</w:t>
            </w:r>
          </w:p>
        </w:tc>
        <w:tc>
          <w:tcPr>
            <w:tcW w:type="dxa" w:w="2493"/>
          </w:tcPr>
          <w:p>
            <w:r>
              <w:rPr>
                <w:sz w:val="20"/>
              </w:rPr>
              <w:t>FX layer: FPI must convert USD to INR before settlement. USD/INR FX trade placed. INR funded to designated bank account in India. FEMA compliance — RBI reporting for FPI inflows.</w:t>
            </w:r>
          </w:p>
        </w:tc>
        <w:tc>
          <w:tcPr>
            <w:tcW w:type="dxa" w:w="2493"/>
          </w:tcPr>
          <w:p>
            <w:pPr>
              <w:jc w:val="center"/>
            </w:pPr>
            <w:r>
              <w:rPr>
                <w:rFonts w:ascii="Calibri" w:hAnsi="Calibri"/>
                <w:b/>
                <w:i w:val="0"/>
                <w:color w:val="007A87"/>
                <w:sz w:val="18"/>
              </w:rPr>
              <w:t>FOREX SETTLEMENT</w:t>
            </w:r>
          </w:p>
        </w:tc>
        <w:tc>
          <w:tcPr>
            <w:tcW w:type="dxa" w:w="2493"/>
          </w:tcPr>
          <w:p>
            <w:r>
              <w:rPr>
                <w:sz w:val="20"/>
              </w:rPr>
              <w:t>ARIA: The FX layer: the US pension fund's cash is in USD. Before settling the Infosys purchase (which settles in INR), they must convert USD to INR. An FX trade is executed — USD sold, INR bought. The INR is credited to the FPI's designated bank account in India (managed by the sub-custodian). FEMA — Foreign Exchange Management Act — requires all foreign investment inflows to be reported to RBI. The sub-custodian handles all FEMA compliance filings.</w:t>
            </w:r>
          </w:p>
        </w:tc>
      </w:tr>
      <w:tr>
        <w:tc>
          <w:tcPr>
            <w:tcW w:type="dxa" w:w="2493"/>
            <w:shd w:val="clear" w:color="auto" w:fill="F5F6FA"/>
          </w:tcPr>
          <w:p>
            <w:pPr>
              <w:jc w:val="center"/>
            </w:pPr>
            <w:r>
              <w:rPr>
                <w:rFonts w:ascii="Calibri" w:hAnsi="Calibri"/>
                <w:b/>
                <w:i w:val="0"/>
                <w:color w:val="404040"/>
                <w:sz w:val="20"/>
              </w:rPr>
              <w:t>MOTION</w:t>
            </w:r>
          </w:p>
        </w:tc>
        <w:tc>
          <w:tcPr>
            <w:tcW w:type="dxa" w:w="2493"/>
          </w:tcPr>
          <w:p>
            <w:r>
              <w:rPr>
                <w:sz w:val="20"/>
              </w:rPr>
              <w:t>Final comparison table: India vs US TLC — Exchange, Order Routing, CCP, Depository, Settlement Day, Settlement Method, Regulatory Reporting, Custodian Type.</w:t>
            </w:r>
          </w:p>
        </w:tc>
        <w:tc>
          <w:tcPr>
            <w:tcW w:type="dxa" w:w="2493"/>
          </w:tcPr>
          <w:p>
            <w:pPr>
              <w:jc w:val="center"/>
            </w:pPr>
            <w:r>
              <w:rPr>
                <w:rFonts w:ascii="Calibri" w:hAnsi="Calibri"/>
                <w:b/>
                <w:i w:val="0"/>
                <w:color w:val="007A87"/>
                <w:sz w:val="18"/>
              </w:rPr>
              <w:t>FULL COMPARISON</w:t>
            </w:r>
          </w:p>
        </w:tc>
        <w:tc>
          <w:tcPr>
            <w:tcW w:type="dxa" w:w="2493"/>
          </w:tcPr>
          <w:p>
            <w:r>
              <w:rPr>
                <w:sz w:val="20"/>
              </w:rPr>
              <w:t>MOTION: Full TLC comparison — India: NSE/BSE exchanges, SEBI/NEAT-BOLT order routing, NSCC India CCP, NSDL/CDSL depositories, T+1 settlement, DVP Model 3, SEBI/CCIL TR reporting, SEBI-registered custodians. US: NYSE/NASDAQ exchanges, FIX/DMA routing, NSCC US/DTCC CCP, DTC single depository, T+1 settlement (from May 2024), DVP Model 3, CFTC/SEC reporting, SEC-registered custodians. Core TLC architecture is universal — the participants, technology, and regulatory frameworks differ.</w:t>
            </w:r>
          </w:p>
        </w:tc>
      </w:tr>
      <w:tr>
        <w:tc>
          <w:tcPr>
            <w:tcW w:type="dxa" w:w="2493"/>
            <w:shd w:val="clear" w:color="auto" w:fill="F5F6FA"/>
          </w:tcPr>
          <w:p>
            <w:pPr>
              <w:jc w:val="center"/>
            </w:pPr>
            <w:r>
              <w:rPr>
                <w:rFonts w:ascii="Calibri" w:hAnsi="Calibri"/>
                <w:b/>
                <w:i w:val="0"/>
                <w:color w:val="007A87"/>
                <w:sz w:val="20"/>
              </w:rPr>
              <w:t>KAVI</w:t>
            </w:r>
            <w:r>
              <w:rPr>
                <w:rFonts w:ascii="Calibri" w:hAnsi="Calibri"/>
                <w:b w:val="0"/>
                <w:i w:val="0"/>
                <w:color w:val="404040"/>
                <w:sz w:val="20"/>
              </w:rPr>
              <w:t xml:space="preserve"> / </w:t>
            </w:r>
            <w:r>
              <w:rPr>
                <w:rFonts w:ascii="Calibri" w:hAnsi="Calibri"/>
                <w:b/>
                <w:i w:val="0"/>
                <w:color w:val="101C4F"/>
                <w:sz w:val="20"/>
              </w:rPr>
              <w:t>RYO</w:t>
            </w:r>
          </w:p>
        </w:tc>
        <w:tc>
          <w:tcPr>
            <w:tcW w:type="dxa" w:w="2493"/>
          </w:tcPr>
          <w:p>
            <w:r>
              <w:rPr>
                <w:sz w:val="20"/>
              </w:rPr>
              <w:t>Full Exchange TLC pipeline from E9.1 to E9.10 displayed as a single end-to-end diagram.</w:t>
            </w:r>
          </w:p>
        </w:tc>
        <w:tc>
          <w:tcPr>
            <w:tcW w:type="dxa" w:w="2493"/>
          </w:tcPr>
          <w:p>
            <w:pPr>
              <w:jc w:val="center"/>
            </w:pPr>
            <w:r>
              <w:rPr>
                <w:rFonts w:ascii="Calibri" w:hAnsi="Calibri"/>
                <w:b/>
                <w:i w:val="0"/>
                <w:color w:val="007A87"/>
                <w:sz w:val="18"/>
              </w:rPr>
              <w:t>FINAL RECAP</w:t>
            </w:r>
          </w:p>
        </w:tc>
        <w:tc>
          <w:tcPr>
            <w:tcW w:type="dxa" w:w="2493"/>
          </w:tcPr>
          <w:p>
            <w:r>
              <w:rPr>
                <w:sz w:val="20"/>
              </w:rPr>
              <w:t>KAVI: Exchange TLC complete: Initiation → Execution → Trade Capture → Enrichment (Cash Fig + SSI) → Validation → Verification → Confirmation → Transaction Reporting → Settlement (DVP T+1) → Reconciliation. RYO: And now you can map this to both Indian and US market structures, understand the participant ecosystem, and manage every stage from an operations perspective. The Exchange TLC is the operational heartbeat of capital markets — mastering it is the foundation of every career in securities operations.</w:t>
            </w:r>
          </w:p>
        </w:tc>
      </w:tr>
    </w:tbl>
    <w:p/>
    <w:p>
      <w:r>
        <w:rPr>
          <w:rFonts w:ascii="Calibri" w:hAnsi="Calibri"/>
          <w:b/>
          <w:i w:val="0"/>
          <w:color w:val="007A87"/>
          <w:sz w:val="20"/>
        </w:rPr>
        <w:t xml:space="preserve">▶ Transition: </w:t>
      </w:r>
      <w:r>
        <w:rPr>
          <w:rFonts w:ascii="Calibri" w:hAnsi="Calibri"/>
          <w:b w:val="0"/>
          <w:i/>
          <w:color w:val="404040"/>
          <w:sz w:val="20"/>
        </w:rPr>
        <w:t>Next — Module Complete — Assessment: Exchange Trade Life Cycle</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