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01C4F"/>
          <w:sz w:val="52"/>
        </w:rPr>
        <w:t>CIBOP — Fixed Income Part 2</w:t>
      </w:r>
    </w:p>
    <w:p>
      <w:pPr>
        <w:jc w:val="center"/>
      </w:pPr>
      <w:r>
        <w:rPr>
          <w:b w:val="0"/>
          <w:i w:val="0"/>
          <w:color w:val="007A87"/>
          <w:sz w:val="28"/>
        </w:rPr>
        <w:t>Assessment Bank  |  UORs D5.1 – D5.10</w:t>
      </w:r>
    </w:p>
    <w:p/>
    <w:p>
      <w:pPr>
        <w:jc w:val="left"/>
      </w:pPr>
      <w:r>
        <w:rPr>
          <w:b/>
          <w:i w:val="0"/>
          <w:color w:val="101C4F"/>
          <w:sz w:val="28"/>
        </w:rPr>
        <w:t>UOR: D5.1  |  Primary Issuance of Bonds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Q1.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What is the PRIMARY purpose of the primary bond market?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To allow investors to trade existing bonds between themselves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To enable issuers to raise fresh capital by selling newly created bonds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To set the benchmark interest rate for the economy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To facilitate currency exchange for bond settlement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primary market is where new bonds are first issued to investors, enabling issuers (governments, corporates) to raise fresh capital. Secondary market handles subsequent trading between investors.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Q2.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 Uniform Price Auction allocates bonds to all winning bidders at the lowest accepted yield.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All successful bidders pay the same clearing price in a uniform (Dutch) auction.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 a Discriminatory Price Auction each bidder pays the yield they individually bid.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Each bidder pays their own bid price — also called a 'pay-as-you-bid' auction.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Primary dealers are retail investors who purchase bonds directly at auction.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Primary dealers are large financial institutions (banks/brokers) authorised to bid at sovereign auctions.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Book-building is a method used in corporate bond primary issuance to gauge investor demand before pricing.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Investment banks run a book-build, collecting bids across a yield range before setting the final coupon/price.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Q3.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In India, the RBI issues Government Securities through a [BLANK1] conducted via the Negotiated Dealing System – Order Matching (NDS-OM) platform. Participants submit competitive bids specifying a [BLANK2] and non-competitive bids receive bonds at the [BLANK3] yield.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yield / price  |  uniform auction / multiple price auction  |  cut-off / average / highest  |  quantity  |  weighted-average cut-off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uniform price auction (multiple price also accepted in discriminatory)  |  BLANK2 → yield (or price)  |  BLANK3 → weighted-average cut-off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Non-competitive bidders in RBI auctions receive bonds at the weighted-average yield of all accepted competitive bids, ensuring smaller investors get a fair price without needing to specify a yield.</w:t>
            </w:r>
          </w:p>
        </w:tc>
      </w:tr>
    </w:tbl>
    <w:p/>
    <w:p>
      <w:r>
        <w:rPr>
          <w:b/>
          <w:i w:val="0"/>
          <w:color w:val="F0A800"/>
          <w:sz w:val="22"/>
        </w:rPr>
        <w:t>Q4.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Uniform Price Auction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All winning bids fill at one clearing price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Uniform Price Auction → All winning bids fill at one clearing price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Discriminatory Auction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Each bidder pays their own submitted yield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Discriminatory Auction → Each bidder pays their own submitted yield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Book-Building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IB collects investor demand before final pricing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Book-Building → IB collects investor demand before final pricing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Private Placement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Bonds sold to select investors without public offer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Private Placement → Bonds sold to select investors without public offer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These four methods represent the main ways new bonds are distributed: auctions (uniform &amp; discriminatory) are common for government debt; book-building and private placement are common for corporate debt.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D5.2  |  Primary vs Secondary Bond Market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Q5.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Which statement BEST distinguishes the secondary bond market from the primary market?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The secondary market involves new bonds sold by the issuer to investors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The secondary market allows investors to buy and sell previously issued bonds among themselves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The secondary market sets the initial coupon rate on new bonds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The secondary market only operates on stock exchanges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secondary market trades existing bonds between investors; the issuer receives no new proceeds. The primary market is where the issuer originally sells newly created bonds.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Q6.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Proceeds from a secondary-market bond trade go directly to the original issuer.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Secondary market trades occur between investors; proceeds go to the selling investor, not the issuer.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Market-making by dealers improves secondary-market liquidity.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Dealers quote bid-ask prices continuously, reducing transaction costs and enabling faster execution.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OTC (over-the-counter) trading accounts for most secondary bond market volume globally.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Unlike equities, most bonds trade OTC via dealer networks rather than on centralised exchanges.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India's NDS-OM is an example of an exchange-based platform for secondary G-Sec trading.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NDS-OM (Negotiated Dealing System – Order Matching) is an anonymous, screen-based platform for G-Sec secondary trading, operated by CCIL.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Q7.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When an investor sells a bond on the secondary market, the [BLANK1] receives the sale proceeds, not the [BLANK2]. Secondary market prices are driven by [BLANK3], meaning bond prices fall when interest rates rise.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investor / issuer  |  coupon rate  |  supply and demand / mark-to-market / inverse rate-price relationship  |  credit ratings  |  government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selling investor  |  BLANK2 → issuer  |  BLANK3 → supply and demand (or inverse rate-price relationship)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Secondary market mechanics: the seller receives proceeds; issuer is uninvolved. Prices fluctuate with market rates, reflecting the inverse relationship between bond prices and yields.</w:t>
            </w:r>
          </w:p>
        </w:tc>
      </w:tr>
    </w:tbl>
    <w:p/>
    <w:p>
      <w:r>
        <w:rPr>
          <w:b/>
          <w:i w:val="0"/>
          <w:color w:val="F0A800"/>
          <w:sz w:val="22"/>
        </w:rPr>
        <w:t>Q8.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Issuer receives proceeds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Primary Market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Primary Market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Investors trade among themselves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Secondary Market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Secondary Market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Coupon rate is set here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Primary Market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Primary Market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Price discovery through trading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Secondary Market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Secondary Market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Primary market: issuer sells, sets terms, receives capital. Secondary market: investors trade existing bonds; real-time prices reflect market sentiment.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D5.3  |  Role of the Secondary Bond Market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Q9.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Which role of the secondary bond market MOST directly benefits an investor who needs cash before a bond matures?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Price discovery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Liquidity provision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Benchmark yield setting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Credit risk transfer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Liquidity provision allows investors to convert bonds to cash before maturity. Without a secondary market, bonds would be illiquid instruments that investors must hold to maturity.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Q10.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 liquid secondary market generally lowers the yield demanded by investors at primary issuance.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Investors accept a lower yield (pay a higher price) when they know they can sell easily — the 'liquidity premium' is reduced.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Benchmark yields from liquid government bonds are used to price corporate bonds.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G-Sec yields serve as risk-free benchmarks; corporates are priced at a spread above benchmark.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High bid-ask spreads indicate a highly liquid bond market.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Narrow bid-ask spreads indicate liquidity; wide spreads indicate illiquidity and higher transaction costs.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Secondary market trading has no impact on the cost of borrowing for bond issuers.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A deep secondary market reduces the liquidity premium investors demand, lowering the issuer's cost of borrowing.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Q11.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The secondary market performs three key functions: [BLANK1] — continuous price formation based on supply and demand; [BLANK2] — enabling investors to exit positions before maturity; and [BLANK3] — allowing credit risk to move from those unwilling to hold it to those willing.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price discovery  |  liquidity provision  |  risk transfer / credit risk redistribution  |  coupon payment  |  capital formation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price discovery  |  BLANK2 → liquidity provision  |  BLANK3 → risk transfer (credit risk redistribution)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These three roles — price discovery, liquidity provision, risk transfer — make the secondary market essential for efficient capital markets and lower borrowing costs.</w:t>
            </w:r>
          </w:p>
        </w:tc>
      </w:tr>
    </w:tbl>
    <w:p/>
    <w:p>
      <w:r>
        <w:rPr>
          <w:b/>
          <w:i w:val="0"/>
          <w:color w:val="F0A800"/>
          <w:sz w:val="22"/>
        </w:rPr>
        <w:t>Q12.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Price Discovery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Accurate mark-to-market valuations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Price Discovery → Accurate mark-to-market valuations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Liquidity Provision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Investors can sell before maturity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Liquidity Provision → Investors can sell before maturity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Risk Transfer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Credit exposure moves to willing holders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Risk Transfer → Credit exposure moves to willing holders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Benchmark Setting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Pricing reference for new corporate issuance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Benchmark Setting → Pricing reference for new corporate issuance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Each secondary-market function has a direct market-efficiency benefit: fair pricing, exit flexibility, risk optimisation, and reference rates for new issuances.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D5.4  |  Clean Price and Dirty Price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Q13.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 bond with face value ₹1,000 carries a 10% annual coupon (semi-annual). The last coupon was paid 73 days ago; the coupon period is 182 days. Clean price is ₹1,020. What is the Dirty Price?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₹1,020.00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₹1,040.11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₹1,060.00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₹1,000.00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Accrued Interest = ₹1,000 × (10%/2) × (73/182) = ₹50 × 0.4011 = ₹20.11. Dirty Price = ₹1,020 + ₹20.11 = ₹1,040.11.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Q14.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The dirty price is the amount the buyer actually pays for a bond on settlement.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The dirty (full) price includes accrued interest and is the actual cash exchanged.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Clean price equals dirty price on the day a coupon is paid.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Immediately after coupon payment, accrued interest resets to zero, so clean = dirty.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Bond price quotations in India's G-Sec market are typically on a clean price basis.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Most bond markets, including India's NDS-OM, quote clean prices; buyers pay dirty (clean + AI).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Accrued interest increases every day between coupon dates, regardless of holidays.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AI accrues daily on an actual/actual (or specified day-count) basis; it increases linearly between coupons.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Q15.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Dirty Price = Clean Price + [BLANK1]. Accrued Interest is calculated as Face Value × (Coupon Rate / Frequency) × ([BLANK2] / Days in Coupon Period). India's G-Secs use the [BLANK3] day-count convention.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Accrued Interest  |  Days since last coupon / Days elapsed since issue  |  Actual/365 / 30/360 / Actual/Actual  |  YTM  |  Modified Duration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Accrued Interest  |  BLANK2 → Days since last coupon  |  BLANK3 → Actual/Actual (or Actual/365)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dirty price formula is fundamental to bond settlement. India G-Secs use Actual/Actual day count; some corporate bonds use 30/360.</w:t>
            </w:r>
          </w:p>
        </w:tc>
      </w:tr>
    </w:tbl>
    <w:p/>
    <w:p>
      <w:r>
        <w:rPr>
          <w:b/>
          <w:i w:val="0"/>
          <w:color w:val="F0A800"/>
          <w:sz w:val="22"/>
        </w:rPr>
        <w:t>Q16.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Clean Price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Quoted price excluding accrued interest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Clean Price → Quoted price excluding accrued interest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Dirty Price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Quoted price plus accrued interest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Dirty Price → Quoted price plus accrued interest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Accrued Interest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Coupon earned but not yet paid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Accrued Interest → Coupon earned but not yet paid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Settlement Amount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Cash paid by buyer = dirty price × face value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Settlement Amount → Cash paid by buyer = dirty price × face value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Clean price is the trading quotation; dirty price drives actual cash settlement. Accrued interest compensates the seller for the coupon earned since the last payment date.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D5.5  |  Current Yield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Q17.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 bond pays an annual coupon of ₹80 and is currently trading at ₹960. What is its Current Yield?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8.00%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8.33%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7.69%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6.00%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Current Yield = Annual Coupon / Market Price = ₹80 / ₹960 = 8.33%. Note this differs from the 8% coupon rate because the bond trades at a discount.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Q18.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Current yield rises when a bond's market price falls (assuming coupon is fixed).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CY = Annual Coupon / Price. A lower price with the same coupon produces a higher current yield.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Current yield accounts for capital gains or losses at maturity.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Current yield only considers coupon income relative to market price; it ignores the pull-to-par effect at maturity.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For a bond trading at par, current yield equals the coupon rate.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If Price = Face Value, CY = Coupon / Face Value = Coupon Rate.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Current yield is a more comprehensive return measure than YTM.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YTM is more comprehensive because it includes both coupon income AND the capital gain/loss at maturity.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Q19.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Current Yield = [BLANK1] / [BLANK2]. A bond with a face value of ₹1,000 and annual coupon of ₹60 trading at ₹1,050 has a current yield of [BLANK3]%.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Annual Coupon  |  Market Price / Face Value / Par Value  |  5.71 / 6.00 / 6.30  |  YTM  |  Modified Duration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Annual Coupon  |  BLANK2 → Market Price  |  BLANK3 → 5.71 (= 60/1050)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CY = 60/1050 = 5.71%. Since the bond trades at a premium, CY &lt; coupon rate (6%). This inverse relationship reflects the market price premium over par.</w:t>
            </w:r>
          </w:p>
        </w:tc>
      </w:tr>
    </w:tbl>
    <w:p/>
    <w:p>
      <w:r>
        <w:rPr>
          <w:b/>
          <w:i w:val="0"/>
          <w:color w:val="F0A800"/>
          <w:sz w:val="22"/>
        </w:rPr>
        <w:t>Q20.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Bond at discount (Price &lt; Par)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CY &gt; Coupon 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Bond at discount → CY &gt; Coupon Rate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Bond at par (Price = Par)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CY = Coupon 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Bond at par → CY = Coupon Rate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Bond at premium (Price &gt; Par)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CY &lt; Coupon 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Bond at premium → CY &lt; Coupon Rate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Rising interest rates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CY rises as price falls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Rising interest rates → CY rises as price falls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Current yield reflects the income yield at current market price. The relationship between price and coupon rate determines whether CY is above, equal to, or below the coupon rate.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D5.6  |  Yield to Maturity (YTM)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Q21.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Using the approximate YTM formula, what is the YTM of a bond with Face Value ₹1,000, annual coupon ₹80, market price ₹900, and 5 years to maturity?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8.00%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10.53%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9.00%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11.11%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Approximate YTM = [C + (F−P)/n] / [(F+P)/2] = [80 + (1000−900)/5] / [(1000+900)/2] = [80 + 20] / [950] = 100/950 = 10.53%.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Q22.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YTM assumes all coupons are reinvested at the YTM rate itself.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The YTM calculation implicitly assumes reinvestment of all coupon payments at the same YTM rate — a key limitation.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If a bond trades at a discount, its YTM is lower than its coupon rate.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A discount bond (Price &lt; Par) has a higher YTM than its coupon rate, because the investor also gains from pull-to-par.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YTM is the internal rate of return (IRR) of all bond cash flows.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YTM equates the present value of all future coupons and par repayment to the current market price — identical to IRR.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Current yield and YTM are always equal for any bond.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They are equal only for perpetual bonds (consols). For finite-maturity bonds, YTM accounts for capital gain/loss while CY does not.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Q23.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YTM is the discount rate that makes the [BLANK1] of all future cash flows equal to the current bond price. The approximate formula is [C + (F−P)/n] / [(F+P)/2], where C is the [BLANK2], F is face value, P is market price, and n is [BLANK3].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present value / future value  |  annual coupon / semi-annual coupon / coupon rate  |  years to maturity / duration / settlement days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present value  |  BLANK2 → annual coupon  |  BLANK3 → years to maturity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YTM is the IRR of bond cash flows. The approximate formula provides a quick estimate; exact YTM requires iterative calculation (or a financial calculator/Excel YIELD function).</w:t>
            </w:r>
          </w:p>
        </w:tc>
      </w:tr>
    </w:tbl>
    <w:p/>
    <w:p>
      <w:r>
        <w:rPr>
          <w:b/>
          <w:i w:val="0"/>
          <w:color w:val="F0A800"/>
          <w:sz w:val="22"/>
        </w:rPr>
        <w:t>Q24.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Discount bond (P &lt; Par)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YTM &gt; Coupon 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Discount bond → YTM &gt; Coupon Rate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Premium bond (P &gt; Par)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YTM &lt; Coupon 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Premium bond → YTM &lt; Coupon Rate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Par bond (P = Par)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YTM = Coupon Rate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Par bond → YTM = Coupon Rate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Zero-coupon bond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YTM = total return from price discount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Zero-coupon → YTM = total return from price discount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YTM captures both coupon income and the capital gain/loss at maturity. The relationship between price and par determines whether YTM exceeds, equals, or falls below the coupon rate.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D5.7  |  Yield Comparisons — Coupon Rate, Current Yield, YTM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Q25.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A bond has Coupon Rate 9%, Current Yield 9.5%, and YTM 10.2%. Which statement about this bond is CORRECT?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The bond is trading at a premium above par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The bond is trading at a discount below par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The bond is trading at par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YTM must always equal current yield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When Coupon Rate &lt; CY &lt; YTM, the bond is at a discount (Price &lt; Par). The investor gains from both coupon income and the pull-to-par capital gain.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Q26.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For a premium bond: Coupon Rate &gt; Current Yield &gt; YTM.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At a premium, the investor pays above par and incurs a capital loss at maturity, so YTM &lt; CY &lt; Coupon Rate.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Current yield is always the best measure of a bond's total return.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YTM is more comprehensive as it captures coupon income, reinvestment, and capital gain/loss. CY ignores the last two.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For a zero-coupon bond, the coupon rate, current yield, and YTM are all identical.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Zero-coupon bonds have no coupon (0% coupon rate). CY = 0; YTM is derived entirely from the price discount to par.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When market interest rates rise, all three yield measures — coupon rate, CY, and YTM — increase.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The coupon rate is fixed at issuance. CY and YTM rise (as price falls), but the coupon rate remains unchanged.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Q27.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For a discount bond, the order of yields from lowest to highest is: [BLANK1] &lt; [BLANK2] &lt; [BLANK3]. The [BLANK3] is considered the most complete measure because it includes coupon income, reinvestment income, and any capital gain or loss at maturity.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Coupon Rate / Current Yield / YTM  |  YTM / Current Yield / Coupon Rate  |  Current Yield / Coupon Rate / YTM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Coupon Rate  |  BLANK2 → Current Yield  |  BLANK3 → YTM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Discount bond hierarchy: Coupon Rate &lt; CY &lt; YTM. YTM is the most comprehensive measure because it accounts for the total return including price appreciation to par.</w:t>
            </w:r>
          </w:p>
        </w:tc>
      </w:tr>
    </w:tbl>
    <w:p/>
    <w:p>
      <w:r>
        <w:rPr>
          <w:b/>
          <w:i w:val="0"/>
          <w:color w:val="F0A800"/>
          <w:sz w:val="22"/>
        </w:rPr>
        <w:t>Q28.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Coupon Rate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Fixed income per ₹100 face value set at issuance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Coupon Rate → Fixed at issuance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Current Yield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Annual coupon relative to current market price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Current Yield → Coupon / Market Price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YTM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Total annualised return if held to maturity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YTM → Total return including capital gain/loss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Spread over benchmark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Excess yield over risk-free government bond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Spread → Credit/liquidity risk premium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Each yield metric serves a different purpose: coupon rate for contractual income, CY for income yield, YTM for total return comparison, spread for relative value.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D5.8  |  Interest Rate–Price Relationship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Q29.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Market interest rates rise from 7% to 9%. Which bond will experience the LARGEST price decline?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2-year bond, 8% coupon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10-year bond, 8% coupon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2-year zero-coupon bond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10-year bond, 12% coupon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Longer duration bonds are more price-sensitive to rate changes. A 10-year 8% coupon bond has higher duration than the 2-year bonds. Among the 10-year options, the lower coupon (8% vs 12%) results in higher duration and greater price decline.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Q30.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Bond prices and interest rates move in the same direction.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Bond price and yield have an inverse relationship: prices fall when rates rise, and rise when rates fall.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 bond with longer maturity has higher interest-rate risk (price sensitivity) than a shorter-maturity bond, all else equal.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Longer maturity means cash flows are discounted over more periods; small yield changes produce larger price swings.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Modified Duration measures the approximate percentage price change for a 1% change in yield.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Modified Duration ≈ −(ΔP/P)/Δy. A duration of 5 implies roughly −5% price change for a +1% yield increase.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DV01 (Dollar Value of One Basis Point) is the price change for a 0.01% yield move.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DV01 = Modified Duration × Market Value / 10,000. It expresses rate sensitivity in rupee/dollar terms per basis point.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Q31.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Bond price sensitivity to interest rates is measured by [BLANK1]. The formula is: Modified Duration = Macaulay Duration / (1 + [BLANK2]). A bond with Modified Duration of 6 will lose approximately [BLANK3]% in price if yields rise by 1%.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Modified Duration / Macaulay Duration / DV01  |  YTM per period / coupon rate / current yield  |  6 / 1 / 0.6 / 60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Modified Duration  |  BLANK2 → YTM per period (yield/frequency)  |  BLANK3 → 6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Modified Duration quantifies price risk: %ΔP ≈ −Modified Duration × Δy. A duration of 6 means approximately −6% price change per 1% rise in yield.</w:t>
            </w:r>
          </w:p>
        </w:tc>
      </w:tr>
    </w:tbl>
    <w:p/>
    <w:p>
      <w:r>
        <w:rPr>
          <w:b/>
          <w:i w:val="0"/>
          <w:color w:val="F0A800"/>
          <w:sz w:val="22"/>
        </w:rPr>
        <w:t>Q32.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Longer maturity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Increases duration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Longer maturity → Increases duration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Higher coupon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Decreases duration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Higher coupon → Decreases duration (more early cash flows)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Lower coupon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Increases duration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Lower coupon → Increases duration (cash flows more back-loaded)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Higher yield environment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Decreases duration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Higher yield → Decreases duration (cash flows discounted more heavily)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Duration drivers: maturity lengthens it; coupons shorten it (earlier cash flows); higher yield shortens it. Understanding these helps manage interest rate risk.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D5.9  |  Nominal vs Real Interest Rates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Q33.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If the nominal interest rate on a G-Sec is 8% and the expected inflation rate is 5%, what is the approximate real interest rate?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13.00%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3.00%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2.86%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5.00%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Approximate Fisher equation: Real Rate ≈ Nominal Rate − Inflation = 8% − 5% = 3%. The exact Fisher equation gives (1.08/1.05) − 1 = 2.86%, but 3% is the standard approximation.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Q34.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The Fisher equation states: (1 + Nominal Rate) = (1 + Real Rate) × (1 + Inflation Rate).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This is the exact Fisher equation. For small rates, the approximation Nominal ≈ Real + Inflation holds.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A bond investor's purchasing power increases when inflation exceeds the nominal yield.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If inflation &gt; nominal yield, real yield is negative — purchasing power erodes even though the investor earns a nominal return.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Inflation-linked bonds (e.g., India's IIBs) adjust both principal and coupon payments for inflation.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India's Inflation-Indexed Bonds (IIBs) protect real purchasing power by linking payments to the CPI index.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Central banks raise interest rates to lower real rates and stimulate borrowing.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Central banks raise rates to increase real rates, reducing borrowing and cooling inflationary pressure.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Q35.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The [BLANK1] equation links nominal and real rates: (1 + Nominal) = (1 + Real) × (1 + Inflation). When inflation expectations [BLANK2], nominal bond yields typically rise as investors demand higher compensation to protect [BLANK3].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Fisher / Taylor / Keynes  |  rise / fall / remain stable  |  purchasing power / credit rating / liquidity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Fisher  |  BLANK2 → rise  |  BLANK3 → purchasing power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Fisher effect explains how inflation expectations feed into nominal bond yields. Rising inflation expectations push nominal yields higher to keep real yields stable.</w:t>
            </w:r>
          </w:p>
        </w:tc>
      </w:tr>
    </w:tbl>
    <w:p/>
    <w:p>
      <w:r>
        <w:rPr>
          <w:b/>
          <w:i w:val="0"/>
          <w:color w:val="F0A800"/>
          <w:sz w:val="22"/>
        </w:rPr>
        <w:t>Q36.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Nominal Rate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Rate before adjusting for inflation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Nominal Rate → Stated rate, unadjusted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Real Rate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Rate after removing inflation effect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Real Rate → Nominal minus inflation (approx.)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Inflation Premium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Extra yield demanded to compensate for inflation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Inflation Premium → Built into nominal bond yields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Negative Real Rate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Occurs when inflation exceeds nominal yield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Negative Real Rate → Purchasing power erosion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Understanding nominal vs real rates is critical for bond investors: what matters is the real return after inflation, not just the nominal coupon or yield.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i w:val="0"/>
          <w:color w:val="101C4F"/>
          <w:sz w:val="28"/>
        </w:rPr>
        <w:t>UOR: D5.10  |  Securitisation</w:t>
      </w:r>
    </w:p>
    <w:p/>
    <w:p>
      <w:r>
        <w:rPr>
          <w:b w:val="0"/>
          <w:i/>
          <w:color w:val="007A87"/>
          <w:sz w:val="20"/>
        </w:rPr>
        <w:t xml:space="preserve">  Video 1 of 3  |  EAR: Explain</w:t>
      </w:r>
    </w:p>
    <w:p>
      <w:r>
        <w:rPr>
          <w:b/>
          <w:i w:val="0"/>
          <w:color w:val="F0A800"/>
          <w:sz w:val="22"/>
        </w:rPr>
        <w:t>Q37. [MCQ Inline]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Which entity is CREATED specifically to isolate the asset pool from the originator's balance sheet in a securitisation transaction?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A. Investment Bank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2"/>
              </w:rPr>
              <w:t>B. Special Purpose Vehicle (SPV)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C. Credit Rating Agency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r>
              <w:rPr>
                <w:b w:val="0"/>
                <w:i w:val="0"/>
                <w:color w:val="404040"/>
                <w:sz w:val="22"/>
              </w:rPr>
              <w:t>D. Reserve Bank of India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The SPV (Special Purpose Vehicle) is a bankruptcy-remote entity that legally owns the securitised assets, isolating them from the originator's risk. This structure underpins the credit quality of the issued securities.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2 of 3  |  EAR: Apply</w:t>
      </w:r>
    </w:p>
    <w:p>
      <w:r>
        <w:rPr>
          <w:b/>
          <w:i w:val="0"/>
          <w:color w:val="F0A800"/>
          <w:sz w:val="22"/>
        </w:rPr>
        <w:t>Q38. [True/False Multi]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Statement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Answer</w:t>
            </w:r>
          </w:p>
        </w:tc>
        <w:tc>
          <w:tcPr>
            <w:tcW w:type="dxa" w:w="2493"/>
            <w:shd w:val="clear" w:color="auto" w:fill="007A87"/>
          </w:tcPr>
          <w:p>
            <w:r>
              <w:rPr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 securitisation, the originator sells assets to an SPV in exchange for cash raised from investors.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The originator transfers assets (e.g., home loans) to the SPV, which issues ABS/MBS securities to investors.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Senior tranches in a securitisation carry higher credit risk than equity tranches.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Senior tranches absorb losses last (highest credit quality, rated AAA). Equity tranche absorbs first losses.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In India, Pass-Through Certificates (PTCs) are a common securitisation instrument used for loan pools.</w:t>
            </w:r>
          </w:p>
        </w:tc>
        <w:tc>
          <w:tcPr>
            <w:tcW w:type="dxa" w:w="2493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PTCs represent undivided interest in a pool of loans (e.g., housing loans, auto loans) securitised by NBFCs/banks.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sz w:val="20"/>
              </w:rPr>
              <w:t>Securitisation increases systemic risk because it allows originators to retain all credit risk.</w:t>
            </w:r>
          </w:p>
        </w:tc>
        <w:tc>
          <w:tcPr>
            <w:tcW w:type="dxa" w:w="2493"/>
            <w:shd w:val="clear" w:color="auto" w:fill="FFEBEE"/>
          </w:tcPr>
          <w:p>
            <w:r>
              <w:rPr>
                <w:b/>
                <w:i w:val="0"/>
                <w:color w:val="B71C1C"/>
                <w:sz w:val="20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b w:val="0"/>
                <w:i w:val="0"/>
                <w:color w:val="404040"/>
                <w:sz w:val="18"/>
              </w:rPr>
              <w:t>Securitisation transfers credit risk to investors; it can reduce originator's concentration risk. However, systemic risk may still arise if risk is poorly distributed.</w:t>
            </w:r>
          </w:p>
        </w:tc>
      </w:tr>
    </w:tbl>
    <w:p/>
    <w:p>
      <w:r>
        <w:rPr>
          <w:b w:val="0"/>
          <w:i/>
          <w:color w:val="007A87"/>
          <w:sz w:val="20"/>
        </w:rPr>
        <w:t xml:space="preserve">  Video 3 of 3  |  EAR: Relate</w:t>
      </w:r>
    </w:p>
    <w:p>
      <w:r>
        <w:rPr>
          <w:b/>
          <w:i w:val="0"/>
          <w:color w:val="F0A800"/>
          <w:sz w:val="22"/>
        </w:rPr>
        <w:t>Q39. [Gap Fill Dropdown]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1C4F"/>
          </w:tcPr>
          <w:p>
            <w:r>
              <w:rPr>
                <w:b/>
                <w:i w:val="0"/>
                <w:color w:val="FFFFFF"/>
                <w:sz w:val="22"/>
              </w:rPr>
              <w:t>Complete the sentence:</w:t>
            </w:r>
          </w:p>
        </w:tc>
      </w:tr>
      <w:tr>
        <w:tc>
          <w:tcPr>
            <w:tcW w:type="dxa" w:w="9972"/>
          </w:tcPr>
          <w:p>
            <w:r>
              <w:rPr>
                <w:b w:val="0"/>
                <w:i/>
                <w:color w:val="404040"/>
                <w:sz w:val="22"/>
              </w:rPr>
              <w:t>In a securitisation, the [BLANK1] originates loans and sells them to a [BLANK2], which issues securities backed by those assets to investors. The process of dividing the securities into layers of different risk/return is called [BLANK3].</w:t>
            </w:r>
          </w:p>
        </w:tc>
      </w:tr>
      <w:tr>
        <w:tc>
          <w:tcPr>
            <w:tcW w:type="dxa" w:w="9972"/>
            <w:shd w:val="clear" w:color="auto" w:fill="F5F5F5"/>
          </w:tcPr>
          <w:p>
            <w:r>
              <w:rPr>
                <w:b w:val="0"/>
                <w:i w:val="0"/>
                <w:color w:val="007A87"/>
                <w:sz w:val="20"/>
              </w:rPr>
              <w:t>Options: bank / NBFC / originator  |  SPV / trust / custodian  |  tranching / credit enhancement / rating</w:t>
            </w:r>
          </w:p>
        </w:tc>
      </w:tr>
      <w:tr>
        <w:tc>
          <w:tcPr>
            <w:tcW w:type="dxa" w:w="9972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Answers: BLANK1 → originator (bank/NBFC)  |  BLANK2 → SPV (Special Purpose Vehicle)  |  BLANK3 → tranching</w:t>
            </w:r>
          </w:p>
        </w:tc>
      </w:tr>
      <w:tr>
        <w:tc>
          <w:tcPr>
            <w:tcW w:type="dxa" w:w="9972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Securitisation flow: Originator → SPV (owns assets, issues securities) → Investors. Tranching creates Senior (low risk), Mezzanine (medium), and Equity (high risk) layers.</w:t>
            </w:r>
          </w:p>
        </w:tc>
      </w:tr>
    </w:tbl>
    <w:p/>
    <w:p>
      <w:r>
        <w:rPr>
          <w:b/>
          <w:i w:val="0"/>
          <w:color w:val="F0A800"/>
          <w:sz w:val="22"/>
        </w:rPr>
        <w:t>Q40. [Matching Pairs]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Left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Right</w:t>
            </w:r>
          </w:p>
        </w:tc>
        <w:tc>
          <w:tcPr>
            <w:tcW w:type="dxa" w:w="3324"/>
            <w:shd w:val="clear" w:color="auto" w:fill="101C4F"/>
          </w:tcPr>
          <w:p>
            <w:r>
              <w:rPr>
                <w:b/>
                <w:i w:val="0"/>
                <w:color w:val="FFFFFF"/>
                <w:sz w:val="20"/>
              </w:rPr>
              <w:t>Correct Match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Originator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Entity that creates the underlying loans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Originator → Creates underlying assets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SPV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Bankruptcy-remote vehicle that holds assets and issues securities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SPV → Legal owner of asset pool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Senior Tranche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Lowest-risk layer; absorbs losses last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Senior Tranche → AAA rated, last to lose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Equity Tranche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  <w:sz w:val="20"/>
              </w:rPr>
              <w:t>First-loss layer; highest risk and return</w:t>
            </w:r>
          </w:p>
        </w:tc>
        <w:tc>
          <w:tcPr>
            <w:tcW w:type="dxa" w:w="3324"/>
            <w:shd w:val="clear" w:color="auto" w:fill="E8F5E9"/>
          </w:tcPr>
          <w:p>
            <w:r>
              <w:rPr>
                <w:b/>
                <w:i w:val="0"/>
                <w:color w:val="1B5E20"/>
                <w:sz w:val="20"/>
              </w:rPr>
              <w:t>Equity Tranche → First to absorb losses</w:t>
            </w:r>
          </w:p>
        </w:tc>
      </w:tr>
      <w:tr>
        <w:tc>
          <w:tcPr>
            <w:tcW w:type="dxa" w:w="9972"/>
            <w:gridSpan w:val="3"/>
            <w:shd w:val="clear" w:color="auto" w:fill="F0F4FF"/>
          </w:tcPr>
          <w:p>
            <w:r>
              <w:rPr>
                <w:b/>
                <w:i w:val="0"/>
                <w:color w:val="007A87"/>
                <w:sz w:val="20"/>
              </w:rPr>
              <w:t xml:space="preserve">Rationale: </w:t>
            </w:r>
            <w:r>
              <w:rPr>
                <w:b w:val="0"/>
                <w:i w:val="0"/>
                <w:color w:val="404040"/>
                <w:sz w:val="20"/>
              </w:rPr>
              <w:t>Securitisation converts illiquid loan pools into tradeable securities via an SPV. Tranching allocates risk: senior investors get safety; equity investors get higher yield but bear first losses — aligning risk appetite with return expectations.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