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01C4F"/>
          <w:sz w:val="40"/>
        </w:rPr>
        <w:t>CIBOP  ·  ISDA &amp; OTC Trade Life Cycle</w:t>
      </w:r>
    </w:p>
    <w:p>
      <w:pPr>
        <w:jc w:val="center"/>
      </w:pPr>
      <w:r>
        <w:rPr>
          <w:rFonts w:ascii="Calibri" w:hAnsi="Calibri"/>
          <w:b/>
          <w:i w:val="0"/>
          <w:color w:val="007A87"/>
          <w:sz w:val="28"/>
        </w:rPr>
        <w:t>Module F10  |  Assessment  (40 Questions)</w:t>
      </w:r>
    </w:p>
    <w:p>
      <w:pPr>
        <w:pBdr>
          <w:bottom w:val="single" w:sz="6" w:space="1" w:color="F0A800"/>
        </w:pBdr>
      </w:pPr>
    </w:p>
    <w:p/>
    <w:p>
      <w:pPr>
        <w:pBdr>
          <w:bottom w:val="single" w:sz="6" w:space="1" w:color="007A87"/>
        </w:pBdr>
      </w:pPr>
    </w:p>
    <w:p>
      <w:r>
        <w:rPr>
          <w:rFonts w:ascii="Calibri" w:hAnsi="Calibri"/>
          <w:b/>
          <w:i w:val="0"/>
          <w:color w:val="101C4F"/>
          <w:sz w:val="26"/>
        </w:rPr>
        <w:t>F10.1  Introduction to ISDA and the OTC Market</w:t>
      </w:r>
    </w:p>
    <w:p/>
    <w:p>
      <w:r>
        <w:rPr>
          <w:rFonts w:ascii="Calibri" w:hAnsi="Calibri"/>
          <w:b/>
          <w:i w:val="0"/>
          <w:color w:val="101C4F"/>
          <w:sz w:val="22"/>
        </w:rPr>
        <w:t xml:space="preserve">Q1. </w:t>
      </w:r>
      <w:r>
        <w:rPr>
          <w:rFonts w:ascii="Calibri" w:hAnsi="Calibri"/>
          <w:b w:val="0"/>
          <w:i w:val="0"/>
          <w:color w:val="404040"/>
          <w:sz w:val="22"/>
        </w:rPr>
        <w:t>Which statement best describes an Over-the-Counter (OTC) derivative?</w:t>
      </w:r>
    </w:p>
    <w:p>
      <w:pPr>
        <w:pStyle w:val="ListBullet"/>
        <w:ind w:left="576"/>
      </w:pPr>
      <w:r>
        <w:rPr>
          <w:rFonts w:ascii="Calibri" w:hAnsi="Calibri"/>
          <w:b w:val="0"/>
          <w:i w:val="0"/>
          <w:color w:val="404040"/>
          <w:sz w:val="21"/>
        </w:rPr>
        <w:t>A) A standardised contract traded on a regulated exchange with a CCP.</w:t>
      </w:r>
    </w:p>
    <w:p>
      <w:pPr>
        <w:pStyle w:val="ListBullet"/>
        <w:ind w:left="576"/>
      </w:pPr>
      <w:r>
        <w:rPr>
          <w:rFonts w:ascii="Calibri" w:hAnsi="Calibri"/>
          <w:b w:val="0"/>
          <w:i w:val="0"/>
          <w:color w:val="404040"/>
          <w:sz w:val="21"/>
        </w:rPr>
        <w:t>B) A privately negotiated bilateral contract between two counterparties, not exchange-listed.</w:t>
      </w:r>
    </w:p>
    <w:p>
      <w:pPr>
        <w:pStyle w:val="ListBullet"/>
        <w:ind w:left="576"/>
      </w:pPr>
      <w:r>
        <w:rPr>
          <w:rFonts w:ascii="Calibri" w:hAnsi="Calibri"/>
          <w:b w:val="0"/>
          <w:i w:val="0"/>
          <w:color w:val="404040"/>
          <w:sz w:val="21"/>
        </w:rPr>
        <w:t>C) A derivative that can only be traded by central banks and governments.</w:t>
      </w:r>
    </w:p>
    <w:p>
      <w:pPr>
        <w:pStyle w:val="ListBullet"/>
        <w:ind w:left="576"/>
      </w:pPr>
      <w:r>
        <w:rPr>
          <w:rFonts w:ascii="Calibri" w:hAnsi="Calibri"/>
          <w:b w:val="0"/>
          <w:i w:val="0"/>
          <w:color w:val="404040"/>
          <w:sz w:val="21"/>
        </w:rPr>
        <w:t>D) A contract backed by physical delivery of the underlying asset only.</w:t>
      </w:r>
    </w:p>
    <w:p>
      <w:r>
        <w:rPr>
          <w:rFonts w:ascii="Calibri" w:hAnsi="Calibri"/>
          <w:b/>
          <w:i w:val="0"/>
          <w:color w:val="007000"/>
          <w:sz w:val="20"/>
        </w:rPr>
        <w:t xml:space="preserve">Answer: </w:t>
      </w:r>
      <w:r>
        <w:rPr>
          <w:rFonts w:ascii="Calibri" w:hAnsi="Calibri"/>
          <w:b w:val="0"/>
          <w:i w:val="0"/>
          <w:color w:val="007000"/>
          <w:sz w:val="20"/>
        </w:rPr>
        <w:t>B) A privately negotiated bilateral contract between two counterparties, not exchange-listed.</w:t>
      </w:r>
    </w:p>
    <w:p>
      <w:r>
        <w:rPr>
          <w:rFonts w:ascii="Calibri" w:hAnsi="Calibri"/>
          <w:b/>
          <w:i/>
          <w:color w:val="007A87"/>
          <w:sz w:val="20"/>
        </w:rPr>
        <w:t xml:space="preserve">Explanation: </w:t>
      </w:r>
      <w:r>
        <w:rPr>
          <w:rFonts w:ascii="Calibri" w:hAnsi="Calibri"/>
          <w:b w:val="0"/>
          <w:i/>
          <w:color w:val="404040"/>
          <w:sz w:val="20"/>
        </w:rPr>
        <w:t>OTC derivatives are bilateral, privately negotiated contracts. They are not traded on an exchange and have flexible, customisable terms. Exchange-traded derivatives (ETDs) use standardised contracts through a CCP.</w:t>
      </w:r>
    </w:p>
    <w:p/>
    <w:p>
      <w:r>
        <w:rPr>
          <w:rFonts w:ascii="Calibri" w:hAnsi="Calibri"/>
          <w:b/>
          <w:i w:val="0"/>
          <w:color w:val="101C4F"/>
          <w:sz w:val="22"/>
        </w:rPr>
        <w:t xml:space="preserve">Q2. </w:t>
      </w:r>
      <w:r>
        <w:rPr>
          <w:rFonts w:ascii="Calibri" w:hAnsi="Calibri"/>
          <w:b w:val="0"/>
          <w:i w:val="0"/>
          <w:color w:val="404040"/>
          <w:sz w:val="22"/>
        </w:rPr>
        <w:t>For each statement about ISDA and the OTC market, state True or False.</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ISDA was founded in 1985 and is headquartered in New York.</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The OTC derivatives market is smaller than the exchange-traded derivatives market by notional value.</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The ISDA Master Agreement creates a single agreement concept across all trades between two counterparties.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OTC markets offer greater flexibility in contract terms compared to exchange-traded markets.</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ISDA was indeed founded in 1985. The OTC market is far larger — over $600 trillion notional globally vs ~$80 trillion for ETDs. The Single Agreement concept means all trades are one legal relationship. OTC markets offer bespoke terms unlike standardised ETDs.</w:t>
      </w:r>
    </w:p>
    <w:p/>
    <w:p>
      <w:r>
        <w:rPr>
          <w:rFonts w:ascii="Calibri" w:hAnsi="Calibri"/>
          <w:b/>
          <w:i w:val="0"/>
          <w:color w:val="101C4F"/>
          <w:sz w:val="22"/>
        </w:rPr>
        <w:t xml:space="preserve">Q3. </w:t>
      </w:r>
      <w:r>
        <w:rPr>
          <w:rFonts w:ascii="Calibri" w:hAnsi="Calibri"/>
          <w:b w:val="0"/>
          <w:i w:val="0"/>
          <w:color w:val="404040"/>
          <w:sz w:val="22"/>
        </w:rPr>
        <w:t>The ISDA Master Agreement is the foundation of OTC documentation. It is a</w:t>
      </w:r>
      <w:r>
        <w:rPr>
          <w:rFonts w:ascii="Calibri" w:hAnsi="Calibri"/>
          <w:b/>
          <w:i w:val="0"/>
          <w:color w:val="007A87"/>
          <w:sz w:val="22"/>
        </w:rPr>
        <w:t xml:space="preserve"> ________ </w:t>
      </w:r>
      <w:r>
        <w:rPr>
          <w:rFonts w:ascii="Calibri" w:hAnsi="Calibri"/>
          <w:b w:val="0"/>
          <w:i w:val="0"/>
          <w:color w:val="404040"/>
          <w:sz w:val="22"/>
        </w:rPr>
        <w:t>agreement supported by a</w:t>
      </w:r>
      <w:r>
        <w:rPr>
          <w:rFonts w:ascii="Calibri" w:hAnsi="Calibri"/>
          <w:b/>
          <w:i w:val="0"/>
          <w:color w:val="007A87"/>
          <w:sz w:val="22"/>
        </w:rPr>
        <w:t xml:space="preserve"> ________ </w:t>
      </w:r>
      <w:r>
        <w:rPr>
          <w:rFonts w:ascii="Calibri" w:hAnsi="Calibri"/>
          <w:b w:val="0"/>
          <w:i w:val="0"/>
          <w:color w:val="404040"/>
          <w:sz w:val="22"/>
        </w:rPr>
        <w:t>which contains party-specific elections, and a</w:t>
      </w:r>
      <w:r>
        <w:rPr>
          <w:rFonts w:ascii="Calibri" w:hAnsi="Calibri"/>
          <w:b/>
          <w:i w:val="0"/>
          <w:color w:val="007A87"/>
          <w:sz w:val="22"/>
        </w:rPr>
        <w:t xml:space="preserve"> ________ </w:t>
      </w:r>
      <w:r>
        <w:rPr>
          <w:rFonts w:ascii="Calibri" w:hAnsi="Calibri"/>
          <w:b w:val="0"/>
          <w:i w:val="0"/>
          <w:color w:val="404040"/>
          <w:sz w:val="22"/>
        </w:rPr>
        <w:t>which governs collateral exchange.</w:t>
      </w:r>
    </w:p>
    <w:p>
      <w:r>
        <w:rPr>
          <w:rFonts w:ascii="Calibri" w:hAnsi="Calibri"/>
          <w:b/>
          <w:i w:val="0"/>
          <w:color w:val="007000"/>
          <w:sz w:val="20"/>
        </w:rPr>
        <w:t xml:space="preserve">Answers: </w:t>
      </w:r>
      <w:r>
        <w:rPr>
          <w:rFonts w:ascii="Calibri" w:hAnsi="Calibri"/>
          <w:b w:val="0"/>
          <w:i w:val="0"/>
          <w:color w:val="007000"/>
          <w:sz w:val="20"/>
        </w:rPr>
        <w:t>bilateral framework | Schedule | Credit Support Annex (CSA)</w:t>
      </w:r>
    </w:p>
    <w:p>
      <w:r>
        <w:rPr>
          <w:rFonts w:ascii="Calibri" w:hAnsi="Calibri"/>
          <w:b/>
          <w:i/>
          <w:color w:val="007A87"/>
          <w:sz w:val="20"/>
        </w:rPr>
        <w:t xml:space="preserve">Explanation: </w:t>
      </w:r>
      <w:r>
        <w:rPr>
          <w:rFonts w:ascii="Calibri" w:hAnsi="Calibri"/>
          <w:b w:val="0"/>
          <w:i/>
          <w:color w:val="404040"/>
          <w:sz w:val="20"/>
        </w:rPr>
        <w:t>The ISDA architecture: the Master Agreement provides general terms; the Schedule customises it with party elections; the CSA governs margin/collateral. Together they form a single legal relationship for all OTC trades between two parties.</w:t>
      </w:r>
    </w:p>
    <w:p/>
    <w:p>
      <w:r>
        <w:rPr>
          <w:rFonts w:ascii="Calibri" w:hAnsi="Calibri"/>
          <w:b/>
          <w:i w:val="0"/>
          <w:color w:val="101C4F"/>
          <w:sz w:val="22"/>
        </w:rPr>
        <w:t xml:space="preserve">Q4. </w:t>
      </w:r>
      <w:r>
        <w:rPr>
          <w:rFonts w:ascii="Calibri" w:hAnsi="Calibri"/>
          <w:b w:val="0"/>
          <w:i w:val="0"/>
          <w:color w:val="404040"/>
          <w:sz w:val="22"/>
        </w:rPr>
        <w:t>Match each OTC market characteristic to its description.</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Bilateral negotiation</w:t>
            </w:r>
          </w:p>
        </w:tc>
        <w:tc>
          <w:tcPr>
            <w:tcW w:type="dxa" w:w="2880"/>
            <w:shd w:val="clear" w:color="auto" w:fill="FFFFFF"/>
          </w:tcPr>
          <w:p>
            <w:r>
              <w:rPr>
                <w:rFonts w:ascii="Calibri" w:hAnsi="Calibri"/>
                <w:b w:val="0"/>
                <w:i w:val="0"/>
                <w:color w:val="404040"/>
                <w:sz w:val="20"/>
              </w:rPr>
              <w:t>Contracts tailored to specific hedge requirements (notional, tenor, cash flows)</w:t>
            </w:r>
          </w:p>
        </w:tc>
        <w:tc>
          <w:tcPr>
            <w:tcW w:type="dxa" w:w="2880"/>
            <w:shd w:val="clear" w:color="auto" w:fill="FFFFFF"/>
          </w:tcPr>
          <w:p>
            <w:r>
              <w:rPr>
                <w:rFonts w:ascii="Calibri" w:hAnsi="Calibri"/>
                <w:b/>
                <w:i w:val="0"/>
                <w:color w:val="007000"/>
                <w:sz w:val="20"/>
              </w:rPr>
              <w:t>C</w:t>
            </w:r>
          </w:p>
        </w:tc>
      </w:tr>
      <w:tr>
        <w:tc>
          <w:tcPr>
            <w:tcW w:type="dxa" w:w="2880"/>
            <w:shd w:val="clear" w:color="auto" w:fill="F5F6FA"/>
          </w:tcPr>
          <w:p>
            <w:r>
              <w:rPr>
                <w:rFonts w:ascii="Calibri" w:hAnsi="Calibri"/>
                <w:b/>
                <w:i w:val="0"/>
                <w:color w:val="101C4F"/>
                <w:sz w:val="20"/>
              </w:rPr>
              <w:t>Bespoke terms</w:t>
            </w:r>
          </w:p>
        </w:tc>
        <w:tc>
          <w:tcPr>
            <w:tcW w:type="dxa" w:w="2880"/>
            <w:shd w:val="clear" w:color="auto" w:fill="FFFFFF"/>
          </w:tcPr>
          <w:p>
            <w:r>
              <w:rPr>
                <w:rFonts w:ascii="Calibri" w:hAnsi="Calibri"/>
                <w:b w:val="0"/>
                <w:i w:val="0"/>
                <w:color w:val="404040"/>
                <w:sz w:val="20"/>
              </w:rPr>
              <w:t>Exposure to the other party defaulting before final settlement</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Counterparty risk</w:t>
            </w:r>
          </w:p>
        </w:tc>
        <w:tc>
          <w:tcPr>
            <w:tcW w:type="dxa" w:w="2880"/>
            <w:shd w:val="clear" w:color="auto" w:fill="FFFFFF"/>
          </w:tcPr>
          <w:p>
            <w:r>
              <w:rPr>
                <w:rFonts w:ascii="Calibri" w:hAnsi="Calibri"/>
                <w:b w:val="0"/>
                <w:i w:val="0"/>
                <w:color w:val="404040"/>
                <w:sz w:val="20"/>
              </w:rPr>
              <w:t>Privately agreed between two parties without exchange intermediary</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ISDA documentation</w:t>
            </w:r>
          </w:p>
        </w:tc>
        <w:tc>
          <w:tcPr>
            <w:tcW w:type="dxa" w:w="2880"/>
            <w:shd w:val="clear" w:color="auto" w:fill="FFFFFF"/>
          </w:tcPr>
          <w:p>
            <w:r>
              <w:rPr>
                <w:rFonts w:ascii="Calibri" w:hAnsi="Calibri"/>
                <w:b w:val="0"/>
                <w:i w:val="0"/>
                <w:color w:val="404040"/>
                <w:sz w:val="20"/>
              </w:rPr>
              <w:t>Standardised legal framework reducing negotiation cost and legal uncertainty</w:t>
            </w:r>
          </w:p>
        </w:tc>
        <w:tc>
          <w:tcPr>
            <w:tcW w:type="dxa" w:w="2880"/>
            <w:shd w:val="clear" w:color="auto" w:fill="FFFFFF"/>
          </w:tcPr>
          <w:p>
            <w:r>
              <w:rPr>
                <w:rFonts w:ascii="Calibri" w:hAnsi="Calibri"/>
                <w:b/>
                <w:i w:val="0"/>
                <w:color w:val="007000"/>
                <w:sz w:val="20"/>
              </w:rPr>
              <w:t>D</w:t>
            </w:r>
          </w:p>
        </w:tc>
      </w:tr>
    </w:tbl>
    <w:p/>
    <w:p>
      <w:r>
        <w:rPr>
          <w:rFonts w:ascii="Calibri" w:hAnsi="Calibri"/>
          <w:b/>
          <w:i/>
          <w:color w:val="007A87"/>
          <w:sz w:val="20"/>
        </w:rPr>
        <w:t xml:space="preserve">Explanation: </w:t>
      </w:r>
      <w:r>
        <w:rPr>
          <w:rFonts w:ascii="Calibri" w:hAnsi="Calibri"/>
          <w:b w:val="0"/>
          <w:i/>
          <w:color w:val="404040"/>
          <w:sz w:val="20"/>
        </w:rPr>
        <w:t>Bilateral = private two-party negotiation. Bespoke = customisable terms. Counterparty risk = bilateral default exposure. ISDA = standardised legal framework that coexists with bespoke trade terms.</w:t>
      </w:r>
    </w:p>
    <w:p/>
    <w:p>
      <w:pPr>
        <w:pBdr>
          <w:bottom w:val="single" w:sz="6" w:space="1" w:color="007A87"/>
        </w:pBdr>
      </w:pPr>
    </w:p>
    <w:p>
      <w:r>
        <w:rPr>
          <w:rFonts w:ascii="Calibri" w:hAnsi="Calibri"/>
          <w:b/>
          <w:i w:val="0"/>
          <w:color w:val="101C4F"/>
          <w:sz w:val="26"/>
        </w:rPr>
        <w:t>F10.2  ISDA Master Agreement Structure</w:t>
      </w:r>
    </w:p>
    <w:p/>
    <w:p>
      <w:r>
        <w:rPr>
          <w:rFonts w:ascii="Calibri" w:hAnsi="Calibri"/>
          <w:b/>
          <w:i w:val="0"/>
          <w:color w:val="101C4F"/>
          <w:sz w:val="22"/>
        </w:rPr>
        <w:t xml:space="preserve">Q5. </w:t>
      </w:r>
      <w:r>
        <w:rPr>
          <w:rFonts w:ascii="Calibri" w:hAnsi="Calibri"/>
          <w:b w:val="0"/>
          <w:i w:val="0"/>
          <w:color w:val="404040"/>
          <w:sz w:val="22"/>
        </w:rPr>
        <w:t>Which section of the 2002 ISDA Master Agreement contains the provisions for netting of payments and gross-up for withholding taxes?</w:t>
      </w:r>
    </w:p>
    <w:p>
      <w:pPr>
        <w:pStyle w:val="ListBullet"/>
        <w:ind w:left="576"/>
      </w:pPr>
      <w:r>
        <w:rPr>
          <w:rFonts w:ascii="Calibri" w:hAnsi="Calibri"/>
          <w:b w:val="0"/>
          <w:i w:val="0"/>
          <w:color w:val="404040"/>
          <w:sz w:val="21"/>
        </w:rPr>
        <w:t>A) Section 1 — Interpretation</w:t>
      </w:r>
    </w:p>
    <w:p>
      <w:pPr>
        <w:pStyle w:val="ListBullet"/>
        <w:ind w:left="576"/>
      </w:pPr>
      <w:r>
        <w:rPr>
          <w:rFonts w:ascii="Calibri" w:hAnsi="Calibri"/>
          <w:b w:val="0"/>
          <w:i w:val="0"/>
          <w:color w:val="404040"/>
          <w:sz w:val="21"/>
        </w:rPr>
        <w:t>B) Section 2 — Obligations</w:t>
      </w:r>
    </w:p>
    <w:p>
      <w:pPr>
        <w:pStyle w:val="ListBullet"/>
        <w:ind w:left="576"/>
      </w:pPr>
      <w:r>
        <w:rPr>
          <w:rFonts w:ascii="Calibri" w:hAnsi="Calibri"/>
          <w:b w:val="0"/>
          <w:i w:val="0"/>
          <w:color w:val="404040"/>
          <w:sz w:val="21"/>
        </w:rPr>
        <w:t>C) Section 4 — Agreements</w:t>
      </w:r>
    </w:p>
    <w:p>
      <w:pPr>
        <w:pStyle w:val="ListBullet"/>
        <w:ind w:left="576"/>
      </w:pPr>
      <w:r>
        <w:rPr>
          <w:rFonts w:ascii="Calibri" w:hAnsi="Calibri"/>
          <w:b w:val="0"/>
          <w:i w:val="0"/>
          <w:color w:val="404040"/>
          <w:sz w:val="21"/>
        </w:rPr>
        <w:t>D) Section 5 — Events of Default and Termination Events</w:t>
      </w:r>
    </w:p>
    <w:p>
      <w:r>
        <w:rPr>
          <w:rFonts w:ascii="Calibri" w:hAnsi="Calibri"/>
          <w:b/>
          <w:i w:val="0"/>
          <w:color w:val="007000"/>
          <w:sz w:val="20"/>
        </w:rPr>
        <w:t xml:space="preserve">Answer: </w:t>
      </w:r>
      <w:r>
        <w:rPr>
          <w:rFonts w:ascii="Calibri" w:hAnsi="Calibri"/>
          <w:b w:val="0"/>
          <w:i w:val="0"/>
          <w:color w:val="007000"/>
          <w:sz w:val="20"/>
        </w:rPr>
        <w:t>B) Section 2 — Obligations</w:t>
      </w:r>
    </w:p>
    <w:p>
      <w:r>
        <w:rPr>
          <w:rFonts w:ascii="Calibri" w:hAnsi="Calibri"/>
          <w:b/>
          <w:i/>
          <w:color w:val="007A87"/>
          <w:sz w:val="20"/>
        </w:rPr>
        <w:t xml:space="preserve">Explanation: </w:t>
      </w:r>
      <w:r>
        <w:rPr>
          <w:rFonts w:ascii="Calibri" w:hAnsi="Calibri"/>
          <w:b w:val="0"/>
          <w:i/>
          <w:color w:val="404040"/>
          <w:sz w:val="20"/>
        </w:rPr>
        <w:t>Section 2 of the ISDA Master Agreement governs Obligations, including the payment netting mechanism (netting payments on the same date in the same currency) and the gross-up obligation (the payer bears any withholding tax). Section 5 covers Events of Default.</w:t>
      </w:r>
    </w:p>
    <w:p/>
    <w:p>
      <w:r>
        <w:rPr>
          <w:rFonts w:ascii="Calibri" w:hAnsi="Calibri"/>
          <w:b/>
          <w:i w:val="0"/>
          <w:color w:val="101C4F"/>
          <w:sz w:val="22"/>
        </w:rPr>
        <w:t xml:space="preserve">Q6. </w:t>
      </w:r>
      <w:r>
        <w:rPr>
          <w:rFonts w:ascii="Calibri" w:hAnsi="Calibri"/>
          <w:b w:val="0"/>
          <w:i w:val="0"/>
          <w:color w:val="404040"/>
          <w:sz w:val="22"/>
        </w:rPr>
        <w:t>Indicate whether the following statements about the ISDA Master Agreement are True or False.</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The 2002 Master Agreement replaced the Market Quotation close-out method with a Loss calculation approach.</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The Single Agreement concept means that all transactions between counterparties form one indivisible contract.</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Section 3 of the ISDA Master Agreement covers Events of Default and Termination Events.</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The ISDA Master Agreement schedule can override default provisions of the master agreement itself.</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The 2002 MA introduced the Close-out Amount method (replacing Market Quotation/Loss). Single Agreement is central to the MA. Section 5 — not Section 3 — covers EODs and TEs. Section 3 contains Representations. The Schedule can modify master agreement defaults through elections.</w:t>
      </w:r>
    </w:p>
    <w:p/>
    <w:p>
      <w:r>
        <w:rPr>
          <w:rFonts w:ascii="Calibri" w:hAnsi="Calibri"/>
          <w:b/>
          <w:i w:val="0"/>
          <w:color w:val="101C4F"/>
          <w:sz w:val="22"/>
        </w:rPr>
        <w:t xml:space="preserve">Q7. </w:t>
      </w:r>
      <w:r>
        <w:rPr>
          <w:rFonts w:ascii="Calibri" w:hAnsi="Calibri"/>
          <w:b w:val="0"/>
          <w:i w:val="0"/>
          <w:color w:val="404040"/>
          <w:sz w:val="22"/>
        </w:rPr>
        <w:t>The 1992 ISDA Master Agreement offered two close-out methods:</w:t>
      </w:r>
      <w:r>
        <w:rPr>
          <w:rFonts w:ascii="Calibri" w:hAnsi="Calibri"/>
          <w:b/>
          <w:i w:val="0"/>
          <w:color w:val="007A87"/>
          <w:sz w:val="22"/>
        </w:rPr>
        <w:t xml:space="preserve"> ________ </w:t>
      </w:r>
      <w:r>
        <w:rPr>
          <w:rFonts w:ascii="Calibri" w:hAnsi="Calibri"/>
          <w:b w:val="0"/>
          <w:i w:val="0"/>
          <w:color w:val="404040"/>
          <w:sz w:val="22"/>
        </w:rPr>
        <w:t>and Loss. The 2002 version replaced both with a single</w:t>
      </w:r>
      <w:r>
        <w:rPr>
          <w:rFonts w:ascii="Calibri" w:hAnsi="Calibri"/>
          <w:b/>
          <w:i w:val="0"/>
          <w:color w:val="007A87"/>
          <w:sz w:val="22"/>
        </w:rPr>
        <w:t xml:space="preserve"> ________ </w:t>
      </w:r>
      <w:r>
        <w:rPr>
          <w:rFonts w:ascii="Calibri" w:hAnsi="Calibri"/>
          <w:b w:val="0"/>
          <w:i w:val="0"/>
          <w:color w:val="404040"/>
          <w:sz w:val="22"/>
        </w:rPr>
        <w:t>methodology. The key advantage is that it gives the</w:t>
      </w:r>
      <w:r>
        <w:rPr>
          <w:rFonts w:ascii="Calibri" w:hAnsi="Calibri"/>
          <w:b/>
          <w:i w:val="0"/>
          <w:color w:val="007A87"/>
          <w:sz w:val="22"/>
        </w:rPr>
        <w:t xml:space="preserve"> ________ </w:t>
      </w:r>
      <w:r>
        <w:rPr>
          <w:rFonts w:ascii="Calibri" w:hAnsi="Calibri"/>
          <w:b w:val="0"/>
          <w:i w:val="0"/>
          <w:color w:val="404040"/>
          <w:sz w:val="22"/>
        </w:rPr>
        <w:t>party greater flexibility in calculating the termination amount.</w:t>
      </w:r>
    </w:p>
    <w:p>
      <w:r>
        <w:rPr>
          <w:rFonts w:ascii="Calibri" w:hAnsi="Calibri"/>
          <w:b/>
          <w:i w:val="0"/>
          <w:color w:val="007000"/>
          <w:sz w:val="20"/>
        </w:rPr>
        <w:t xml:space="preserve">Answers: </w:t>
      </w:r>
      <w:r>
        <w:rPr>
          <w:rFonts w:ascii="Calibri" w:hAnsi="Calibri"/>
          <w:b w:val="0"/>
          <w:i w:val="0"/>
          <w:color w:val="007000"/>
          <w:sz w:val="20"/>
        </w:rPr>
        <w:t>Market Quotation | Close-out Amount | Non-Defaulting</w:t>
      </w:r>
    </w:p>
    <w:p>
      <w:r>
        <w:rPr>
          <w:rFonts w:ascii="Calibri" w:hAnsi="Calibri"/>
          <w:b/>
          <w:i/>
          <w:color w:val="007A87"/>
          <w:sz w:val="20"/>
        </w:rPr>
        <w:t xml:space="preserve">Explanation: </w:t>
      </w:r>
      <w:r>
        <w:rPr>
          <w:rFonts w:ascii="Calibri" w:hAnsi="Calibri"/>
          <w:b w:val="0"/>
          <w:i/>
          <w:color w:val="404040"/>
          <w:sz w:val="20"/>
        </w:rPr>
        <w:t>The 1992 MA had Market Quotation (using dealer quotes) and Loss (dealer's own calculation). The 2002 MA unified these into Close-out Amount — a more flexible methodology that allows the non-defaulting party to use its own reasonable determination of replacement cost.</w:t>
      </w:r>
    </w:p>
    <w:p/>
    <w:p>
      <w:r>
        <w:rPr>
          <w:rFonts w:ascii="Calibri" w:hAnsi="Calibri"/>
          <w:b/>
          <w:i w:val="0"/>
          <w:color w:val="101C4F"/>
          <w:sz w:val="22"/>
        </w:rPr>
        <w:t xml:space="preserve">Q8. </w:t>
      </w:r>
      <w:r>
        <w:rPr>
          <w:rFonts w:ascii="Calibri" w:hAnsi="Calibri"/>
          <w:b w:val="0"/>
          <w:i w:val="0"/>
          <w:color w:val="404040"/>
          <w:sz w:val="22"/>
        </w:rPr>
        <w:t>Match each ISDA Master Agreement section to its primary content.</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Section 1</w:t>
            </w:r>
          </w:p>
        </w:tc>
        <w:tc>
          <w:tcPr>
            <w:tcW w:type="dxa" w:w="2880"/>
            <w:shd w:val="clear" w:color="auto" w:fill="FFFFFF"/>
          </w:tcPr>
          <w:p>
            <w:r>
              <w:rPr>
                <w:rFonts w:ascii="Calibri" w:hAnsi="Calibri"/>
                <w:b w:val="0"/>
                <w:i w:val="0"/>
                <w:color w:val="404040"/>
                <w:sz w:val="20"/>
              </w:rPr>
              <w:t>Representations — accuracy of information, no material misrepresentation</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Section 2</w:t>
            </w:r>
          </w:p>
        </w:tc>
        <w:tc>
          <w:tcPr>
            <w:tcW w:type="dxa" w:w="2880"/>
            <w:shd w:val="clear" w:color="auto" w:fill="FFFFFF"/>
          </w:tcPr>
          <w:p>
            <w:r>
              <w:rPr>
                <w:rFonts w:ascii="Calibri" w:hAnsi="Calibri"/>
                <w:b w:val="0"/>
                <w:i w:val="0"/>
                <w:color w:val="404040"/>
                <w:sz w:val="20"/>
              </w:rPr>
              <w:t>Interpretation — definitions, single agreement, consistency</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Section 3</w:t>
            </w:r>
          </w:p>
        </w:tc>
        <w:tc>
          <w:tcPr>
            <w:tcW w:type="dxa" w:w="2880"/>
            <w:shd w:val="clear" w:color="auto" w:fill="FFFFFF"/>
          </w:tcPr>
          <w:p>
            <w:r>
              <w:rPr>
                <w:rFonts w:ascii="Calibri" w:hAnsi="Calibri"/>
                <w:b w:val="0"/>
                <w:i w:val="0"/>
                <w:color w:val="404040"/>
                <w:sz w:val="20"/>
              </w:rPr>
              <w:t>Events of Default and Termination Events</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Section 5</w:t>
            </w:r>
          </w:p>
        </w:tc>
        <w:tc>
          <w:tcPr>
            <w:tcW w:type="dxa" w:w="2880"/>
            <w:shd w:val="clear" w:color="auto" w:fill="FFFFFF"/>
          </w:tcPr>
          <w:p>
            <w:r>
              <w:rPr>
                <w:rFonts w:ascii="Calibri" w:hAnsi="Calibri"/>
                <w:b w:val="0"/>
                <w:i w:val="0"/>
                <w:color w:val="404040"/>
                <w:sz w:val="20"/>
              </w:rPr>
              <w:t>Obligations — payment netting, tax gross-up, default interest</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MA structure: S1 = Interpretation; S2 = Obligations; S3 = Representations; S4 = Agreements; S5 = Events of Default/Termination Events. Operations staff must know this structure because EODs (S5) trigger the close-out process managed by middle/back office.</w:t>
      </w:r>
    </w:p>
    <w:p/>
    <w:p>
      <w:pPr>
        <w:pBdr>
          <w:bottom w:val="single" w:sz="6" w:space="1" w:color="007A87"/>
        </w:pBdr>
      </w:pPr>
    </w:p>
    <w:p>
      <w:r>
        <w:rPr>
          <w:rFonts w:ascii="Calibri" w:hAnsi="Calibri"/>
          <w:b/>
          <w:i w:val="0"/>
          <w:color w:val="101C4F"/>
          <w:sz w:val="26"/>
        </w:rPr>
        <w:t>F10.3  Events of Default and Termination Events</w:t>
      </w:r>
    </w:p>
    <w:p/>
    <w:p>
      <w:r>
        <w:rPr>
          <w:rFonts w:ascii="Calibri" w:hAnsi="Calibri"/>
          <w:b/>
          <w:i w:val="0"/>
          <w:color w:val="101C4F"/>
          <w:sz w:val="22"/>
        </w:rPr>
        <w:t xml:space="preserve">Q9. </w:t>
      </w:r>
      <w:r>
        <w:rPr>
          <w:rFonts w:ascii="Calibri" w:hAnsi="Calibri"/>
          <w:b w:val="0"/>
          <w:i w:val="0"/>
          <w:color w:val="404040"/>
          <w:sz w:val="22"/>
        </w:rPr>
        <w:t>A bank fails to make a payment of $5 million due under an IRS and does not cure the failure within the 3-day grace period. Under the ISDA Master Agreement, this constitutes which Event of Default?</w:t>
      </w:r>
    </w:p>
    <w:p>
      <w:pPr>
        <w:pStyle w:val="ListBullet"/>
        <w:ind w:left="576"/>
      </w:pPr>
      <w:r>
        <w:rPr>
          <w:rFonts w:ascii="Calibri" w:hAnsi="Calibri"/>
          <w:b w:val="0"/>
          <w:i w:val="0"/>
          <w:color w:val="404040"/>
          <w:sz w:val="21"/>
        </w:rPr>
        <w:t>A) Bankruptcy</w:t>
      </w:r>
    </w:p>
    <w:p>
      <w:pPr>
        <w:pStyle w:val="ListBullet"/>
        <w:ind w:left="576"/>
      </w:pPr>
      <w:r>
        <w:rPr>
          <w:rFonts w:ascii="Calibri" w:hAnsi="Calibri"/>
          <w:b w:val="0"/>
          <w:i w:val="0"/>
          <w:color w:val="404040"/>
          <w:sz w:val="21"/>
        </w:rPr>
        <w:t>B) Cross-Default</w:t>
      </w:r>
    </w:p>
    <w:p>
      <w:pPr>
        <w:pStyle w:val="ListBullet"/>
        <w:ind w:left="576"/>
      </w:pPr>
      <w:r>
        <w:rPr>
          <w:rFonts w:ascii="Calibri" w:hAnsi="Calibri"/>
          <w:b w:val="0"/>
          <w:i w:val="0"/>
          <w:color w:val="404040"/>
          <w:sz w:val="21"/>
        </w:rPr>
        <w:t>C) Failure to Pay or Deliver</w:t>
      </w:r>
    </w:p>
    <w:p>
      <w:pPr>
        <w:pStyle w:val="ListBullet"/>
        <w:ind w:left="576"/>
      </w:pPr>
      <w:r>
        <w:rPr>
          <w:rFonts w:ascii="Calibri" w:hAnsi="Calibri"/>
          <w:b w:val="0"/>
          <w:i w:val="0"/>
          <w:color w:val="404040"/>
          <w:sz w:val="21"/>
        </w:rPr>
        <w:t>D) Repudiation of Agreement</w:t>
      </w:r>
    </w:p>
    <w:p>
      <w:r>
        <w:rPr>
          <w:rFonts w:ascii="Calibri" w:hAnsi="Calibri"/>
          <w:b/>
          <w:i w:val="0"/>
          <w:color w:val="007000"/>
          <w:sz w:val="20"/>
        </w:rPr>
        <w:t xml:space="preserve">Answer: </w:t>
      </w:r>
      <w:r>
        <w:rPr>
          <w:rFonts w:ascii="Calibri" w:hAnsi="Calibri"/>
          <w:b w:val="0"/>
          <w:i w:val="0"/>
          <w:color w:val="007000"/>
          <w:sz w:val="20"/>
        </w:rPr>
        <w:t>C) Failure to Pay or Deliver</w:t>
      </w:r>
    </w:p>
    <w:p>
      <w:r>
        <w:rPr>
          <w:rFonts w:ascii="Calibri" w:hAnsi="Calibri"/>
          <w:b/>
          <w:i/>
          <w:color w:val="007A87"/>
          <w:sz w:val="20"/>
        </w:rPr>
        <w:t xml:space="preserve">Explanation: </w:t>
      </w:r>
      <w:r>
        <w:rPr>
          <w:rFonts w:ascii="Calibri" w:hAnsi="Calibri"/>
          <w:b w:val="0"/>
          <w:i/>
          <w:color w:val="404040"/>
          <w:sz w:val="20"/>
        </w:rPr>
        <w:t>Failure to Pay or Deliver (ISDA Section 5(a)(i)) covers non-payment of amounts due under the agreement after expiry of any grace period. Bankruptcy covers insolvency proceedings. Cross-Default applies when a party defaults under other financial obligations above a specified threshold.</w:t>
      </w:r>
    </w:p>
    <w:p/>
    <w:p>
      <w:r>
        <w:rPr>
          <w:rFonts w:ascii="Calibri" w:hAnsi="Calibri"/>
          <w:b/>
          <w:i w:val="0"/>
          <w:color w:val="101C4F"/>
          <w:sz w:val="22"/>
        </w:rPr>
        <w:t xml:space="preserve">Q10. </w:t>
      </w:r>
      <w:r>
        <w:rPr>
          <w:rFonts w:ascii="Calibri" w:hAnsi="Calibri"/>
          <w:b w:val="0"/>
          <w:i w:val="0"/>
          <w:color w:val="404040"/>
          <w:sz w:val="22"/>
        </w:rPr>
        <w:t>State True or False for each statement about close-out netting.</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Close-out netting converts all outstanding transactions into a single net termination payment.</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The non-defaulting party calculates Close-out Amount and may receive or pay the net balance.</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Under the ISDA Single Agreement, close-out netting is not legally enforceable in any jurisdiction.</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The Termination Currency is elected in the ISDA Schedule and is the currency of the final net payment.</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Close-out netting collapses all trades into one net payment — this is the key credit risk benefit. Both parties' MTM values are calculated; the net determines who pays whom. ISDA works hard to ensure legal enforceability in all major jurisdictions. Termination Currency is a Schedule election, commonly USD or the home currency of the non-defaulting party.</w:t>
      </w:r>
    </w:p>
    <w:p/>
    <w:p>
      <w:r>
        <w:rPr>
          <w:rFonts w:ascii="Calibri" w:hAnsi="Calibri"/>
          <w:b/>
          <w:i w:val="0"/>
          <w:color w:val="101C4F"/>
          <w:sz w:val="22"/>
        </w:rPr>
        <w:t xml:space="preserve">Q11. </w:t>
      </w:r>
      <w:r>
        <w:rPr>
          <w:rFonts w:ascii="Calibri" w:hAnsi="Calibri"/>
          <w:b w:val="0"/>
          <w:i w:val="0"/>
          <w:color w:val="404040"/>
          <w:sz w:val="22"/>
        </w:rPr>
        <w:t>If Party A (non-defaulting) has 10 IRS trades valued at a net MTM of +$8 million (in its favour), and Party B owes</w:t>
      </w:r>
      <w:r>
        <w:rPr>
          <w:rFonts w:ascii="Calibri" w:hAnsi="Calibri"/>
          <w:b/>
          <w:i w:val="0"/>
          <w:color w:val="007A87"/>
          <w:sz w:val="22"/>
        </w:rPr>
        <w:t xml:space="preserve"> ________ </w:t>
      </w:r>
      <w:r>
        <w:rPr>
          <w:rFonts w:ascii="Calibri" w:hAnsi="Calibri"/>
          <w:b w:val="0"/>
          <w:i w:val="0"/>
          <w:color w:val="404040"/>
          <w:sz w:val="22"/>
        </w:rPr>
        <w:t>to Party A, the close-out netting payment is</w:t>
      </w:r>
      <w:r>
        <w:rPr>
          <w:rFonts w:ascii="Calibri" w:hAnsi="Calibri"/>
          <w:b/>
          <w:i w:val="0"/>
          <w:color w:val="007A87"/>
          <w:sz w:val="22"/>
        </w:rPr>
        <w:t xml:space="preserve"> ________ </w:t>
      </w:r>
      <w:r>
        <w:rPr>
          <w:rFonts w:ascii="Calibri" w:hAnsi="Calibri"/>
          <w:b w:val="0"/>
          <w:i w:val="0"/>
          <w:color w:val="404040"/>
          <w:sz w:val="22"/>
        </w:rPr>
        <w:t>from Party B to Party A. This illustrates the</w:t>
      </w:r>
      <w:r>
        <w:rPr>
          <w:rFonts w:ascii="Calibri" w:hAnsi="Calibri"/>
          <w:b/>
          <w:i w:val="0"/>
          <w:color w:val="007A87"/>
          <w:sz w:val="22"/>
        </w:rPr>
        <w:t xml:space="preserve"> ________ </w:t>
      </w:r>
      <w:r>
        <w:rPr>
          <w:rFonts w:ascii="Calibri" w:hAnsi="Calibri"/>
          <w:b w:val="0"/>
          <w:i w:val="0"/>
          <w:color w:val="404040"/>
          <w:sz w:val="22"/>
        </w:rPr>
        <w:t>concept that reduces credit exposure from gross to net.</w:t>
      </w:r>
    </w:p>
    <w:p>
      <w:r>
        <w:rPr>
          <w:rFonts w:ascii="Calibri" w:hAnsi="Calibri"/>
          <w:b/>
          <w:i w:val="0"/>
          <w:color w:val="007000"/>
          <w:sz w:val="20"/>
        </w:rPr>
        <w:t xml:space="preserve">Answers: </w:t>
      </w:r>
      <w:r>
        <w:rPr>
          <w:rFonts w:ascii="Calibri" w:hAnsi="Calibri"/>
          <w:b w:val="0"/>
          <w:i w:val="0"/>
          <w:color w:val="007000"/>
          <w:sz w:val="20"/>
        </w:rPr>
        <w:t>$8 million | $8 million | close-out netting</w:t>
      </w:r>
    </w:p>
    <w:p>
      <w:r>
        <w:rPr>
          <w:rFonts w:ascii="Calibri" w:hAnsi="Calibri"/>
          <w:b/>
          <w:i/>
          <w:color w:val="007A87"/>
          <w:sz w:val="20"/>
        </w:rPr>
        <w:t xml:space="preserve">Explanation: </w:t>
      </w:r>
      <w:r>
        <w:rPr>
          <w:rFonts w:ascii="Calibri" w:hAnsi="Calibri"/>
          <w:b w:val="0"/>
          <w:i/>
          <w:color w:val="404040"/>
          <w:sz w:val="20"/>
        </w:rPr>
        <w:t>Close-out netting means all bilateral trades are terminated and replaced by a single net payment. If Party A is owed $8M net, Party B pays $8M (not individual trade amounts). This is why netting enforceability opinions are critical — without it, administrators could cherry-pick profitable trades.</w:t>
      </w:r>
    </w:p>
    <w:p/>
    <w:p>
      <w:r>
        <w:rPr>
          <w:rFonts w:ascii="Calibri" w:hAnsi="Calibri"/>
          <w:b/>
          <w:i w:val="0"/>
          <w:color w:val="101C4F"/>
          <w:sz w:val="22"/>
        </w:rPr>
        <w:t xml:space="preserve">Q12. </w:t>
      </w:r>
      <w:r>
        <w:rPr>
          <w:rFonts w:ascii="Calibri" w:hAnsi="Calibri"/>
          <w:b w:val="0"/>
          <w:i w:val="0"/>
          <w:color w:val="404040"/>
          <w:sz w:val="22"/>
        </w:rPr>
        <w:t>Match each Event of Default or Termination Event to its trigger condition.</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Failure to Pay or Deliver</w:t>
            </w:r>
          </w:p>
        </w:tc>
        <w:tc>
          <w:tcPr>
            <w:tcW w:type="dxa" w:w="2880"/>
            <w:shd w:val="clear" w:color="auto" w:fill="FFFFFF"/>
          </w:tcPr>
          <w:p>
            <w:r>
              <w:rPr>
                <w:rFonts w:ascii="Calibri" w:hAnsi="Calibri"/>
                <w:b w:val="0"/>
                <w:i w:val="0"/>
                <w:color w:val="404040"/>
                <w:sz w:val="20"/>
              </w:rPr>
              <w:t>Change in law makes it illegal to perform obligations under the agreement</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Bankruptcy</w:t>
            </w:r>
          </w:p>
        </w:tc>
        <w:tc>
          <w:tcPr>
            <w:tcW w:type="dxa" w:w="2880"/>
            <w:shd w:val="clear" w:color="auto" w:fill="FFFFFF"/>
          </w:tcPr>
          <w:p>
            <w:r>
              <w:rPr>
                <w:rFonts w:ascii="Calibri" w:hAnsi="Calibri"/>
                <w:b w:val="0"/>
                <w:i w:val="0"/>
                <w:color w:val="404040"/>
                <w:sz w:val="20"/>
              </w:rPr>
              <w:t>Party fails to make a required payment after expiry of grace period</w:t>
            </w:r>
          </w:p>
        </w:tc>
        <w:tc>
          <w:tcPr>
            <w:tcW w:type="dxa" w:w="2880"/>
            <w:shd w:val="clear" w:color="auto" w:fill="FFFFFF"/>
          </w:tcPr>
          <w:p>
            <w:r>
              <w:rPr>
                <w:rFonts w:ascii="Calibri" w:hAnsi="Calibri"/>
                <w:b/>
                <w:i w:val="0"/>
                <w:color w:val="007000"/>
                <w:sz w:val="20"/>
              </w:rPr>
              <w:t>C</w:t>
            </w:r>
          </w:p>
        </w:tc>
      </w:tr>
      <w:tr>
        <w:tc>
          <w:tcPr>
            <w:tcW w:type="dxa" w:w="2880"/>
            <w:shd w:val="clear" w:color="auto" w:fill="F5F6FA"/>
          </w:tcPr>
          <w:p>
            <w:r>
              <w:rPr>
                <w:rFonts w:ascii="Calibri" w:hAnsi="Calibri"/>
                <w:b/>
                <w:i w:val="0"/>
                <w:color w:val="101C4F"/>
                <w:sz w:val="20"/>
              </w:rPr>
              <w:t>Illegality</w:t>
            </w:r>
          </w:p>
        </w:tc>
        <w:tc>
          <w:tcPr>
            <w:tcW w:type="dxa" w:w="2880"/>
            <w:shd w:val="clear" w:color="auto" w:fill="FFFFFF"/>
          </w:tcPr>
          <w:p>
            <w:r>
              <w:rPr>
                <w:rFonts w:ascii="Calibri" w:hAnsi="Calibri"/>
                <w:b w:val="0"/>
                <w:i w:val="0"/>
                <w:color w:val="404040"/>
                <w:sz w:val="20"/>
              </w:rPr>
              <w:t>Insolvency proceedings, inability to pay debts, administrator appointed</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Tax Event</w:t>
            </w:r>
          </w:p>
        </w:tc>
        <w:tc>
          <w:tcPr>
            <w:tcW w:type="dxa" w:w="2880"/>
            <w:shd w:val="clear" w:color="auto" w:fill="FFFFFF"/>
          </w:tcPr>
          <w:p>
            <w:r>
              <w:rPr>
                <w:rFonts w:ascii="Calibri" w:hAnsi="Calibri"/>
                <w:b w:val="0"/>
                <w:i w:val="0"/>
                <w:color w:val="404040"/>
                <w:sz w:val="20"/>
              </w:rPr>
              <w:t>Party required to gross up or pay additional withholding tax due to law change</w:t>
            </w:r>
          </w:p>
        </w:tc>
        <w:tc>
          <w:tcPr>
            <w:tcW w:type="dxa" w:w="2880"/>
            <w:shd w:val="clear" w:color="auto" w:fill="FFFFFF"/>
          </w:tcPr>
          <w:p>
            <w:r>
              <w:rPr>
                <w:rFonts w:ascii="Calibri" w:hAnsi="Calibri"/>
                <w:b/>
                <w:i w:val="0"/>
                <w:color w:val="007000"/>
                <w:sz w:val="20"/>
              </w:rPr>
              <w:t>D</w:t>
            </w:r>
          </w:p>
        </w:tc>
      </w:tr>
    </w:tbl>
    <w:p/>
    <w:p>
      <w:r>
        <w:rPr>
          <w:rFonts w:ascii="Calibri" w:hAnsi="Calibri"/>
          <w:b/>
          <w:i/>
          <w:color w:val="007A87"/>
          <w:sz w:val="20"/>
        </w:rPr>
        <w:t xml:space="preserve">Explanation: </w:t>
      </w:r>
      <w:r>
        <w:rPr>
          <w:rFonts w:ascii="Calibri" w:hAnsi="Calibri"/>
          <w:b w:val="0"/>
          <w:i/>
          <w:color w:val="404040"/>
          <w:sz w:val="20"/>
        </w:rPr>
        <w:t>EODs include Failure to Pay, Bankruptcy, Cross-Default, etc. Termination Events include Illegality (law change) and Tax Event (withholding tax change) — these don't constitute fault but allow early termination. The distinction matters operationally for who can trigger termination and on what terms.</w:t>
      </w:r>
    </w:p>
    <w:p/>
    <w:p>
      <w:pPr>
        <w:pBdr>
          <w:bottom w:val="single" w:sz="6" w:space="1" w:color="007A87"/>
        </w:pBdr>
      </w:pPr>
    </w:p>
    <w:p>
      <w:r>
        <w:rPr>
          <w:rFonts w:ascii="Calibri" w:hAnsi="Calibri"/>
          <w:b/>
          <w:i w:val="0"/>
          <w:color w:val="101C4F"/>
          <w:sz w:val="26"/>
        </w:rPr>
        <w:t>F10.4  ISDA Schedule</w:t>
      </w:r>
    </w:p>
    <w:p/>
    <w:p>
      <w:r>
        <w:rPr>
          <w:rFonts w:ascii="Calibri" w:hAnsi="Calibri"/>
          <w:b/>
          <w:i w:val="0"/>
          <w:color w:val="101C4F"/>
          <w:sz w:val="22"/>
        </w:rPr>
        <w:t xml:space="preserve">Q13. </w:t>
      </w:r>
      <w:r>
        <w:rPr>
          <w:rFonts w:ascii="Calibri" w:hAnsi="Calibri"/>
          <w:b w:val="0"/>
          <w:i w:val="0"/>
          <w:color w:val="404040"/>
          <w:sz w:val="22"/>
        </w:rPr>
        <w:t>In the ISDA Schedule, 'Automatic Early Termination' (AET) is typically elected as 'Not Applicable' for counterparties in common law jurisdictions because:</w:t>
      </w:r>
    </w:p>
    <w:p>
      <w:pPr>
        <w:pStyle w:val="ListBullet"/>
        <w:ind w:left="576"/>
      </w:pPr>
      <w:r>
        <w:rPr>
          <w:rFonts w:ascii="Calibri" w:hAnsi="Calibri"/>
          <w:b w:val="0"/>
          <w:i w:val="0"/>
          <w:color w:val="404040"/>
          <w:sz w:val="21"/>
        </w:rPr>
        <w:t>A) AET would require court approval before taking effect.</w:t>
      </w:r>
    </w:p>
    <w:p>
      <w:pPr>
        <w:pStyle w:val="ListBullet"/>
        <w:ind w:left="576"/>
      </w:pPr>
      <w:r>
        <w:rPr>
          <w:rFonts w:ascii="Calibri" w:hAnsi="Calibri"/>
          <w:b w:val="0"/>
          <w:i w:val="0"/>
          <w:color w:val="404040"/>
          <w:sz w:val="21"/>
        </w:rPr>
        <w:t>B) Automatic termination could conflict with insolvency law, causing netting enforceability issues.</w:t>
      </w:r>
    </w:p>
    <w:p>
      <w:pPr>
        <w:pStyle w:val="ListBullet"/>
        <w:ind w:left="576"/>
      </w:pPr>
      <w:r>
        <w:rPr>
          <w:rFonts w:ascii="Calibri" w:hAnsi="Calibri"/>
          <w:b w:val="0"/>
          <w:i w:val="0"/>
          <w:color w:val="404040"/>
          <w:sz w:val="21"/>
        </w:rPr>
        <w:t>C) AET is only available in civil law jurisdictions where insolvency law protects netting.</w:t>
      </w:r>
    </w:p>
    <w:p>
      <w:pPr>
        <w:pStyle w:val="ListBullet"/>
        <w:ind w:left="576"/>
      </w:pPr>
      <w:r>
        <w:rPr>
          <w:rFonts w:ascii="Calibri" w:hAnsi="Calibri"/>
          <w:b w:val="0"/>
          <w:i w:val="0"/>
          <w:color w:val="404040"/>
          <w:sz w:val="21"/>
        </w:rPr>
        <w:t>D) Common law jurisdictions prohibit early termination of derivative contracts.</w:t>
      </w:r>
    </w:p>
    <w:p>
      <w:r>
        <w:rPr>
          <w:rFonts w:ascii="Calibri" w:hAnsi="Calibri"/>
          <w:b/>
          <w:i w:val="0"/>
          <w:color w:val="007000"/>
          <w:sz w:val="20"/>
        </w:rPr>
        <w:t xml:space="preserve">Answer: </w:t>
      </w:r>
      <w:r>
        <w:rPr>
          <w:rFonts w:ascii="Calibri" w:hAnsi="Calibri"/>
          <w:b w:val="0"/>
          <w:i w:val="0"/>
          <w:color w:val="007000"/>
          <w:sz w:val="20"/>
        </w:rPr>
        <w:t>B) Automatic termination could conflict with insolvency law, causing netting enforceability issues.</w:t>
      </w:r>
    </w:p>
    <w:p>
      <w:r>
        <w:rPr>
          <w:rFonts w:ascii="Calibri" w:hAnsi="Calibri"/>
          <w:b/>
          <w:i/>
          <w:color w:val="007A87"/>
          <w:sz w:val="20"/>
        </w:rPr>
        <w:t xml:space="preserve">Explanation: </w:t>
      </w:r>
      <w:r>
        <w:rPr>
          <w:rFonts w:ascii="Calibri" w:hAnsi="Calibri"/>
          <w:b w:val="0"/>
          <w:i/>
          <w:color w:val="404040"/>
          <w:sz w:val="20"/>
        </w:rPr>
        <w:t>In common law jurisdictions (UK, US), insolvency administrators have the power to challenge automatic terminations. AET is therefore set as Not Applicable — the non-defaulting party designates Early Termination Date manually. In civil law jurisdictions (many European countries), AET may be elected as Applicable because local insolvency law respects automatic close-out.</w:t>
      </w:r>
    </w:p>
    <w:p/>
    <w:p>
      <w:r>
        <w:rPr>
          <w:rFonts w:ascii="Calibri" w:hAnsi="Calibri"/>
          <w:b/>
          <w:i w:val="0"/>
          <w:color w:val="101C4F"/>
          <w:sz w:val="22"/>
        </w:rPr>
        <w:t xml:space="preserve">Q14. </w:t>
      </w:r>
      <w:r>
        <w:rPr>
          <w:rFonts w:ascii="Calibri" w:hAnsi="Calibri"/>
          <w:b w:val="0"/>
          <w:i w:val="0"/>
          <w:color w:val="404040"/>
          <w:sz w:val="22"/>
        </w:rPr>
        <w:t>True or False for each ISDA Schedule election:</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Cross-Default provisions in the Schedule specify a threshold amount below which defaults on other obligations do not trigger a cross-default.</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Specified Entities are parties whose default on Specified Indebtedness can trigger Cross-Default for the main counterparty.</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The Termination Currency election has no impact on the close-out netting calculation.</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An ISDA Schedule is specific to a pair of counterparties and cannot be shared with third parties.</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Cross-Default threshold (e.g., $10M) prevents trivial defaults from triggering ISDA EOD. Specified Entities extend cross-default to affiliates. Termination Currency IS critical — it determines which currency the net payment is calculated and paid in. The Schedule is bilateral, party-specific.</w:t>
      </w:r>
    </w:p>
    <w:p/>
    <w:p>
      <w:r>
        <w:rPr>
          <w:rFonts w:ascii="Calibri" w:hAnsi="Calibri"/>
          <w:b/>
          <w:i w:val="0"/>
          <w:color w:val="101C4F"/>
          <w:sz w:val="22"/>
        </w:rPr>
        <w:t xml:space="preserve">Q15. </w:t>
      </w:r>
      <w:r>
        <w:rPr>
          <w:rFonts w:ascii="Calibri" w:hAnsi="Calibri"/>
          <w:b w:val="0"/>
          <w:i w:val="0"/>
          <w:color w:val="404040"/>
          <w:sz w:val="22"/>
        </w:rPr>
        <w:t>In the ISDA Schedule, a party may elect a</w:t>
      </w:r>
      <w:r>
        <w:rPr>
          <w:rFonts w:ascii="Calibri" w:hAnsi="Calibri"/>
          <w:b/>
          <w:i w:val="0"/>
          <w:color w:val="007A87"/>
          <w:sz w:val="22"/>
        </w:rPr>
        <w:t xml:space="preserve"> ________ </w:t>
      </w:r>
      <w:r>
        <w:rPr>
          <w:rFonts w:ascii="Calibri" w:hAnsi="Calibri"/>
          <w:b w:val="0"/>
          <w:i w:val="0"/>
          <w:color w:val="404040"/>
          <w:sz w:val="22"/>
        </w:rPr>
        <w:t>amount, below which variation margin need not be transferred. The</w:t>
      </w:r>
      <w:r>
        <w:rPr>
          <w:rFonts w:ascii="Calibri" w:hAnsi="Calibri"/>
          <w:b/>
          <w:i w:val="0"/>
          <w:color w:val="007A87"/>
          <w:sz w:val="22"/>
        </w:rPr>
        <w:t xml:space="preserve"> ________ </w:t>
      </w:r>
      <w:r>
        <w:rPr>
          <w:rFonts w:ascii="Calibri" w:hAnsi="Calibri"/>
          <w:b w:val="0"/>
          <w:i w:val="0"/>
          <w:color w:val="404040"/>
          <w:sz w:val="22"/>
        </w:rPr>
        <w:t>amount is the minimum transfer amount. Taken together, these create a</w:t>
      </w:r>
      <w:r>
        <w:rPr>
          <w:rFonts w:ascii="Calibri" w:hAnsi="Calibri"/>
          <w:b/>
          <w:i w:val="0"/>
          <w:color w:val="007A87"/>
          <w:sz w:val="22"/>
        </w:rPr>
        <w:t xml:space="preserve"> ________ </w:t>
      </w:r>
      <w:r>
        <w:rPr>
          <w:rFonts w:ascii="Calibri" w:hAnsi="Calibri"/>
          <w:b w:val="0"/>
          <w:i w:val="0"/>
          <w:color w:val="404040"/>
          <w:sz w:val="22"/>
        </w:rPr>
        <w:t>zone where small MTM moves do not trigger collateral calls.</w:t>
      </w:r>
    </w:p>
    <w:p>
      <w:r>
        <w:rPr>
          <w:rFonts w:ascii="Calibri" w:hAnsi="Calibri"/>
          <w:b/>
          <w:i w:val="0"/>
          <w:color w:val="007000"/>
          <w:sz w:val="20"/>
        </w:rPr>
        <w:t xml:space="preserve">Answers: </w:t>
      </w:r>
      <w:r>
        <w:rPr>
          <w:rFonts w:ascii="Calibri" w:hAnsi="Calibri"/>
          <w:b w:val="0"/>
          <w:i w:val="0"/>
          <w:color w:val="007000"/>
          <w:sz w:val="20"/>
        </w:rPr>
        <w:t>Threshold | Minimum Transfer | collateral-free</w:t>
      </w:r>
    </w:p>
    <w:p>
      <w:r>
        <w:rPr>
          <w:rFonts w:ascii="Calibri" w:hAnsi="Calibri"/>
          <w:b/>
          <w:i/>
          <w:color w:val="007A87"/>
          <w:sz w:val="20"/>
        </w:rPr>
        <w:t xml:space="preserve">Explanation: </w:t>
      </w:r>
      <w:r>
        <w:rPr>
          <w:rFonts w:ascii="Calibri" w:hAnsi="Calibri"/>
          <w:b w:val="0"/>
          <w:i/>
          <w:color w:val="404040"/>
          <w:sz w:val="20"/>
        </w:rPr>
        <w:t>Threshold = the MTM level below which no VM is required. MTA = smallest transfer amount (typically $100,000–$500,000). If exposure exceeds Threshold by more than MTA, a margin call is triggered. These elections are made in the CSA, which is part of the broader Schedule package.</w:t>
      </w:r>
    </w:p>
    <w:p/>
    <w:p>
      <w:r>
        <w:rPr>
          <w:rFonts w:ascii="Calibri" w:hAnsi="Calibri"/>
          <w:b/>
          <w:i w:val="0"/>
          <w:color w:val="101C4F"/>
          <w:sz w:val="22"/>
        </w:rPr>
        <w:t xml:space="preserve">Q16. </w:t>
      </w:r>
      <w:r>
        <w:rPr>
          <w:rFonts w:ascii="Calibri" w:hAnsi="Calibri"/>
          <w:b w:val="0"/>
          <w:i w:val="0"/>
          <w:color w:val="404040"/>
          <w:sz w:val="22"/>
        </w:rPr>
        <w:t>Match each Schedule election to its purpose.</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Threshold Amount</w:t>
            </w:r>
          </w:p>
        </w:tc>
        <w:tc>
          <w:tcPr>
            <w:tcW w:type="dxa" w:w="2880"/>
            <w:shd w:val="clear" w:color="auto" w:fill="FFFFFF"/>
          </w:tcPr>
          <w:p>
            <w:r>
              <w:rPr>
                <w:rFonts w:ascii="Calibri" w:hAnsi="Calibri"/>
                <w:b w:val="0"/>
                <w:i w:val="0"/>
                <w:color w:val="404040"/>
                <w:sz w:val="20"/>
              </w:rPr>
              <w:t>Currency in which net close-out payment is calculated and settled</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Termination Currency</w:t>
            </w:r>
          </w:p>
        </w:tc>
        <w:tc>
          <w:tcPr>
            <w:tcW w:type="dxa" w:w="2880"/>
            <w:shd w:val="clear" w:color="auto" w:fill="FFFFFF"/>
          </w:tcPr>
          <w:p>
            <w:r>
              <w:rPr>
                <w:rFonts w:ascii="Calibri" w:hAnsi="Calibri"/>
                <w:b w:val="0"/>
                <w:i w:val="0"/>
                <w:color w:val="404040"/>
                <w:sz w:val="20"/>
              </w:rPr>
              <w:t>MTM level below which no collateral transfer is required</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Automatic Early Termination</w:t>
            </w:r>
          </w:p>
        </w:tc>
        <w:tc>
          <w:tcPr>
            <w:tcW w:type="dxa" w:w="2880"/>
            <w:shd w:val="clear" w:color="auto" w:fill="FFFFFF"/>
          </w:tcPr>
          <w:p>
            <w:r>
              <w:rPr>
                <w:rFonts w:ascii="Calibri" w:hAnsi="Calibri"/>
                <w:b w:val="0"/>
                <w:i w:val="0"/>
                <w:color w:val="404040"/>
                <w:sz w:val="20"/>
              </w:rPr>
              <w:t>Financial obligations whose default can trigger Cross-Default provisions</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Specified Indebtedness</w:t>
            </w:r>
          </w:p>
        </w:tc>
        <w:tc>
          <w:tcPr>
            <w:tcW w:type="dxa" w:w="2880"/>
            <w:shd w:val="clear" w:color="auto" w:fill="FFFFFF"/>
          </w:tcPr>
          <w:p>
            <w:r>
              <w:rPr>
                <w:rFonts w:ascii="Calibri" w:hAnsi="Calibri"/>
                <w:b w:val="0"/>
                <w:i w:val="0"/>
                <w:color w:val="404040"/>
                <w:sz w:val="20"/>
              </w:rPr>
              <w:t>Whether trades automatically terminate on a default without active designation</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These four elections appear in virtually every ISDA Schedule negotiation. Threshold drives daily collateral management. Termination Currency determines payment mechanics on default. AET affects insolvency strategy. Specified Indebtedness defines the scope of cross-default monitoring.</w:t>
      </w:r>
    </w:p>
    <w:p/>
    <w:p>
      <w:pPr>
        <w:pBdr>
          <w:bottom w:val="single" w:sz="6" w:space="1" w:color="007A87"/>
        </w:pBdr>
      </w:pPr>
    </w:p>
    <w:p>
      <w:r>
        <w:rPr>
          <w:rFonts w:ascii="Calibri" w:hAnsi="Calibri"/>
          <w:b/>
          <w:i w:val="0"/>
          <w:color w:val="101C4F"/>
          <w:sz w:val="26"/>
        </w:rPr>
        <w:t>F10.5  Credit Support Annex (CSA)</w:t>
      </w:r>
    </w:p>
    <w:p/>
    <w:p>
      <w:r>
        <w:rPr>
          <w:rFonts w:ascii="Calibri" w:hAnsi="Calibri"/>
          <w:b/>
          <w:i w:val="0"/>
          <w:color w:val="101C4F"/>
          <w:sz w:val="22"/>
        </w:rPr>
        <w:t xml:space="preserve">Q17. </w:t>
      </w:r>
      <w:r>
        <w:rPr>
          <w:rFonts w:ascii="Calibri" w:hAnsi="Calibri"/>
          <w:b w:val="0"/>
          <w:i w:val="0"/>
          <w:color w:val="404040"/>
          <w:sz w:val="22"/>
        </w:rPr>
        <w:t>Under a standard ISDA CSA, the Credit Support Amount formula is: Credit Support Amount = Exposure − Threshold. If Party A's MTM exposure is $15 million and the agreed Threshold is $5 million, what is the Credit Support Amount?</w:t>
      </w:r>
    </w:p>
    <w:p>
      <w:pPr>
        <w:pStyle w:val="ListBullet"/>
        <w:ind w:left="576"/>
      </w:pPr>
      <w:r>
        <w:rPr>
          <w:rFonts w:ascii="Calibri" w:hAnsi="Calibri"/>
          <w:b w:val="0"/>
          <w:i w:val="0"/>
          <w:color w:val="404040"/>
          <w:sz w:val="21"/>
        </w:rPr>
        <w:t>A) $20 million</w:t>
      </w:r>
    </w:p>
    <w:p>
      <w:pPr>
        <w:pStyle w:val="ListBullet"/>
        <w:ind w:left="576"/>
      </w:pPr>
      <w:r>
        <w:rPr>
          <w:rFonts w:ascii="Calibri" w:hAnsi="Calibri"/>
          <w:b w:val="0"/>
          <w:i w:val="0"/>
          <w:color w:val="404040"/>
          <w:sz w:val="21"/>
        </w:rPr>
        <w:t>B) $10 million</w:t>
      </w:r>
    </w:p>
    <w:p>
      <w:pPr>
        <w:pStyle w:val="ListBullet"/>
        <w:ind w:left="576"/>
      </w:pPr>
      <w:r>
        <w:rPr>
          <w:rFonts w:ascii="Calibri" w:hAnsi="Calibri"/>
          <w:b w:val="0"/>
          <w:i w:val="0"/>
          <w:color w:val="404040"/>
          <w:sz w:val="21"/>
        </w:rPr>
        <w:t>C) $5 million</w:t>
      </w:r>
    </w:p>
    <w:p>
      <w:pPr>
        <w:pStyle w:val="ListBullet"/>
        <w:ind w:left="576"/>
      </w:pPr>
      <w:r>
        <w:rPr>
          <w:rFonts w:ascii="Calibri" w:hAnsi="Calibri"/>
          <w:b w:val="0"/>
          <w:i w:val="0"/>
          <w:color w:val="404040"/>
          <w:sz w:val="21"/>
        </w:rPr>
        <w:t>D) $15 million</w:t>
      </w:r>
    </w:p>
    <w:p>
      <w:r>
        <w:rPr>
          <w:rFonts w:ascii="Calibri" w:hAnsi="Calibri"/>
          <w:b/>
          <w:i w:val="0"/>
          <w:color w:val="007000"/>
          <w:sz w:val="20"/>
        </w:rPr>
        <w:t xml:space="preserve">Answer: </w:t>
      </w:r>
      <w:r>
        <w:rPr>
          <w:rFonts w:ascii="Calibri" w:hAnsi="Calibri"/>
          <w:b w:val="0"/>
          <w:i w:val="0"/>
          <w:color w:val="007000"/>
          <w:sz w:val="20"/>
        </w:rPr>
        <w:t>B) $10 million</w:t>
      </w:r>
    </w:p>
    <w:p>
      <w:r>
        <w:rPr>
          <w:rFonts w:ascii="Calibri" w:hAnsi="Calibri"/>
          <w:b/>
          <w:i/>
          <w:color w:val="007A87"/>
          <w:sz w:val="20"/>
        </w:rPr>
        <w:t xml:space="preserve">Explanation: </w:t>
      </w:r>
      <w:r>
        <w:rPr>
          <w:rFonts w:ascii="Calibri" w:hAnsi="Calibri"/>
          <w:b w:val="0"/>
          <w:i/>
          <w:color w:val="404040"/>
          <w:sz w:val="20"/>
        </w:rPr>
        <w:t>Credit Support Amount = Exposure − Threshold = $15M − $5M = $10M. This is the net collateral required. The Delivery Amount is then max(Credit Support Amount − Existing Collateral − MTA, 0). If $8M of collateral is already held, Delivery Amount = max($10M − $8M − $0.5M MTA, 0) = $1.5M.</w:t>
      </w:r>
    </w:p>
    <w:p/>
    <w:p>
      <w:r>
        <w:rPr>
          <w:rFonts w:ascii="Calibri" w:hAnsi="Calibri"/>
          <w:b/>
          <w:i w:val="0"/>
          <w:color w:val="101C4F"/>
          <w:sz w:val="22"/>
        </w:rPr>
        <w:t xml:space="preserve">Q18. </w:t>
      </w:r>
      <w:r>
        <w:rPr>
          <w:rFonts w:ascii="Calibri" w:hAnsi="Calibri"/>
          <w:b w:val="0"/>
          <w:i w:val="0"/>
          <w:color w:val="404040"/>
          <w:sz w:val="22"/>
        </w:rPr>
        <w:t>State True or False for each statement about the CSA and margin mechanics.</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Variation Margin (VM) reflects daily MTM changes and must be exchanged within one business day under BCBS/IOSCO rules.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Initial Margin (IM) under the Uncleared Margin Rules must be held in a segregated third-party custodian account.</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ISDA SIMM is a schedule-based approach to calculating initial margin using fixed percentages.</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UMR Phase 6 captured firms with aggregate average notional amount (AANA) of OTC derivatives above €8 billion.</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VM is daily MTM exchange — T+1 settlement. IM under UMR must be segregated (not re-hypothecated). ISDA SIMM is a sensitivity-based, risk-factor model — NOT a schedule approach (the Schedule/Grid is the simpler alternative). Phase 6 threshold: AANA &gt; €8 billion, capturing a large number of medium-sized firms.</w:t>
      </w:r>
    </w:p>
    <w:p/>
    <w:p>
      <w:r>
        <w:rPr>
          <w:rFonts w:ascii="Calibri" w:hAnsi="Calibri"/>
          <w:b/>
          <w:i w:val="0"/>
          <w:color w:val="101C4F"/>
          <w:sz w:val="22"/>
        </w:rPr>
        <w:t xml:space="preserve">Q19. </w:t>
      </w:r>
      <w:r>
        <w:rPr>
          <w:rFonts w:ascii="Calibri" w:hAnsi="Calibri"/>
          <w:b w:val="0"/>
          <w:i w:val="0"/>
          <w:color w:val="404040"/>
          <w:sz w:val="22"/>
        </w:rPr>
        <w:t>ISDA SIMM stands for</w:t>
      </w:r>
      <w:r>
        <w:rPr>
          <w:rFonts w:ascii="Calibri" w:hAnsi="Calibri"/>
          <w:b/>
          <w:i w:val="0"/>
          <w:color w:val="007A87"/>
          <w:sz w:val="22"/>
        </w:rPr>
        <w:t xml:space="preserve"> ________ </w:t>
      </w:r>
      <w:r>
        <w:rPr>
          <w:rFonts w:ascii="Calibri" w:hAnsi="Calibri"/>
          <w:b w:val="0"/>
          <w:i w:val="0"/>
          <w:color w:val="404040"/>
          <w:sz w:val="22"/>
        </w:rPr>
        <w:t>It calculates initial margin based on</w:t>
      </w:r>
      <w:r>
        <w:rPr>
          <w:rFonts w:ascii="Calibri" w:hAnsi="Calibri"/>
          <w:b/>
          <w:i w:val="0"/>
          <w:color w:val="007A87"/>
          <w:sz w:val="22"/>
        </w:rPr>
        <w:t xml:space="preserve"> ________ </w:t>
      </w:r>
      <w:r>
        <w:rPr>
          <w:rFonts w:ascii="Calibri" w:hAnsi="Calibri"/>
          <w:b w:val="0"/>
          <w:i w:val="0"/>
          <w:color w:val="404040"/>
          <w:sz w:val="22"/>
        </w:rPr>
        <w:t>to risk factors across six asset classes. Under UMR, IM is posted to a</w:t>
      </w:r>
      <w:r>
        <w:rPr>
          <w:rFonts w:ascii="Calibri" w:hAnsi="Calibri"/>
          <w:b/>
          <w:i w:val="0"/>
          <w:color w:val="007A87"/>
          <w:sz w:val="22"/>
        </w:rPr>
        <w:t xml:space="preserve"> ________ </w:t>
      </w:r>
      <w:r>
        <w:rPr>
          <w:rFonts w:ascii="Calibri" w:hAnsi="Calibri"/>
          <w:b w:val="0"/>
          <w:i w:val="0"/>
          <w:color w:val="404040"/>
          <w:sz w:val="22"/>
        </w:rPr>
        <w:t>custodian to prevent re-hypothecation by the receiving party.</w:t>
      </w:r>
    </w:p>
    <w:p>
      <w:r>
        <w:rPr>
          <w:rFonts w:ascii="Calibri" w:hAnsi="Calibri"/>
          <w:b/>
          <w:i w:val="0"/>
          <w:color w:val="007000"/>
          <w:sz w:val="20"/>
        </w:rPr>
        <w:t xml:space="preserve">Answers: </w:t>
      </w:r>
      <w:r>
        <w:rPr>
          <w:rFonts w:ascii="Calibri" w:hAnsi="Calibri"/>
          <w:b w:val="0"/>
          <w:i w:val="0"/>
          <w:color w:val="007000"/>
          <w:sz w:val="20"/>
        </w:rPr>
        <w:t>Standard Initial Margin Model | sensitivities (Greeks) | third-party (segregated)</w:t>
      </w:r>
    </w:p>
    <w:p>
      <w:r>
        <w:rPr>
          <w:rFonts w:ascii="Calibri" w:hAnsi="Calibri"/>
          <w:b/>
          <w:i/>
          <w:color w:val="007A87"/>
          <w:sz w:val="20"/>
        </w:rPr>
        <w:t xml:space="preserve">Explanation: </w:t>
      </w:r>
      <w:r>
        <w:rPr>
          <w:rFonts w:ascii="Calibri" w:hAnsi="Calibri"/>
          <w:b w:val="0"/>
          <w:i/>
          <w:color w:val="404040"/>
          <w:sz w:val="20"/>
        </w:rPr>
        <w:t>SIMM uses sensitivities (delta, vega, curvature) across rates, credit, equity, FX, commodity, and inflation. The segregation requirement under UMR means initial margin cannot be mixed with the counterparty's own assets — protecting it in a default scenario.</w:t>
      </w:r>
    </w:p>
    <w:p/>
    <w:p>
      <w:r>
        <w:rPr>
          <w:rFonts w:ascii="Calibri" w:hAnsi="Calibri"/>
          <w:b/>
          <w:i w:val="0"/>
          <w:color w:val="101C4F"/>
          <w:sz w:val="22"/>
        </w:rPr>
        <w:t xml:space="preserve">Q20. </w:t>
      </w:r>
      <w:r>
        <w:rPr>
          <w:rFonts w:ascii="Calibri" w:hAnsi="Calibri"/>
          <w:b w:val="0"/>
          <w:i w:val="0"/>
          <w:color w:val="404040"/>
          <w:sz w:val="22"/>
        </w:rPr>
        <w:t>Match each CSA term to its definition.</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Variation Margin</w:t>
            </w:r>
          </w:p>
        </w:tc>
        <w:tc>
          <w:tcPr>
            <w:tcW w:type="dxa" w:w="2880"/>
            <w:shd w:val="clear" w:color="auto" w:fill="FFFFFF"/>
          </w:tcPr>
          <w:p>
            <w:r>
              <w:rPr>
                <w:rFonts w:ascii="Calibri" w:hAnsi="Calibri"/>
                <w:b w:val="0"/>
                <w:i w:val="0"/>
                <w:color w:val="404040"/>
                <w:sz w:val="20"/>
              </w:rPr>
              <w:t>Smallest collateral transfer that will be made — avoids operationally burdensome micro-transfers</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Initial Margin</w:t>
            </w:r>
          </w:p>
        </w:tc>
        <w:tc>
          <w:tcPr>
            <w:tcW w:type="dxa" w:w="2880"/>
            <w:shd w:val="clear" w:color="auto" w:fill="FFFFFF"/>
          </w:tcPr>
          <w:p>
            <w:r>
              <w:rPr>
                <w:rFonts w:ascii="Calibri" w:hAnsi="Calibri"/>
                <w:b w:val="0"/>
                <w:i w:val="0"/>
                <w:color w:val="404040"/>
                <w:sz w:val="20"/>
              </w:rPr>
              <w:t>Daily collateral reflecting current MTM exposure — reduces counterparty risk to one day's price movement</w:t>
            </w:r>
          </w:p>
        </w:tc>
        <w:tc>
          <w:tcPr>
            <w:tcW w:type="dxa" w:w="2880"/>
            <w:shd w:val="clear" w:color="auto" w:fill="FFFFFF"/>
          </w:tcPr>
          <w:p>
            <w:r>
              <w:rPr>
                <w:rFonts w:ascii="Calibri" w:hAnsi="Calibri"/>
                <w:b/>
                <w:i w:val="0"/>
                <w:color w:val="007000"/>
                <w:sz w:val="20"/>
              </w:rPr>
              <w:t>C</w:t>
            </w:r>
          </w:p>
        </w:tc>
      </w:tr>
      <w:tr>
        <w:tc>
          <w:tcPr>
            <w:tcW w:type="dxa" w:w="2880"/>
            <w:shd w:val="clear" w:color="auto" w:fill="F5F6FA"/>
          </w:tcPr>
          <w:p>
            <w:r>
              <w:rPr>
                <w:rFonts w:ascii="Calibri" w:hAnsi="Calibri"/>
                <w:b/>
                <w:i w:val="0"/>
                <w:color w:val="101C4F"/>
                <w:sz w:val="20"/>
              </w:rPr>
              <w:t>Threshold Amount</w:t>
            </w:r>
          </w:p>
        </w:tc>
        <w:tc>
          <w:tcPr>
            <w:tcW w:type="dxa" w:w="2880"/>
            <w:shd w:val="clear" w:color="auto" w:fill="FFFFFF"/>
          </w:tcPr>
          <w:p>
            <w:r>
              <w:rPr>
                <w:rFonts w:ascii="Calibri" w:hAnsi="Calibri"/>
                <w:b w:val="0"/>
                <w:i w:val="0"/>
                <w:color w:val="404040"/>
                <w:sz w:val="20"/>
              </w:rPr>
              <w:t>Pre-default collateral buffer against potential future exposure — required under UMR for large portfolios</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Minimum Transfer Amount</w:t>
            </w:r>
          </w:p>
        </w:tc>
        <w:tc>
          <w:tcPr>
            <w:tcW w:type="dxa" w:w="2880"/>
            <w:shd w:val="clear" w:color="auto" w:fill="FFFFFF"/>
          </w:tcPr>
          <w:p>
            <w:r>
              <w:rPr>
                <w:rFonts w:ascii="Calibri" w:hAnsi="Calibri"/>
                <w:b w:val="0"/>
                <w:i w:val="0"/>
                <w:color w:val="404040"/>
                <w:sz w:val="20"/>
              </w:rPr>
              <w:t>MTM level below which the counterparty is not required to post any collateral</w:t>
            </w:r>
          </w:p>
        </w:tc>
        <w:tc>
          <w:tcPr>
            <w:tcW w:type="dxa" w:w="2880"/>
            <w:shd w:val="clear" w:color="auto" w:fill="FFFFFF"/>
          </w:tcPr>
          <w:p>
            <w:r>
              <w:rPr>
                <w:rFonts w:ascii="Calibri" w:hAnsi="Calibri"/>
                <w:b/>
                <w:i w:val="0"/>
                <w:color w:val="007000"/>
                <w:sz w:val="20"/>
              </w:rPr>
              <w:t>A</w:t>
            </w:r>
          </w:p>
        </w:tc>
      </w:tr>
    </w:tbl>
    <w:p/>
    <w:p>
      <w:r>
        <w:rPr>
          <w:rFonts w:ascii="Calibri" w:hAnsi="Calibri"/>
          <w:b/>
          <w:i/>
          <w:color w:val="007A87"/>
          <w:sz w:val="20"/>
        </w:rPr>
        <w:t xml:space="preserve">Explanation: </w:t>
      </w:r>
      <w:r>
        <w:rPr>
          <w:rFonts w:ascii="Calibri" w:hAnsi="Calibri"/>
          <w:b w:val="0"/>
          <w:i/>
          <w:color w:val="404040"/>
          <w:sz w:val="20"/>
        </w:rPr>
        <w:t>VM = daily settlement of MTM changes. IM = forward-looking PFE buffer. Threshold = collateral-free zone below which no VM is posted. MTA = operational minimum to avoid constant tiny transfers. All four terms appear in every CSA negotiation.</w:t>
      </w:r>
    </w:p>
    <w:p/>
    <w:p>
      <w:pPr>
        <w:pBdr>
          <w:bottom w:val="single" w:sz="6" w:space="1" w:color="007A87"/>
        </w:pBdr>
      </w:pPr>
    </w:p>
    <w:p>
      <w:r>
        <w:rPr>
          <w:rFonts w:ascii="Calibri" w:hAnsi="Calibri"/>
          <w:b/>
          <w:i w:val="0"/>
          <w:color w:val="101C4F"/>
          <w:sz w:val="26"/>
        </w:rPr>
        <w:t>F10.6  ISDA Definitions</w:t>
      </w:r>
    </w:p>
    <w:p/>
    <w:p>
      <w:r>
        <w:rPr>
          <w:rFonts w:ascii="Calibri" w:hAnsi="Calibri"/>
          <w:b/>
          <w:i w:val="0"/>
          <w:color w:val="101C4F"/>
          <w:sz w:val="22"/>
        </w:rPr>
        <w:t xml:space="preserve">Q21. </w:t>
      </w:r>
      <w:r>
        <w:rPr>
          <w:rFonts w:ascii="Calibri" w:hAnsi="Calibri"/>
          <w:b w:val="0"/>
          <w:i w:val="0"/>
          <w:color w:val="404040"/>
          <w:sz w:val="22"/>
        </w:rPr>
        <w:t>A confirmation for a USD interest rate swap states: 'Floating Rate Option: USD-LIBOR-BBA; Designated Maturity: 3 months.' This language incorporates which ISDA Definitions booklet?</w:t>
      </w:r>
    </w:p>
    <w:p>
      <w:pPr>
        <w:pStyle w:val="ListBullet"/>
        <w:ind w:left="576"/>
      </w:pPr>
      <w:r>
        <w:rPr>
          <w:rFonts w:ascii="Calibri" w:hAnsi="Calibri"/>
          <w:b w:val="0"/>
          <w:i w:val="0"/>
          <w:color w:val="404040"/>
          <w:sz w:val="21"/>
        </w:rPr>
        <w:t>A) 2002 ISDA Equity Derivatives Definitions</w:t>
      </w:r>
    </w:p>
    <w:p>
      <w:pPr>
        <w:pStyle w:val="ListBullet"/>
        <w:ind w:left="576"/>
      </w:pPr>
      <w:r>
        <w:rPr>
          <w:rFonts w:ascii="Calibri" w:hAnsi="Calibri"/>
          <w:b w:val="0"/>
          <w:i w:val="0"/>
          <w:color w:val="404040"/>
          <w:sz w:val="21"/>
        </w:rPr>
        <w:t>B) 1998 FX and Currency Option Definitions</w:t>
      </w:r>
    </w:p>
    <w:p>
      <w:pPr>
        <w:pStyle w:val="ListBullet"/>
        <w:ind w:left="576"/>
      </w:pPr>
      <w:r>
        <w:rPr>
          <w:rFonts w:ascii="Calibri" w:hAnsi="Calibri"/>
          <w:b w:val="0"/>
          <w:i w:val="0"/>
          <w:color w:val="404040"/>
          <w:sz w:val="21"/>
        </w:rPr>
        <w:t>C) 2006 ISDA Definitions</w:t>
      </w:r>
    </w:p>
    <w:p>
      <w:pPr>
        <w:pStyle w:val="ListBullet"/>
        <w:ind w:left="576"/>
      </w:pPr>
      <w:r>
        <w:rPr>
          <w:rFonts w:ascii="Calibri" w:hAnsi="Calibri"/>
          <w:b w:val="0"/>
          <w:i w:val="0"/>
          <w:color w:val="404040"/>
          <w:sz w:val="21"/>
        </w:rPr>
        <w:t>D) 2014 ISDA Credit Derivatives Definitions</w:t>
      </w:r>
    </w:p>
    <w:p>
      <w:r>
        <w:rPr>
          <w:rFonts w:ascii="Calibri" w:hAnsi="Calibri"/>
          <w:b/>
          <w:i w:val="0"/>
          <w:color w:val="007000"/>
          <w:sz w:val="20"/>
        </w:rPr>
        <w:t xml:space="preserve">Answer: </w:t>
      </w:r>
      <w:r>
        <w:rPr>
          <w:rFonts w:ascii="Calibri" w:hAnsi="Calibri"/>
          <w:b w:val="0"/>
          <w:i w:val="0"/>
          <w:color w:val="007000"/>
          <w:sz w:val="20"/>
        </w:rPr>
        <w:t>C) 2006 ISDA Definitions</w:t>
      </w:r>
    </w:p>
    <w:p>
      <w:r>
        <w:rPr>
          <w:rFonts w:ascii="Calibri" w:hAnsi="Calibri"/>
          <w:b/>
          <w:i/>
          <w:color w:val="007A87"/>
          <w:sz w:val="20"/>
        </w:rPr>
        <w:t xml:space="preserve">Explanation: </w:t>
      </w:r>
      <w:r>
        <w:rPr>
          <w:rFonts w:ascii="Calibri" w:hAnsi="Calibri"/>
          <w:b w:val="0"/>
          <w:i/>
          <w:color w:val="404040"/>
          <w:sz w:val="20"/>
        </w:rPr>
        <w:t>The 2006 ISDA Definitions govern interest rate and currency derivatives. Floating rate options like USD-LIBOR-BBA and designated maturities are defined within it. Note: LIBOR has been replaced by SOFR under the 2021 IBOR transition, but the 2006 Definitions framework (now supplemented) still applies.</w:t>
      </w:r>
    </w:p>
    <w:p/>
    <w:p>
      <w:r>
        <w:rPr>
          <w:rFonts w:ascii="Calibri" w:hAnsi="Calibri"/>
          <w:b/>
          <w:i w:val="0"/>
          <w:color w:val="101C4F"/>
          <w:sz w:val="22"/>
        </w:rPr>
        <w:t xml:space="preserve">Q22. </w:t>
      </w:r>
      <w:r>
        <w:rPr>
          <w:rFonts w:ascii="Calibri" w:hAnsi="Calibri"/>
          <w:b w:val="0"/>
          <w:i w:val="0"/>
          <w:color w:val="404040"/>
          <w:sz w:val="22"/>
        </w:rPr>
        <w:t>True or False for the following statements about ISDA Definitions booklets.</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The 2014 ISDA Credit Derivatives Definitions replaced the 2003 version and introduced the Determinations Committee process.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The 1998 FX Definitions govern non-deliverable forward (NDF) settlement mechanisms and disruption events.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The 2006 ISDA Definitions contain provisions for equity extraordinary events like mergers and nationalisations.</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By incorporating ISDA Definitions by reference, a confirmation avoids repeating hundreds of pages of standard terms.</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The 2014 Credit Defs introduced DC and auction settlement. 1998 FX Defs cover NDFs and disruption events. Equity extraordinary events (mergers, nationalisations) are in the 2002 ISDA Equity Derivatives Definitions — not the 2006 Definitions. Incorporation by reference is the key efficiency benefit.</w:t>
      </w:r>
    </w:p>
    <w:p/>
    <w:p>
      <w:r>
        <w:rPr>
          <w:rFonts w:ascii="Calibri" w:hAnsi="Calibri"/>
          <w:b/>
          <w:i w:val="0"/>
          <w:color w:val="101C4F"/>
          <w:sz w:val="22"/>
        </w:rPr>
        <w:t xml:space="preserve">Q23. </w:t>
      </w:r>
      <w:r>
        <w:rPr>
          <w:rFonts w:ascii="Calibri" w:hAnsi="Calibri"/>
          <w:b w:val="0"/>
          <w:i w:val="0"/>
          <w:color w:val="404040"/>
          <w:sz w:val="22"/>
        </w:rPr>
        <w:t>In a CDS transaction, the</w:t>
      </w:r>
      <w:r>
        <w:rPr>
          <w:rFonts w:ascii="Calibri" w:hAnsi="Calibri"/>
          <w:b/>
          <w:i w:val="0"/>
          <w:color w:val="007A87"/>
          <w:sz w:val="22"/>
        </w:rPr>
        <w:t xml:space="preserve"> ________ </w:t>
      </w:r>
      <w:r>
        <w:rPr>
          <w:rFonts w:ascii="Calibri" w:hAnsi="Calibri"/>
          <w:b w:val="0"/>
          <w:i w:val="0"/>
          <w:color w:val="404040"/>
          <w:sz w:val="22"/>
        </w:rPr>
        <w:t>Committee votes on whether a Credit Event has occurred. If a Credit Event is confirmed, an</w:t>
      </w:r>
      <w:r>
        <w:rPr>
          <w:rFonts w:ascii="Calibri" w:hAnsi="Calibri"/>
          <w:b/>
          <w:i w:val="0"/>
          <w:color w:val="007A87"/>
          <w:sz w:val="22"/>
        </w:rPr>
        <w:t xml:space="preserve"> ________ </w:t>
      </w:r>
      <w:r>
        <w:rPr>
          <w:rFonts w:ascii="Calibri" w:hAnsi="Calibri"/>
          <w:b w:val="0"/>
          <w:i w:val="0"/>
          <w:color w:val="404040"/>
          <w:sz w:val="22"/>
        </w:rPr>
        <w:t>is held to determine the recovery rate. Protection sellers pay</w:t>
      </w:r>
      <w:r>
        <w:rPr>
          <w:rFonts w:ascii="Calibri" w:hAnsi="Calibri"/>
          <w:b/>
          <w:i w:val="0"/>
          <w:color w:val="007A87"/>
          <w:sz w:val="22"/>
        </w:rPr>
        <w:t xml:space="preserve"> ________ </w:t>
      </w:r>
      <w:r>
        <w:rPr>
          <w:rFonts w:ascii="Calibri" w:hAnsi="Calibri"/>
          <w:b w:val="0"/>
          <w:i w:val="0"/>
          <w:color w:val="404040"/>
          <w:sz w:val="22"/>
        </w:rPr>
        <w:t>times the notional if recovery is 30%.</w:t>
      </w:r>
    </w:p>
    <w:p>
      <w:r>
        <w:rPr>
          <w:rFonts w:ascii="Calibri" w:hAnsi="Calibri"/>
          <w:b/>
          <w:i w:val="0"/>
          <w:color w:val="007000"/>
          <w:sz w:val="20"/>
        </w:rPr>
        <w:t xml:space="preserve">Answers: </w:t>
      </w:r>
      <w:r>
        <w:rPr>
          <w:rFonts w:ascii="Calibri" w:hAnsi="Calibri"/>
          <w:b w:val="0"/>
          <w:i w:val="0"/>
          <w:color w:val="007000"/>
          <w:sz w:val="20"/>
        </w:rPr>
        <w:t>Determinations | auction | 70%</w:t>
      </w:r>
    </w:p>
    <w:p>
      <w:r>
        <w:rPr>
          <w:rFonts w:ascii="Calibri" w:hAnsi="Calibri"/>
          <w:b/>
          <w:i/>
          <w:color w:val="007A87"/>
          <w:sz w:val="20"/>
        </w:rPr>
        <w:t xml:space="preserve">Explanation: </w:t>
      </w:r>
      <w:r>
        <w:rPr>
          <w:rFonts w:ascii="Calibri" w:hAnsi="Calibri"/>
          <w:b w:val="0"/>
          <w:i/>
          <w:color w:val="404040"/>
          <w:sz w:val="20"/>
        </w:rPr>
        <w:t>The DC provides centralised, objective Credit Event determination. The auction establishes a market recovery rate. If recovery = 30%, protection sellers pay (1 − 30%) = 70% of notional. This process was formalised in the 2014 Credit Definitions after the 2003 version proved inadequate for the Greek sovereign debt crisis.</w:t>
      </w:r>
    </w:p>
    <w:p/>
    <w:p>
      <w:r>
        <w:rPr>
          <w:rFonts w:ascii="Calibri" w:hAnsi="Calibri"/>
          <w:b/>
          <w:i w:val="0"/>
          <w:color w:val="101C4F"/>
          <w:sz w:val="22"/>
        </w:rPr>
        <w:t xml:space="preserve">Q24. </w:t>
      </w:r>
      <w:r>
        <w:rPr>
          <w:rFonts w:ascii="Calibri" w:hAnsi="Calibri"/>
          <w:b w:val="0"/>
          <w:i w:val="0"/>
          <w:color w:val="404040"/>
          <w:sz w:val="22"/>
        </w:rPr>
        <w:t>Match each ISDA Definitions booklet to the product it primarily governs.</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2006 ISDA Definitions</w:t>
            </w:r>
          </w:p>
        </w:tc>
        <w:tc>
          <w:tcPr>
            <w:tcW w:type="dxa" w:w="2880"/>
            <w:shd w:val="clear" w:color="auto" w:fill="FFFFFF"/>
          </w:tcPr>
          <w:p>
            <w:r>
              <w:rPr>
                <w:rFonts w:ascii="Calibri" w:hAnsi="Calibri"/>
                <w:b w:val="0"/>
                <w:i w:val="0"/>
                <w:color w:val="404040"/>
                <w:sz w:val="20"/>
              </w:rPr>
              <w:t>Non-deliverable forwards, FX options, and currency disruption events</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1998 FX &amp; Currency Option Definitions</w:t>
            </w:r>
          </w:p>
        </w:tc>
        <w:tc>
          <w:tcPr>
            <w:tcW w:type="dxa" w:w="2880"/>
            <w:shd w:val="clear" w:color="auto" w:fill="FFFFFF"/>
          </w:tcPr>
          <w:p>
            <w:r>
              <w:rPr>
                <w:rFonts w:ascii="Calibri" w:hAnsi="Calibri"/>
                <w:b w:val="0"/>
                <w:i w:val="0"/>
                <w:color w:val="404040"/>
                <w:sz w:val="20"/>
              </w:rPr>
              <w:t>Interest rate swaps, cross-currency swaps, and floating rate options</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2014 Credit Derivatives Definitions</w:t>
            </w:r>
          </w:p>
        </w:tc>
        <w:tc>
          <w:tcPr>
            <w:tcW w:type="dxa" w:w="2880"/>
            <w:shd w:val="clear" w:color="auto" w:fill="FFFFFF"/>
          </w:tcPr>
          <w:p>
            <w:r>
              <w:rPr>
                <w:rFonts w:ascii="Calibri" w:hAnsi="Calibri"/>
                <w:b w:val="0"/>
                <w:i w:val="0"/>
                <w:color w:val="404040"/>
                <w:sz w:val="20"/>
              </w:rPr>
              <w:t>Equity swaps, equity options, and extraordinary corporate events</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2002 Equity Derivatives Definitions</w:t>
            </w:r>
          </w:p>
        </w:tc>
        <w:tc>
          <w:tcPr>
            <w:tcW w:type="dxa" w:w="2880"/>
            <w:shd w:val="clear" w:color="auto" w:fill="FFFFFF"/>
          </w:tcPr>
          <w:p>
            <w:r>
              <w:rPr>
                <w:rFonts w:ascii="Calibri" w:hAnsi="Calibri"/>
                <w:b w:val="0"/>
                <w:i w:val="0"/>
                <w:color w:val="404040"/>
                <w:sz w:val="20"/>
              </w:rPr>
              <w:t>Credit default swaps, Credit Events, and Determinations Committee process</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Each definitions booklet serves a specific asset class. Operations teams must know which booklet applies to each trade — wrong definition reference in a confirmation creates a legal dispute. Most modern electronic confirmation platforms auto-populate the correct definitions version.</w:t>
      </w:r>
    </w:p>
    <w:p/>
    <w:p>
      <w:pPr>
        <w:pBdr>
          <w:bottom w:val="single" w:sz="6" w:space="1" w:color="007A87"/>
        </w:pBdr>
      </w:pPr>
    </w:p>
    <w:p>
      <w:r>
        <w:rPr>
          <w:rFonts w:ascii="Calibri" w:hAnsi="Calibri"/>
          <w:b/>
          <w:i w:val="0"/>
          <w:color w:val="101C4F"/>
          <w:sz w:val="26"/>
        </w:rPr>
        <w:t>F10.7  OTC Market Participants and Execution</w:t>
      </w:r>
    </w:p>
    <w:p/>
    <w:p>
      <w:r>
        <w:rPr>
          <w:rFonts w:ascii="Calibri" w:hAnsi="Calibri"/>
          <w:b/>
          <w:i w:val="0"/>
          <w:color w:val="101C4F"/>
          <w:sz w:val="22"/>
        </w:rPr>
        <w:t xml:space="preserve">Q25. </w:t>
      </w:r>
      <w:r>
        <w:rPr>
          <w:rFonts w:ascii="Calibri" w:hAnsi="Calibri"/>
          <w:b w:val="0"/>
          <w:i w:val="0"/>
          <w:color w:val="404040"/>
          <w:sz w:val="22"/>
        </w:rPr>
        <w:t>Under the Dodd-Frank Act, which type of execution venue is mandated for standardised, liquid OTC derivatives traded between US persons?</w:t>
      </w:r>
    </w:p>
    <w:p>
      <w:pPr>
        <w:pStyle w:val="ListBullet"/>
        <w:ind w:left="576"/>
      </w:pPr>
      <w:r>
        <w:rPr>
          <w:rFonts w:ascii="Calibri" w:hAnsi="Calibri"/>
          <w:b w:val="0"/>
          <w:i w:val="0"/>
          <w:color w:val="404040"/>
          <w:sz w:val="21"/>
        </w:rPr>
        <w:t>A) Single Dealer Platform (SDP)</w:t>
      </w:r>
    </w:p>
    <w:p>
      <w:pPr>
        <w:pStyle w:val="ListBullet"/>
        <w:ind w:left="576"/>
      </w:pPr>
      <w:r>
        <w:rPr>
          <w:rFonts w:ascii="Calibri" w:hAnsi="Calibri"/>
          <w:b w:val="0"/>
          <w:i w:val="0"/>
          <w:color w:val="404040"/>
          <w:sz w:val="21"/>
        </w:rPr>
        <w:t>B) Electronic Communication Network (ECN)</w:t>
      </w:r>
    </w:p>
    <w:p>
      <w:pPr>
        <w:pStyle w:val="ListBullet"/>
        <w:ind w:left="576"/>
      </w:pPr>
      <w:r>
        <w:rPr>
          <w:rFonts w:ascii="Calibri" w:hAnsi="Calibri"/>
          <w:b w:val="0"/>
          <w:i w:val="0"/>
          <w:color w:val="404040"/>
          <w:sz w:val="21"/>
        </w:rPr>
        <w:t>C) Swap Execution Facility (SEF)</w:t>
      </w:r>
    </w:p>
    <w:p>
      <w:pPr>
        <w:pStyle w:val="ListBullet"/>
        <w:ind w:left="576"/>
      </w:pPr>
      <w:r>
        <w:rPr>
          <w:rFonts w:ascii="Calibri" w:hAnsi="Calibri"/>
          <w:b w:val="0"/>
          <w:i w:val="0"/>
          <w:color w:val="404040"/>
          <w:sz w:val="21"/>
        </w:rPr>
        <w:t>D) Inter-Dealer Broker (IDB) voice desk</w:t>
      </w:r>
    </w:p>
    <w:p>
      <w:r>
        <w:rPr>
          <w:rFonts w:ascii="Calibri" w:hAnsi="Calibri"/>
          <w:b/>
          <w:i w:val="0"/>
          <w:color w:val="007000"/>
          <w:sz w:val="20"/>
        </w:rPr>
        <w:t xml:space="preserve">Answer: </w:t>
      </w:r>
      <w:r>
        <w:rPr>
          <w:rFonts w:ascii="Calibri" w:hAnsi="Calibri"/>
          <w:b w:val="0"/>
          <w:i w:val="0"/>
          <w:color w:val="007000"/>
          <w:sz w:val="20"/>
        </w:rPr>
        <w:t>C) Swap Execution Facility (SEF)</w:t>
      </w:r>
    </w:p>
    <w:p>
      <w:r>
        <w:rPr>
          <w:rFonts w:ascii="Calibri" w:hAnsi="Calibri"/>
          <w:b/>
          <w:i/>
          <w:color w:val="007A87"/>
          <w:sz w:val="20"/>
        </w:rPr>
        <w:t xml:space="preserve">Explanation: </w:t>
      </w:r>
      <w:r>
        <w:rPr>
          <w:rFonts w:ascii="Calibri" w:hAnsi="Calibri"/>
          <w:b w:val="0"/>
          <w:i/>
          <w:color w:val="404040"/>
          <w:sz w:val="20"/>
        </w:rPr>
        <w:t>Dodd-Frank mandated that eligible OTC derivatives (primarily vanilla IRS and CDS indices) must be executed on a SEF — a CFTC-regulated platform offering either a CLOB or RFQ with at least 3 participants. SDPs and ECNs don't satisfy the SEF requirement. IDB voice desks are used for inter-dealer trading but not the mandated channel.</w:t>
      </w:r>
    </w:p>
    <w:p/>
    <w:p>
      <w:r>
        <w:rPr>
          <w:rFonts w:ascii="Calibri" w:hAnsi="Calibri"/>
          <w:b/>
          <w:i w:val="0"/>
          <w:color w:val="101C4F"/>
          <w:sz w:val="22"/>
        </w:rPr>
        <w:t xml:space="preserve">Q26. </w:t>
      </w:r>
      <w:r>
        <w:rPr>
          <w:rFonts w:ascii="Calibri" w:hAnsi="Calibri"/>
          <w:b w:val="0"/>
          <w:i w:val="0"/>
          <w:color w:val="404040"/>
          <w:sz w:val="22"/>
        </w:rPr>
        <w:t>True or False for each statement about OTC market infrastructure.</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CCIL acts as both a Central Counterparty (CCP) and a Trade Repository (TR) for Indian OTC derivatives.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Inter-dealer brokers (IDBs) take principal risk when intermediating between dealers.</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EMIR's OTF (Organised Trading Facility) is the European equivalent of the US SEF mandate.</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LCH SwapClear is the leading CCP for clearing interest rate swaps globally.</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CCIL plays dual CCP+TR roles in India — unique in global markets. IDBs are pure intermediaries — they earn commissions but do NOT take principal risk. OTF under MiFID II is Europe's answer to SEF. LCH SwapClear clears the majority of global IRS by notional — over $300 trillion.</w:t>
      </w:r>
    </w:p>
    <w:p/>
    <w:p>
      <w:r>
        <w:rPr>
          <w:rFonts w:ascii="Calibri" w:hAnsi="Calibri"/>
          <w:b/>
          <w:i w:val="0"/>
          <w:color w:val="101C4F"/>
          <w:sz w:val="22"/>
        </w:rPr>
        <w:t xml:space="preserve">Q27. </w:t>
      </w:r>
      <w:r>
        <w:rPr>
          <w:rFonts w:ascii="Calibri" w:hAnsi="Calibri"/>
          <w:b w:val="0"/>
          <w:i w:val="0"/>
          <w:color w:val="404040"/>
          <w:sz w:val="22"/>
        </w:rPr>
        <w:t>In a Request for Quote (RFQ) workflow, a buy-side firm sends its trade specifications to</w:t>
      </w:r>
      <w:r>
        <w:rPr>
          <w:rFonts w:ascii="Calibri" w:hAnsi="Calibri"/>
          <w:b/>
          <w:i w:val="0"/>
          <w:color w:val="007A87"/>
          <w:sz w:val="22"/>
        </w:rPr>
        <w:t xml:space="preserve"> ________ </w:t>
      </w:r>
      <w:r>
        <w:rPr>
          <w:rFonts w:ascii="Calibri" w:hAnsi="Calibri"/>
          <w:b w:val="0"/>
          <w:i w:val="0"/>
          <w:color w:val="404040"/>
          <w:sz w:val="22"/>
        </w:rPr>
        <w:t>dealers simultaneously. Dealers respond within a time window. The client accepts the</w:t>
      </w:r>
      <w:r>
        <w:rPr>
          <w:rFonts w:ascii="Calibri" w:hAnsi="Calibri"/>
          <w:b/>
          <w:i w:val="0"/>
          <w:color w:val="007A87"/>
          <w:sz w:val="22"/>
        </w:rPr>
        <w:t xml:space="preserve"> ________ </w:t>
      </w:r>
      <w:r>
        <w:rPr>
          <w:rFonts w:ascii="Calibri" w:hAnsi="Calibri"/>
          <w:b w:val="0"/>
          <w:i w:val="0"/>
          <w:color w:val="404040"/>
          <w:sz w:val="22"/>
        </w:rPr>
        <w:t>price. The trade is then processed</w:t>
      </w:r>
      <w:r>
        <w:rPr>
          <w:rFonts w:ascii="Calibri" w:hAnsi="Calibri"/>
          <w:b/>
          <w:i w:val="0"/>
          <w:color w:val="007A87"/>
          <w:sz w:val="22"/>
        </w:rPr>
        <w:t xml:space="preserve"> ________ </w:t>
      </w:r>
      <w:r>
        <w:rPr>
          <w:rFonts w:ascii="Calibri" w:hAnsi="Calibri"/>
          <w:b w:val="0"/>
          <w:i w:val="0"/>
          <w:color w:val="404040"/>
          <w:sz w:val="22"/>
        </w:rPr>
        <w:t>(STP) to the booking and confirmation systems.</w:t>
      </w:r>
    </w:p>
    <w:p>
      <w:r>
        <w:rPr>
          <w:rFonts w:ascii="Calibri" w:hAnsi="Calibri"/>
          <w:b/>
          <w:i w:val="0"/>
          <w:color w:val="007000"/>
          <w:sz w:val="20"/>
        </w:rPr>
        <w:t xml:space="preserve">Answers: </w:t>
      </w:r>
      <w:r>
        <w:rPr>
          <w:rFonts w:ascii="Calibri" w:hAnsi="Calibri"/>
          <w:b w:val="0"/>
          <w:i w:val="0"/>
          <w:color w:val="007000"/>
          <w:sz w:val="20"/>
        </w:rPr>
        <w:t>multiple | best | straight-through</w:t>
      </w:r>
    </w:p>
    <w:p>
      <w:r>
        <w:rPr>
          <w:rFonts w:ascii="Calibri" w:hAnsi="Calibri"/>
          <w:b/>
          <w:i/>
          <w:color w:val="007A87"/>
          <w:sz w:val="20"/>
        </w:rPr>
        <w:t xml:space="preserve">Explanation: </w:t>
      </w:r>
      <w:r>
        <w:rPr>
          <w:rFonts w:ascii="Calibri" w:hAnsi="Calibri"/>
          <w:b w:val="0"/>
          <w:i/>
          <w:color w:val="404040"/>
          <w:sz w:val="20"/>
        </w:rPr>
        <w:t>RFQ is the dominant execution model for institutional OTC clients. Multi-dealer competition improves pricing. STP means the accepted RFQ flows automatically to trade booking — reducing manual entry errors and confirmation delays. Platforms like Tradeweb and Bloomberg TSOX operate RFQ for rates.</w:t>
      </w:r>
    </w:p>
    <w:p/>
    <w:p>
      <w:r>
        <w:rPr>
          <w:rFonts w:ascii="Calibri" w:hAnsi="Calibri"/>
          <w:b/>
          <w:i w:val="0"/>
          <w:color w:val="101C4F"/>
          <w:sz w:val="22"/>
        </w:rPr>
        <w:t xml:space="preserve">Q28. </w:t>
      </w:r>
      <w:r>
        <w:rPr>
          <w:rFonts w:ascii="Calibri" w:hAnsi="Calibri"/>
          <w:b w:val="0"/>
          <w:i w:val="0"/>
          <w:color w:val="404040"/>
          <w:sz w:val="22"/>
        </w:rPr>
        <w:t>Match each OTC market participant to its primary role.</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G16 Dealer Bank</w:t>
            </w:r>
          </w:p>
        </w:tc>
        <w:tc>
          <w:tcPr>
            <w:tcW w:type="dxa" w:w="2880"/>
            <w:shd w:val="clear" w:color="auto" w:fill="FFFFFF"/>
          </w:tcPr>
          <w:p>
            <w:r>
              <w:rPr>
                <w:rFonts w:ascii="Calibri" w:hAnsi="Calibri"/>
                <w:b w:val="0"/>
                <w:i w:val="0"/>
                <w:color w:val="404040"/>
                <w:sz w:val="20"/>
              </w:rPr>
              <w:t>Acts as buyer to every seller and seller to every buyer, eliminating bilateral risk</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Inter-Dealer Broker (IDB)</w:t>
            </w:r>
          </w:p>
        </w:tc>
        <w:tc>
          <w:tcPr>
            <w:tcW w:type="dxa" w:w="2880"/>
            <w:shd w:val="clear" w:color="auto" w:fill="FFFFFF"/>
          </w:tcPr>
          <w:p>
            <w:r>
              <w:rPr>
                <w:rFonts w:ascii="Calibri" w:hAnsi="Calibri"/>
                <w:b w:val="0"/>
                <w:i w:val="0"/>
                <w:color w:val="404040"/>
                <w:sz w:val="20"/>
              </w:rPr>
              <w:t>Provides liquidity, makes markets, and manages an OTC derivatives book</w:t>
            </w:r>
          </w:p>
        </w:tc>
        <w:tc>
          <w:tcPr>
            <w:tcW w:type="dxa" w:w="2880"/>
            <w:shd w:val="clear" w:color="auto" w:fill="FFFFFF"/>
          </w:tcPr>
          <w:p>
            <w:r>
              <w:rPr>
                <w:rFonts w:ascii="Calibri" w:hAnsi="Calibri"/>
                <w:b/>
                <w:i w:val="0"/>
                <w:color w:val="007000"/>
                <w:sz w:val="20"/>
              </w:rPr>
              <w:t>C</w:t>
            </w:r>
          </w:p>
        </w:tc>
      </w:tr>
      <w:tr>
        <w:tc>
          <w:tcPr>
            <w:tcW w:type="dxa" w:w="2880"/>
            <w:shd w:val="clear" w:color="auto" w:fill="F5F6FA"/>
          </w:tcPr>
          <w:p>
            <w:r>
              <w:rPr>
                <w:rFonts w:ascii="Calibri" w:hAnsi="Calibri"/>
                <w:b/>
                <w:i w:val="0"/>
                <w:color w:val="101C4F"/>
                <w:sz w:val="20"/>
              </w:rPr>
              <w:t>Buy-Side Asset Manager</w:t>
            </w:r>
          </w:p>
        </w:tc>
        <w:tc>
          <w:tcPr>
            <w:tcW w:type="dxa" w:w="2880"/>
            <w:shd w:val="clear" w:color="auto" w:fill="FFFFFF"/>
          </w:tcPr>
          <w:p>
            <w:r>
              <w:rPr>
                <w:rFonts w:ascii="Calibri" w:hAnsi="Calibri"/>
                <w:b w:val="0"/>
                <w:i w:val="0"/>
                <w:color w:val="404040"/>
                <w:sz w:val="20"/>
              </w:rPr>
              <w:t>Intermediates between dealers anonymously, earning commission without principal risk</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Central Counterparty (CCP)</w:t>
            </w:r>
          </w:p>
        </w:tc>
        <w:tc>
          <w:tcPr>
            <w:tcW w:type="dxa" w:w="2880"/>
            <w:shd w:val="clear" w:color="auto" w:fill="FFFFFF"/>
          </w:tcPr>
          <w:p>
            <w:r>
              <w:rPr>
                <w:rFonts w:ascii="Calibri" w:hAnsi="Calibri"/>
                <w:b w:val="0"/>
                <w:i w:val="0"/>
                <w:color w:val="404040"/>
                <w:sz w:val="20"/>
              </w:rPr>
              <w:t>Uses OTC derivatives to hedge portfolio risk or implement investment strategies</w:t>
            </w:r>
          </w:p>
        </w:tc>
        <w:tc>
          <w:tcPr>
            <w:tcW w:type="dxa" w:w="2880"/>
            <w:shd w:val="clear" w:color="auto" w:fill="FFFFFF"/>
          </w:tcPr>
          <w:p>
            <w:r>
              <w:rPr>
                <w:rFonts w:ascii="Calibri" w:hAnsi="Calibri"/>
                <w:b/>
                <w:i w:val="0"/>
                <w:color w:val="007000"/>
                <w:sz w:val="20"/>
              </w:rPr>
              <w:t>A</w:t>
            </w:r>
          </w:p>
        </w:tc>
      </w:tr>
    </w:tbl>
    <w:p/>
    <w:p>
      <w:r>
        <w:rPr>
          <w:rFonts w:ascii="Calibri" w:hAnsi="Calibri"/>
          <w:b/>
          <w:i/>
          <w:color w:val="007A87"/>
          <w:sz w:val="20"/>
        </w:rPr>
        <w:t xml:space="preserve">Explanation: </w:t>
      </w:r>
      <w:r>
        <w:rPr>
          <w:rFonts w:ascii="Calibri" w:hAnsi="Calibri"/>
          <w:b w:val="0"/>
          <w:i/>
          <w:color w:val="404040"/>
          <w:sz w:val="20"/>
        </w:rPr>
        <w:t>Dealer = market-maker. IDB = anonymous intermediary between dealers. Buy-side = end user. CCP = risk mutualiser. The CCP transformation is the single biggest structural change to OTC markets post-2008 — eliminating bilateral chain risk.</w:t>
      </w:r>
    </w:p>
    <w:p/>
    <w:p>
      <w:pPr>
        <w:pBdr>
          <w:bottom w:val="single" w:sz="6" w:space="1" w:color="007A87"/>
        </w:pBdr>
      </w:pPr>
    </w:p>
    <w:p>
      <w:r>
        <w:rPr>
          <w:rFonts w:ascii="Calibri" w:hAnsi="Calibri"/>
          <w:b/>
          <w:i w:val="0"/>
          <w:color w:val="101C4F"/>
          <w:sz w:val="26"/>
        </w:rPr>
        <w:t>F10.8  OTC TLC Stages 1–6: Initiation to Validation</w:t>
      </w:r>
    </w:p>
    <w:p/>
    <w:p>
      <w:r>
        <w:rPr>
          <w:rFonts w:ascii="Calibri" w:hAnsi="Calibri"/>
          <w:b/>
          <w:i w:val="0"/>
          <w:color w:val="101C4F"/>
          <w:sz w:val="22"/>
        </w:rPr>
        <w:t xml:space="preserve">Q29. </w:t>
      </w:r>
      <w:r>
        <w:rPr>
          <w:rFonts w:ascii="Calibri" w:hAnsi="Calibri"/>
          <w:b w:val="0"/>
          <w:i w:val="0"/>
          <w:color w:val="404040"/>
          <w:sz w:val="22"/>
        </w:rPr>
        <w:t>During the Enrichment stage of the OTC TLC, which of the following is added to the raw trade ticket?</w:t>
      </w:r>
    </w:p>
    <w:p>
      <w:pPr>
        <w:pStyle w:val="ListBullet"/>
        <w:ind w:left="576"/>
      </w:pPr>
      <w:r>
        <w:rPr>
          <w:rFonts w:ascii="Calibri" w:hAnsi="Calibri"/>
          <w:b w:val="0"/>
          <w:i w:val="0"/>
          <w:color w:val="404040"/>
          <w:sz w:val="21"/>
        </w:rPr>
        <w:t>A) The counterparty's credit limit utilisation.</w:t>
      </w:r>
    </w:p>
    <w:p>
      <w:pPr>
        <w:pStyle w:val="ListBullet"/>
        <w:ind w:left="576"/>
      </w:pPr>
      <w:r>
        <w:rPr>
          <w:rFonts w:ascii="Calibri" w:hAnsi="Calibri"/>
          <w:b w:val="0"/>
          <w:i w:val="0"/>
          <w:color w:val="404040"/>
          <w:sz w:val="21"/>
        </w:rPr>
        <w:t>B) The UTI (Unique Transaction Identifier) for TR reporting.</w:t>
      </w:r>
    </w:p>
    <w:p>
      <w:pPr>
        <w:pStyle w:val="ListBullet"/>
        <w:ind w:left="576"/>
      </w:pPr>
      <w:r>
        <w:rPr>
          <w:rFonts w:ascii="Calibri" w:hAnsi="Calibri"/>
          <w:b w:val="0"/>
          <w:i w:val="0"/>
          <w:color w:val="404040"/>
          <w:sz w:val="21"/>
        </w:rPr>
        <w:t>C) Payment schedules, business day calendars, and Standard Settlement Instructions.</w:t>
      </w:r>
    </w:p>
    <w:p>
      <w:pPr>
        <w:pStyle w:val="ListBullet"/>
        <w:ind w:left="576"/>
      </w:pPr>
      <w:r>
        <w:rPr>
          <w:rFonts w:ascii="Calibri" w:hAnsi="Calibri"/>
          <w:b w:val="0"/>
          <w:i w:val="0"/>
          <w:color w:val="404040"/>
          <w:sz w:val="21"/>
        </w:rPr>
        <w:t>D) The original deal ticket signed by the trading desk.</w:t>
      </w:r>
    </w:p>
    <w:p>
      <w:r>
        <w:rPr>
          <w:rFonts w:ascii="Calibri" w:hAnsi="Calibri"/>
          <w:b/>
          <w:i w:val="0"/>
          <w:color w:val="007000"/>
          <w:sz w:val="20"/>
        </w:rPr>
        <w:t xml:space="preserve">Answer: </w:t>
      </w:r>
      <w:r>
        <w:rPr>
          <w:rFonts w:ascii="Calibri" w:hAnsi="Calibri"/>
          <w:b w:val="0"/>
          <w:i w:val="0"/>
          <w:color w:val="007000"/>
          <w:sz w:val="20"/>
        </w:rPr>
        <w:t>C) Payment schedules, business day calendars, and Standard Settlement Instructions.</w:t>
      </w:r>
    </w:p>
    <w:p>
      <w:r>
        <w:rPr>
          <w:rFonts w:ascii="Calibri" w:hAnsi="Calibri"/>
          <w:b/>
          <w:i/>
          <w:color w:val="007A87"/>
          <w:sz w:val="20"/>
        </w:rPr>
        <w:t xml:space="preserve">Explanation: </w:t>
      </w:r>
      <w:r>
        <w:rPr>
          <w:rFonts w:ascii="Calibri" w:hAnsi="Calibri"/>
          <w:b w:val="0"/>
          <w:i/>
          <w:color w:val="404040"/>
          <w:sz w:val="20"/>
        </w:rPr>
        <w:t>Enrichment adds reference data to the raw economic terms. This includes: payment schedule generation (all cashflow dates), business day calendars (for business day convention adjustment), Standard Settlement Instructions (SSIs for payment routing), floating rate index definitions, and netting instructions. Credit limit utilisation is a validation check; UTI is generated at execution/reporting stage.</w:t>
      </w:r>
    </w:p>
    <w:p/>
    <w:p>
      <w:r>
        <w:rPr>
          <w:rFonts w:ascii="Calibri" w:hAnsi="Calibri"/>
          <w:b/>
          <w:i w:val="0"/>
          <w:color w:val="101C4F"/>
          <w:sz w:val="22"/>
        </w:rPr>
        <w:t xml:space="preserve">Q30. </w:t>
      </w:r>
      <w:r>
        <w:rPr>
          <w:rFonts w:ascii="Calibri" w:hAnsi="Calibri"/>
          <w:b w:val="0"/>
          <w:i w:val="0"/>
          <w:color w:val="404040"/>
          <w:sz w:val="22"/>
        </w:rPr>
        <w:t>True or False for the following statements about OTC TLC Stages 1–6.</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Stage 3 (Trade Reporting) requires submission of trade details including UTI and LEI to a trade repository.</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An STP (straight-through processing) failure during capture would prevent a trade from being enriched and validated.</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Verification involves matching trade details with the counterparty to ensure bilateral agreement before confirmation.</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Trade Capture is performed by the client (buy-side) rather than the executing bank.</w:t>
            </w:r>
          </w:p>
        </w:tc>
        <w:tc>
          <w:tcPr>
            <w:tcW w:type="dxa" w:w="2880"/>
            <w:shd w:val="clear" w:color="auto" w:fill="FFFFFF"/>
          </w:tcPr>
          <w:p>
            <w:r>
              <w:rPr>
                <w:rFonts w:ascii="Calibri" w:hAnsi="Calibri"/>
                <w:b/>
                <w:i w:val="0"/>
                <w:color w:val="CC0000"/>
                <w:sz w:val="20"/>
              </w:rPr>
              <w:t>False</w:t>
            </w:r>
          </w:p>
        </w:tc>
      </w:tr>
    </w:tbl>
    <w:p/>
    <w:p>
      <w:r>
        <w:rPr>
          <w:rFonts w:ascii="Calibri" w:hAnsi="Calibri"/>
          <w:b/>
          <w:i/>
          <w:color w:val="007A87"/>
          <w:sz w:val="20"/>
        </w:rPr>
        <w:t xml:space="preserve">Explanation: </w:t>
      </w:r>
      <w:r>
        <w:rPr>
          <w:rFonts w:ascii="Calibri" w:hAnsi="Calibri"/>
          <w:b w:val="0"/>
          <w:i/>
          <w:color w:val="404040"/>
          <w:sz w:val="20"/>
        </w:rPr>
        <w:t>TR reporting (Stage 3) requires UTI + LEI within regulatory deadlines. STP failures create exceptions that block downstream stages. Verification is bilateral matching — the critical step before confirmation. Trade Capture is performed by the bank's operations/middle office, not the client — though clients confirm their version during Verification.</w:t>
      </w:r>
    </w:p>
    <w:p/>
    <w:p>
      <w:r>
        <w:rPr>
          <w:rFonts w:ascii="Calibri" w:hAnsi="Calibri"/>
          <w:b/>
          <w:i w:val="0"/>
          <w:color w:val="101C4F"/>
          <w:sz w:val="22"/>
        </w:rPr>
        <w:t xml:space="preserve">Q31. </w:t>
      </w:r>
      <w:r>
        <w:rPr>
          <w:rFonts w:ascii="Calibri" w:hAnsi="Calibri"/>
          <w:b w:val="0"/>
          <w:i w:val="0"/>
          <w:color w:val="404040"/>
          <w:sz w:val="22"/>
        </w:rPr>
        <w:t>A</w:t>
      </w:r>
      <w:r>
        <w:rPr>
          <w:rFonts w:ascii="Calibri" w:hAnsi="Calibri"/>
          <w:b/>
          <w:i w:val="0"/>
          <w:color w:val="007A87"/>
          <w:sz w:val="22"/>
        </w:rPr>
        <w:t xml:space="preserve"> ________ </w:t>
      </w:r>
      <w:r>
        <w:rPr>
          <w:rFonts w:ascii="Calibri" w:hAnsi="Calibri"/>
          <w:b w:val="0"/>
          <w:i w:val="0"/>
          <w:color w:val="404040"/>
          <w:sz w:val="22"/>
        </w:rPr>
        <w:t>Identifier (LEI) is a</w:t>
      </w:r>
      <w:r>
        <w:rPr>
          <w:rFonts w:ascii="Calibri" w:hAnsi="Calibri"/>
          <w:b/>
          <w:i w:val="0"/>
          <w:color w:val="007A87"/>
          <w:sz w:val="22"/>
        </w:rPr>
        <w:t xml:space="preserve"> ________ </w:t>
      </w:r>
      <w:r>
        <w:rPr>
          <w:rFonts w:ascii="Calibri" w:hAnsi="Calibri"/>
          <w:b w:val="0"/>
          <w:i w:val="0"/>
          <w:color w:val="404040"/>
          <w:sz w:val="22"/>
        </w:rPr>
        <w:t>-character global standard code identifying a legal entity. It is mandatory for</w:t>
      </w:r>
      <w:r>
        <w:rPr>
          <w:rFonts w:ascii="Calibri" w:hAnsi="Calibri"/>
          <w:b/>
          <w:i w:val="0"/>
          <w:color w:val="007A87"/>
          <w:sz w:val="22"/>
        </w:rPr>
        <w:t xml:space="preserve"> ________ </w:t>
      </w:r>
      <w:r>
        <w:rPr>
          <w:rFonts w:ascii="Calibri" w:hAnsi="Calibri"/>
          <w:b w:val="0"/>
          <w:i w:val="0"/>
          <w:color w:val="404040"/>
          <w:sz w:val="22"/>
        </w:rPr>
        <w:t>reporting and must be renewed annually or it becomes invalid.</w:t>
      </w:r>
    </w:p>
    <w:p>
      <w:r>
        <w:rPr>
          <w:rFonts w:ascii="Calibri" w:hAnsi="Calibri"/>
          <w:b/>
          <w:i w:val="0"/>
          <w:color w:val="007000"/>
          <w:sz w:val="20"/>
        </w:rPr>
        <w:t xml:space="preserve">Answers: </w:t>
      </w:r>
      <w:r>
        <w:rPr>
          <w:rFonts w:ascii="Calibri" w:hAnsi="Calibri"/>
          <w:b w:val="0"/>
          <w:i w:val="0"/>
          <w:color w:val="007000"/>
          <w:sz w:val="20"/>
        </w:rPr>
        <w:t>Legal Entity | 20 | trade repository (TR)</w:t>
      </w:r>
    </w:p>
    <w:p>
      <w:r>
        <w:rPr>
          <w:rFonts w:ascii="Calibri" w:hAnsi="Calibri"/>
          <w:b/>
          <w:i/>
          <w:color w:val="007A87"/>
          <w:sz w:val="20"/>
        </w:rPr>
        <w:t xml:space="preserve">Explanation: </w:t>
      </w:r>
      <w:r>
        <w:rPr>
          <w:rFonts w:ascii="Calibri" w:hAnsi="Calibri"/>
          <w:b w:val="0"/>
          <w:i/>
          <w:color w:val="404040"/>
          <w:sz w:val="20"/>
        </w:rPr>
        <w:t>LEI = Legal Entity Identifier, 20-character code issued by LOUs (Local Operating Units) accredited by GLEIF. Mandatory for trade reporting under Dodd-Frank, EMIR, and RBI/CCIL rules. Expired LEIs cause TR report rejections — a regulatory breach. LEI database management is a core operations function.</w:t>
      </w:r>
    </w:p>
    <w:p/>
    <w:p>
      <w:r>
        <w:rPr>
          <w:rFonts w:ascii="Calibri" w:hAnsi="Calibri"/>
          <w:b/>
          <w:i w:val="0"/>
          <w:color w:val="101C4F"/>
          <w:sz w:val="22"/>
        </w:rPr>
        <w:t xml:space="preserve">Q32. </w:t>
      </w:r>
      <w:r>
        <w:rPr>
          <w:rFonts w:ascii="Calibri" w:hAnsi="Calibri"/>
          <w:b w:val="0"/>
          <w:i w:val="0"/>
          <w:color w:val="404040"/>
          <w:sz w:val="22"/>
        </w:rPr>
        <w:t>Match each OTC TLC stage to its primary operation.</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Stage 4: Trade Capture</w:t>
            </w:r>
          </w:p>
        </w:tc>
        <w:tc>
          <w:tcPr>
            <w:tcW w:type="dxa" w:w="2880"/>
            <w:shd w:val="clear" w:color="auto" w:fill="FFFFFF"/>
          </w:tcPr>
          <w:p>
            <w:r>
              <w:rPr>
                <w:rFonts w:ascii="Calibri" w:hAnsi="Calibri"/>
                <w:b w:val="0"/>
                <w:i w:val="0"/>
                <w:color w:val="404040"/>
                <w:sz w:val="20"/>
              </w:rPr>
              <w:t>Checking economic accuracy, credit limit compliance, and documentation status</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Stage 5: Enrichment</w:t>
            </w:r>
          </w:p>
        </w:tc>
        <w:tc>
          <w:tcPr>
            <w:tcW w:type="dxa" w:w="2880"/>
            <w:shd w:val="clear" w:color="auto" w:fill="FFFFFF"/>
          </w:tcPr>
          <w:p>
            <w:r>
              <w:rPr>
                <w:rFonts w:ascii="Calibri" w:hAnsi="Calibri"/>
                <w:b w:val="0"/>
                <w:i w:val="0"/>
                <w:color w:val="404040"/>
                <w:sz w:val="20"/>
              </w:rPr>
              <w:t>Adding payment schedules, SSIs, and holiday calendars to the raw trade ticket</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Stage 6: Validation</w:t>
            </w:r>
          </w:p>
        </w:tc>
        <w:tc>
          <w:tcPr>
            <w:tcW w:type="dxa" w:w="2880"/>
            <w:shd w:val="clear" w:color="auto" w:fill="FFFFFF"/>
          </w:tcPr>
          <w:p>
            <w:r>
              <w:rPr>
                <w:rFonts w:ascii="Calibri" w:hAnsi="Calibri"/>
                <w:b w:val="0"/>
                <w:i w:val="0"/>
                <w:color w:val="404040"/>
                <w:sz w:val="20"/>
              </w:rPr>
              <w:t>Filing trade details and UTI to a trade repository within regulatory deadline</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Stage 3: Reporting</w:t>
            </w:r>
          </w:p>
        </w:tc>
        <w:tc>
          <w:tcPr>
            <w:tcW w:type="dxa" w:w="2880"/>
            <w:shd w:val="clear" w:color="auto" w:fill="FFFFFF"/>
          </w:tcPr>
          <w:p>
            <w:r>
              <w:rPr>
                <w:rFonts w:ascii="Calibri" w:hAnsi="Calibri"/>
                <w:b w:val="0"/>
                <w:i w:val="0"/>
                <w:color w:val="404040"/>
                <w:sz w:val="20"/>
              </w:rPr>
              <w:t>Booking the agreed trade terms into the trade management system (e.g., Murex)</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Stages flow: book → enrich → validate → verify → confirm. Reporting (Stage 3) happens immediately post-execution before enrichment begins. Validation (Stage 6) is a multi-layer quality gate before confirmation is issued. Understanding this sequence is fundamental for any OTC operations interview.</w:t>
      </w:r>
    </w:p>
    <w:p/>
    <w:p>
      <w:pPr>
        <w:pBdr>
          <w:bottom w:val="single" w:sz="6" w:space="1" w:color="007A87"/>
        </w:pBdr>
      </w:pPr>
    </w:p>
    <w:p>
      <w:r>
        <w:rPr>
          <w:rFonts w:ascii="Calibri" w:hAnsi="Calibri"/>
          <w:b/>
          <w:i w:val="0"/>
          <w:color w:val="101C4F"/>
          <w:sz w:val="26"/>
        </w:rPr>
        <w:t>F10.9  OTC TLC Stages 7–11: Confirmation to Reconciliation</w:t>
      </w:r>
    </w:p>
    <w:p/>
    <w:p>
      <w:r>
        <w:rPr>
          <w:rFonts w:ascii="Calibri" w:hAnsi="Calibri"/>
          <w:b/>
          <w:i w:val="0"/>
          <w:color w:val="101C4F"/>
          <w:sz w:val="22"/>
        </w:rPr>
        <w:t xml:space="preserve">Q33. </w:t>
      </w:r>
      <w:r>
        <w:rPr>
          <w:rFonts w:ascii="Calibri" w:hAnsi="Calibri"/>
          <w:b w:val="0"/>
          <w:i w:val="0"/>
          <w:color w:val="404040"/>
          <w:sz w:val="22"/>
        </w:rPr>
        <w:t>For a vanilla interest rate swap, what is the ISDA industry target for confirmation turnaround from trade date?</w:t>
      </w:r>
    </w:p>
    <w:p>
      <w:pPr>
        <w:pStyle w:val="ListBullet"/>
        <w:ind w:left="576"/>
      </w:pPr>
      <w:r>
        <w:rPr>
          <w:rFonts w:ascii="Calibri" w:hAnsi="Calibri"/>
          <w:b w:val="0"/>
          <w:i w:val="0"/>
          <w:color w:val="404040"/>
          <w:sz w:val="21"/>
        </w:rPr>
        <w:t>A) 5 business days</w:t>
      </w:r>
    </w:p>
    <w:p>
      <w:pPr>
        <w:pStyle w:val="ListBullet"/>
        <w:ind w:left="576"/>
      </w:pPr>
      <w:r>
        <w:rPr>
          <w:rFonts w:ascii="Calibri" w:hAnsi="Calibri"/>
          <w:b w:val="0"/>
          <w:i w:val="0"/>
          <w:color w:val="404040"/>
          <w:sz w:val="21"/>
        </w:rPr>
        <w:t>B) Same day as execution</w:t>
      </w:r>
    </w:p>
    <w:p>
      <w:pPr>
        <w:pStyle w:val="ListBullet"/>
        <w:ind w:left="576"/>
      </w:pPr>
      <w:r>
        <w:rPr>
          <w:rFonts w:ascii="Calibri" w:hAnsi="Calibri"/>
          <w:b w:val="0"/>
          <w:i w:val="0"/>
          <w:color w:val="404040"/>
          <w:sz w:val="21"/>
        </w:rPr>
        <w:t>C) 1 business day</w:t>
      </w:r>
    </w:p>
    <w:p>
      <w:pPr>
        <w:pStyle w:val="ListBullet"/>
        <w:ind w:left="576"/>
      </w:pPr>
      <w:r>
        <w:rPr>
          <w:rFonts w:ascii="Calibri" w:hAnsi="Calibri"/>
          <w:b w:val="0"/>
          <w:i w:val="0"/>
          <w:color w:val="404040"/>
          <w:sz w:val="21"/>
        </w:rPr>
        <w:t>D) 3 business days</w:t>
      </w:r>
    </w:p>
    <w:p>
      <w:r>
        <w:rPr>
          <w:rFonts w:ascii="Calibri" w:hAnsi="Calibri"/>
          <w:b/>
          <w:i w:val="0"/>
          <w:color w:val="007000"/>
          <w:sz w:val="20"/>
        </w:rPr>
        <w:t xml:space="preserve">Answer: </w:t>
      </w:r>
      <w:r>
        <w:rPr>
          <w:rFonts w:ascii="Calibri" w:hAnsi="Calibri"/>
          <w:b w:val="0"/>
          <w:i w:val="0"/>
          <w:color w:val="007000"/>
          <w:sz w:val="20"/>
        </w:rPr>
        <w:t>C) 1 business day</w:t>
      </w:r>
    </w:p>
    <w:p>
      <w:r>
        <w:rPr>
          <w:rFonts w:ascii="Calibri" w:hAnsi="Calibri"/>
          <w:b/>
          <w:i/>
          <w:color w:val="007A87"/>
          <w:sz w:val="20"/>
        </w:rPr>
        <w:t xml:space="preserve">Explanation: </w:t>
      </w:r>
      <w:r>
        <w:rPr>
          <w:rFonts w:ascii="Calibri" w:hAnsi="Calibri"/>
          <w:b w:val="0"/>
          <w:i/>
          <w:color w:val="404040"/>
          <w:sz w:val="20"/>
        </w:rPr>
        <w:t>The ISDA/FSB confirmation guidelines target 1 business day for vanilla IRS confirmation. Equity swaps: 3 business days. Exotic structured products: 5 business days. Regulators track confirmation backlog statistics; high backlog rates attract supervisory attention. Electronic confirmation platforms like MarkitWire achieve same-day confirmation for electronic-executed vanilla trades.</w:t>
      </w:r>
    </w:p>
    <w:p/>
    <w:p>
      <w:r>
        <w:rPr>
          <w:rFonts w:ascii="Calibri" w:hAnsi="Calibri"/>
          <w:b/>
          <w:i w:val="0"/>
          <w:color w:val="101C4F"/>
          <w:sz w:val="22"/>
        </w:rPr>
        <w:t xml:space="preserve">Q34. </w:t>
      </w:r>
      <w:r>
        <w:rPr>
          <w:rFonts w:ascii="Calibri" w:hAnsi="Calibri"/>
          <w:b w:val="0"/>
          <w:i w:val="0"/>
          <w:color w:val="404040"/>
          <w:sz w:val="22"/>
        </w:rPr>
        <w:t>True or False for each statement about OTC settlement and reconciliation.</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For cleared IRS through CCIL, the CCP calculates multilateral net payments, reducing individual settlement instructions.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A settlement fail occurs when the correct payment is not received on the due date and carries no operational consequences.</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Portfolio reconciliation under EMIR must be performed daily for financial counterparties with more than 500 OTC trades.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TriOptima's TriReduce service compresses OTC portfolios by terminating offsetting trades, reducing gross notional.</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CCIL multilateral netting reduces settlement volume dramatically. Settlement fails carry serious consequences: penalty interest, potential default notice triggers, reputational damage. EMIR mandates daily recon above 500 trades. TriReduce compression reduces portfolio size by 40–60%, lowering capital requirements and operational costs.</w:t>
      </w:r>
    </w:p>
    <w:p/>
    <w:p>
      <w:r>
        <w:rPr>
          <w:rFonts w:ascii="Calibri" w:hAnsi="Calibri"/>
          <w:b/>
          <w:i w:val="0"/>
          <w:color w:val="101C4F"/>
          <w:sz w:val="22"/>
        </w:rPr>
        <w:t xml:space="preserve">Q35. </w:t>
      </w:r>
      <w:r>
        <w:rPr>
          <w:rFonts w:ascii="Calibri" w:hAnsi="Calibri"/>
          <w:b w:val="0"/>
          <w:i w:val="0"/>
          <w:color w:val="404040"/>
          <w:sz w:val="22"/>
        </w:rPr>
        <w:t>In an IRS, the floating payment is calculated using the</w:t>
      </w:r>
      <w:r>
        <w:rPr>
          <w:rFonts w:ascii="Calibri" w:hAnsi="Calibri"/>
          <w:b/>
          <w:i w:val="0"/>
          <w:color w:val="007A87"/>
          <w:sz w:val="22"/>
        </w:rPr>
        <w:t xml:space="preserve"> ________ </w:t>
      </w:r>
      <w:r>
        <w:rPr>
          <w:rFonts w:ascii="Calibri" w:hAnsi="Calibri"/>
          <w:b w:val="0"/>
          <w:i w:val="0"/>
          <w:color w:val="404040"/>
          <w:sz w:val="22"/>
        </w:rPr>
        <w:t>rate fixed on the reset date. For MIFOR-based INR IRS, the fixing source is</w:t>
      </w:r>
      <w:r>
        <w:rPr>
          <w:rFonts w:ascii="Calibri" w:hAnsi="Calibri"/>
          <w:b/>
          <w:i w:val="0"/>
          <w:color w:val="007A87"/>
          <w:sz w:val="22"/>
        </w:rPr>
        <w:t xml:space="preserve"> ________ </w:t>
      </w:r>
      <w:r>
        <w:rPr>
          <w:rFonts w:ascii="Calibri" w:hAnsi="Calibri"/>
          <w:b w:val="0"/>
          <w:i w:val="0"/>
          <w:color w:val="404040"/>
          <w:sz w:val="22"/>
        </w:rPr>
        <w:t>. Operations must confirm the fixing rate with the counterparty before</w:t>
      </w:r>
      <w:r>
        <w:rPr>
          <w:rFonts w:ascii="Calibri" w:hAnsi="Calibri"/>
          <w:b/>
          <w:i w:val="0"/>
          <w:color w:val="007A87"/>
          <w:sz w:val="22"/>
        </w:rPr>
        <w:t xml:space="preserve"> ________ </w:t>
      </w:r>
      <w:r>
        <w:rPr>
          <w:rFonts w:ascii="Calibri" w:hAnsi="Calibri"/>
          <w:b w:val="0"/>
          <w:i w:val="0"/>
          <w:color w:val="404040"/>
          <w:sz w:val="22"/>
        </w:rPr>
        <w:t>the net payment.</w:t>
      </w:r>
    </w:p>
    <w:p>
      <w:r>
        <w:rPr>
          <w:rFonts w:ascii="Calibri" w:hAnsi="Calibri"/>
          <w:b/>
          <w:i w:val="0"/>
          <w:color w:val="007000"/>
          <w:sz w:val="20"/>
        </w:rPr>
        <w:t xml:space="preserve">Answers: </w:t>
      </w:r>
      <w:r>
        <w:rPr>
          <w:rFonts w:ascii="Calibri" w:hAnsi="Calibri"/>
          <w:b w:val="0"/>
          <w:i w:val="0"/>
          <w:color w:val="007000"/>
          <w:sz w:val="20"/>
        </w:rPr>
        <w:t>floating (index) | FBIL (Financial Benchmarks India Limited) | instructing</w:t>
      </w:r>
    </w:p>
    <w:p>
      <w:r>
        <w:rPr>
          <w:rFonts w:ascii="Calibri" w:hAnsi="Calibri"/>
          <w:b/>
          <w:i/>
          <w:color w:val="007A87"/>
          <w:sz w:val="20"/>
        </w:rPr>
        <w:t xml:space="preserve">Explanation: </w:t>
      </w:r>
      <w:r>
        <w:rPr>
          <w:rFonts w:ascii="Calibri" w:hAnsi="Calibri"/>
          <w:b w:val="0"/>
          <w:i/>
          <w:color w:val="404040"/>
          <w:sz w:val="20"/>
        </w:rPr>
        <w:t>The floating payment requires the index rate fixed on the designated reset date. FBIL publishes MIFOR and MIBOR fixings for INR derivatives. Both parties must agree on the fixing before payment instructions are sent — a discrepancy in fixing rates causes a settlement amount dispute, which is an operations exception.</w:t>
      </w:r>
    </w:p>
    <w:p/>
    <w:p>
      <w:r>
        <w:rPr>
          <w:rFonts w:ascii="Calibri" w:hAnsi="Calibri"/>
          <w:b/>
          <w:i w:val="0"/>
          <w:color w:val="101C4F"/>
          <w:sz w:val="22"/>
        </w:rPr>
        <w:t xml:space="preserve">Q36. </w:t>
      </w:r>
      <w:r>
        <w:rPr>
          <w:rFonts w:ascii="Calibri" w:hAnsi="Calibri"/>
          <w:b w:val="0"/>
          <w:i w:val="0"/>
          <w:color w:val="404040"/>
          <w:sz w:val="22"/>
        </w:rPr>
        <w:t>Match each reconciliation break type to its resolution action.</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Trade Population Break</w:t>
            </w:r>
          </w:p>
        </w:tc>
        <w:tc>
          <w:tcPr>
            <w:tcW w:type="dxa" w:w="2880"/>
            <w:shd w:val="clear" w:color="auto" w:fill="FFFFFF"/>
          </w:tcPr>
          <w:p>
            <w:r>
              <w:rPr>
                <w:rFonts w:ascii="Calibri" w:hAnsi="Calibri"/>
                <w:b w:val="0"/>
                <w:i w:val="0"/>
                <w:color w:val="404040"/>
                <w:sz w:val="20"/>
              </w:rPr>
              <w:t>Investigate if the discrepancy exceeds the agreed tolerance; check pricing models and valuation dates</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Economic Terms Break</w:t>
            </w:r>
          </w:p>
        </w:tc>
        <w:tc>
          <w:tcPr>
            <w:tcW w:type="dxa" w:w="2880"/>
            <w:shd w:val="clear" w:color="auto" w:fill="FFFFFF"/>
          </w:tcPr>
          <w:p>
            <w:r>
              <w:rPr>
                <w:rFonts w:ascii="Calibri" w:hAnsi="Calibri"/>
                <w:b w:val="0"/>
                <w:i w:val="0"/>
                <w:color w:val="404040"/>
                <w:sz w:val="20"/>
              </w:rPr>
              <w:t>Identify if the trade exists in counterparty records; investigate novation or booking error</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Valuation (MTM) Break</w:t>
            </w:r>
          </w:p>
        </w:tc>
        <w:tc>
          <w:tcPr>
            <w:tcW w:type="dxa" w:w="2880"/>
            <w:shd w:val="clear" w:color="auto" w:fill="FFFFFF"/>
          </w:tcPr>
          <w:p>
            <w:r>
              <w:rPr>
                <w:rFonts w:ascii="Calibri" w:hAnsi="Calibri"/>
                <w:b w:val="0"/>
                <w:i w:val="0"/>
                <w:color w:val="404040"/>
                <w:sz w:val="20"/>
              </w:rPr>
              <w:t>Review payment history against counterparty records; identify and recover any missed payments</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Cash Settlement Break</w:t>
            </w:r>
          </w:p>
        </w:tc>
        <w:tc>
          <w:tcPr>
            <w:tcW w:type="dxa" w:w="2880"/>
            <w:shd w:val="clear" w:color="auto" w:fill="FFFFFF"/>
          </w:tcPr>
          <w:p>
            <w:r>
              <w:rPr>
                <w:rFonts w:ascii="Calibri" w:hAnsi="Calibri"/>
                <w:b w:val="0"/>
                <w:i w:val="0"/>
                <w:color w:val="404040"/>
                <w:sz w:val="20"/>
              </w:rPr>
              <w:t>Compare trade terms field by field; investigate amendments not captured on one side</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Each break type has a different workflow. Population breaks suggest a missing trade — possible novation or booking error. Economic breaks suggest a field mismatch — amendment not applied. MTM breaks may be model-driven — check if within tolerance. Cash breaks are most urgent — they directly affect P&amp;L and may indicate missed or incorrect payments.</w:t>
      </w:r>
    </w:p>
    <w:p/>
    <w:p>
      <w:pPr>
        <w:pBdr>
          <w:bottom w:val="single" w:sz="6" w:space="1" w:color="007A87"/>
        </w:pBdr>
      </w:pPr>
    </w:p>
    <w:p>
      <w:r>
        <w:rPr>
          <w:rFonts w:ascii="Calibri" w:hAnsi="Calibri"/>
          <w:b/>
          <w:i w:val="0"/>
          <w:color w:val="101C4F"/>
          <w:sz w:val="26"/>
        </w:rPr>
        <w:t>F10.10  End-to-End Case Study and Post-2008 OTC Reforms</w:t>
      </w:r>
    </w:p>
    <w:p/>
    <w:p>
      <w:r>
        <w:rPr>
          <w:rFonts w:ascii="Calibri" w:hAnsi="Calibri"/>
          <w:b/>
          <w:i w:val="0"/>
          <w:color w:val="101C4F"/>
          <w:sz w:val="22"/>
        </w:rPr>
        <w:t xml:space="preserve">Q37. </w:t>
      </w:r>
      <w:r>
        <w:rPr>
          <w:rFonts w:ascii="Calibri" w:hAnsi="Calibri"/>
          <w:b w:val="0"/>
          <w:i w:val="0"/>
          <w:color w:val="404040"/>
          <w:sz w:val="22"/>
        </w:rPr>
        <w:t>The G20 Pittsburgh Summit in 2009 committed to three core OTC derivatives reforms. Which of the following correctly lists all three?</w:t>
      </w:r>
    </w:p>
    <w:p>
      <w:pPr>
        <w:pStyle w:val="ListBullet"/>
        <w:ind w:left="576"/>
      </w:pPr>
      <w:r>
        <w:rPr>
          <w:rFonts w:ascii="Calibri" w:hAnsi="Calibri"/>
          <w:b w:val="0"/>
          <w:i w:val="0"/>
          <w:color w:val="404040"/>
          <w:sz w:val="21"/>
        </w:rPr>
        <w:t>A) Mandatory clearing, mandatory margin, and mandatory LEI registration.</w:t>
      </w:r>
    </w:p>
    <w:p>
      <w:pPr>
        <w:pStyle w:val="ListBullet"/>
        <w:ind w:left="576"/>
      </w:pPr>
      <w:r>
        <w:rPr>
          <w:rFonts w:ascii="Calibri" w:hAnsi="Calibri"/>
          <w:b w:val="0"/>
          <w:i w:val="0"/>
          <w:color w:val="404040"/>
          <w:sz w:val="21"/>
        </w:rPr>
        <w:t>B) Mandatory clearing, mandatory trade reporting, and mandatory electronic trading on SEFs/OTFs.</w:t>
      </w:r>
    </w:p>
    <w:p>
      <w:pPr>
        <w:pStyle w:val="ListBullet"/>
        <w:ind w:left="576"/>
      </w:pPr>
      <w:r>
        <w:rPr>
          <w:rFonts w:ascii="Calibri" w:hAnsi="Calibri"/>
          <w:b w:val="0"/>
          <w:i w:val="0"/>
          <w:color w:val="404040"/>
          <w:sz w:val="21"/>
        </w:rPr>
        <w:t>C) Mandatory clearing, mandatory confirmation within T+1, and mandatory portfolio compression.</w:t>
      </w:r>
    </w:p>
    <w:p>
      <w:pPr>
        <w:pStyle w:val="ListBullet"/>
        <w:ind w:left="576"/>
      </w:pPr>
      <w:r>
        <w:rPr>
          <w:rFonts w:ascii="Calibri" w:hAnsi="Calibri"/>
          <w:b w:val="0"/>
          <w:i w:val="0"/>
          <w:color w:val="404040"/>
          <w:sz w:val="21"/>
        </w:rPr>
        <w:t>D) Mandatory reporting, mandatory ISDA documentation, and mandatory settlement finality.</w:t>
      </w:r>
    </w:p>
    <w:p>
      <w:r>
        <w:rPr>
          <w:rFonts w:ascii="Calibri" w:hAnsi="Calibri"/>
          <w:b/>
          <w:i w:val="0"/>
          <w:color w:val="007000"/>
          <w:sz w:val="20"/>
        </w:rPr>
        <w:t xml:space="preserve">Answer: </w:t>
      </w:r>
      <w:r>
        <w:rPr>
          <w:rFonts w:ascii="Calibri" w:hAnsi="Calibri"/>
          <w:b w:val="0"/>
          <w:i w:val="0"/>
          <w:color w:val="007000"/>
          <w:sz w:val="20"/>
        </w:rPr>
        <w:t>B) Mandatory clearing, mandatory trade reporting, and mandatory electronic trading on SEFs/OTFs.</w:t>
      </w:r>
    </w:p>
    <w:p>
      <w:r>
        <w:rPr>
          <w:rFonts w:ascii="Calibri" w:hAnsi="Calibri"/>
          <w:b/>
          <w:i/>
          <w:color w:val="007A87"/>
          <w:sz w:val="20"/>
        </w:rPr>
        <w:t xml:space="preserve">Explanation: </w:t>
      </w:r>
      <w:r>
        <w:rPr>
          <w:rFonts w:ascii="Calibri" w:hAnsi="Calibri"/>
          <w:b w:val="0"/>
          <w:i/>
          <w:color w:val="404040"/>
          <w:sz w:val="20"/>
        </w:rPr>
        <w:t>The G20 Pittsburgh commitments: (1) mandatory clearing for standardised OTC derivatives through CCPs, (2) mandatory reporting to trade repositories, (3) mandatory electronic trading on regulated venues (SEFs in US, OTFs in EU). These three pillars were implemented through Dodd-Frank (US) and EMIR (EU) and reshaped global OTC market infrastructure.</w:t>
      </w:r>
    </w:p>
    <w:p/>
    <w:p>
      <w:r>
        <w:rPr>
          <w:rFonts w:ascii="Calibri" w:hAnsi="Calibri"/>
          <w:b/>
          <w:i w:val="0"/>
          <w:color w:val="101C4F"/>
          <w:sz w:val="22"/>
        </w:rPr>
        <w:t xml:space="preserve">Q38. </w:t>
      </w:r>
      <w:r>
        <w:rPr>
          <w:rFonts w:ascii="Calibri" w:hAnsi="Calibri"/>
          <w:b w:val="0"/>
          <w:i w:val="0"/>
          <w:color w:val="404040"/>
          <w:sz w:val="22"/>
        </w:rPr>
        <w:t>True or False for each statement about the 2008 crisis and OTC reforms.</w:t>
      </w:r>
    </w:p>
    <w:tbl>
      <w:tblPr>
        <w:tblStyle w:val="TableGrid"/>
        <w:tblW w:type="auto" w:w="0"/>
        <w:jc w:val="center"/>
        <w:tblLook w:firstColumn="1" w:firstRow="1" w:lastColumn="0" w:lastRow="0" w:noHBand="0" w:noVBand="1" w:val="04A0"/>
      </w:tblPr>
      <w:tblGrid>
        <w:gridCol w:w="504"/>
        <w:gridCol w:w="6480"/>
        <w:gridCol w:w="1728"/>
      </w:tblGrid>
      <w:tr>
        <w:tc>
          <w:tcPr>
            <w:tcW w:type="dxa" w:w="2880"/>
            <w:shd w:val="clear" w:color="auto" w:fill="101C4F"/>
          </w:tcPr>
          <w:p>
            <w:pPr>
              <w:jc w:val="center"/>
            </w:pPr>
            <w:r>
              <w:rPr>
                <w:rFonts w:ascii="Calibri" w:hAnsi="Calibri"/>
                <w:b/>
                <w:i w:val="0"/>
                <w:color w:val="FFFFFF"/>
                <w:sz w:val="20"/>
              </w:rPr>
              <w:t>#</w:t>
            </w:r>
          </w:p>
        </w:tc>
        <w:tc>
          <w:tcPr>
            <w:tcW w:type="dxa" w:w="2880"/>
            <w:shd w:val="clear" w:color="auto" w:fill="101C4F"/>
          </w:tcPr>
          <w:p>
            <w:pPr>
              <w:jc w:val="center"/>
            </w:pPr>
            <w:r>
              <w:rPr>
                <w:rFonts w:ascii="Calibri" w:hAnsi="Calibri"/>
                <w:b/>
                <w:i w:val="0"/>
                <w:color w:val="FFFFFF"/>
                <w:sz w:val="20"/>
              </w:rPr>
              <w:t>Statement</w:t>
            </w:r>
          </w:p>
        </w:tc>
        <w:tc>
          <w:tcPr>
            <w:tcW w:type="dxa" w:w="2880"/>
            <w:shd w:val="clear" w:color="auto" w:fill="101C4F"/>
          </w:tcPr>
          <w:p>
            <w:pPr>
              <w:jc w:val="center"/>
            </w:pPr>
            <w:r>
              <w:rPr>
                <w:rFonts w:ascii="Calibri" w:hAnsi="Calibri"/>
                <w:b/>
                <w:i w:val="0"/>
                <w:color w:val="FFFFFF"/>
                <w:sz w:val="20"/>
              </w:rPr>
              <w:t>True / False</w:t>
            </w:r>
          </w:p>
        </w:tc>
      </w:tr>
      <w:tr>
        <w:tc>
          <w:tcPr>
            <w:tcW w:type="dxa" w:w="2880"/>
            <w:shd w:val="clear" w:color="auto" w:fill="F5F6FA"/>
          </w:tcPr>
          <w:p>
            <w:r>
              <w:rPr>
                <w:rFonts w:ascii="Calibri" w:hAnsi="Calibri"/>
                <w:b/>
                <w:i w:val="0"/>
                <w:color w:val="101C4F"/>
                <w:sz w:val="20"/>
              </w:rPr>
              <w:t>1</w:t>
            </w:r>
          </w:p>
        </w:tc>
        <w:tc>
          <w:tcPr>
            <w:tcW w:type="dxa" w:w="2880"/>
            <w:shd w:val="clear" w:color="auto" w:fill="FFFFFF"/>
          </w:tcPr>
          <w:p>
            <w:r>
              <w:rPr>
                <w:rFonts w:ascii="Calibri" w:hAnsi="Calibri"/>
                <w:b w:val="0"/>
                <w:i w:val="0"/>
                <w:color w:val="404040"/>
                <w:sz w:val="20"/>
              </w:rPr>
              <w:t>AIG's CDS portfolio required a US government intervention of approximately $185 billion due to inadequate collateral.</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2</w:t>
            </w:r>
          </w:p>
        </w:tc>
        <w:tc>
          <w:tcPr>
            <w:tcW w:type="dxa" w:w="2880"/>
            <w:shd w:val="clear" w:color="auto" w:fill="FFFFFF"/>
          </w:tcPr>
          <w:p>
            <w:r>
              <w:rPr>
                <w:rFonts w:ascii="Calibri" w:hAnsi="Calibri"/>
                <w:b w:val="0"/>
                <w:i w:val="0"/>
                <w:color w:val="404040"/>
                <w:sz w:val="20"/>
              </w:rPr>
              <w:t>Lehman Brothers' OTC derivatives book was fully transparent to regulators before its 2008 collapse.</w:t>
            </w:r>
          </w:p>
        </w:tc>
        <w:tc>
          <w:tcPr>
            <w:tcW w:type="dxa" w:w="2880"/>
            <w:shd w:val="clear" w:color="auto" w:fill="FFFFFF"/>
          </w:tcPr>
          <w:p>
            <w:r>
              <w:rPr>
                <w:rFonts w:ascii="Calibri" w:hAnsi="Calibri"/>
                <w:b/>
                <w:i w:val="0"/>
                <w:color w:val="CC0000"/>
                <w:sz w:val="20"/>
              </w:rPr>
              <w:t>False</w:t>
            </w:r>
          </w:p>
        </w:tc>
      </w:tr>
      <w:tr>
        <w:tc>
          <w:tcPr>
            <w:tcW w:type="dxa" w:w="2880"/>
            <w:shd w:val="clear" w:color="auto" w:fill="F5F6FA"/>
          </w:tcPr>
          <w:p>
            <w:r>
              <w:rPr>
                <w:rFonts w:ascii="Calibri" w:hAnsi="Calibri"/>
                <w:b/>
                <w:i w:val="0"/>
                <w:color w:val="101C4F"/>
                <w:sz w:val="20"/>
              </w:rPr>
              <w:t>3</w:t>
            </w:r>
          </w:p>
        </w:tc>
        <w:tc>
          <w:tcPr>
            <w:tcW w:type="dxa" w:w="2880"/>
            <w:shd w:val="clear" w:color="auto" w:fill="FFFFFF"/>
          </w:tcPr>
          <w:p>
            <w:r>
              <w:rPr>
                <w:rFonts w:ascii="Calibri" w:hAnsi="Calibri"/>
                <w:b w:val="0"/>
                <w:i w:val="0"/>
                <w:color w:val="404040"/>
                <w:sz w:val="20"/>
              </w:rPr>
              <w:t>The IBOR transition required operations teams to remap legacy LIBOR-referencing confirmations and CSAs to risk-free rates.</w:t>
            </w:r>
          </w:p>
        </w:tc>
        <w:tc>
          <w:tcPr>
            <w:tcW w:type="dxa" w:w="2880"/>
            <w:shd w:val="clear" w:color="auto" w:fill="FFFFFF"/>
          </w:tcPr>
          <w:p>
            <w:r>
              <w:rPr>
                <w:rFonts w:ascii="Calibri" w:hAnsi="Calibri"/>
                <w:b/>
                <w:i w:val="0"/>
                <w:color w:val="007000"/>
                <w:sz w:val="20"/>
              </w:rPr>
              <w:t>True</w:t>
            </w:r>
          </w:p>
        </w:tc>
      </w:tr>
      <w:tr>
        <w:tc>
          <w:tcPr>
            <w:tcW w:type="dxa" w:w="2880"/>
            <w:shd w:val="clear" w:color="auto" w:fill="F5F6FA"/>
          </w:tcPr>
          <w:p>
            <w:r>
              <w:rPr>
                <w:rFonts w:ascii="Calibri" w:hAnsi="Calibri"/>
                <w:b/>
                <w:i w:val="0"/>
                <w:color w:val="101C4F"/>
                <w:sz w:val="20"/>
              </w:rPr>
              <w:t>4</w:t>
            </w:r>
          </w:p>
        </w:tc>
        <w:tc>
          <w:tcPr>
            <w:tcW w:type="dxa" w:w="2880"/>
            <w:shd w:val="clear" w:color="auto" w:fill="FFFFFF"/>
          </w:tcPr>
          <w:p>
            <w:r>
              <w:rPr>
                <w:rFonts w:ascii="Calibri" w:hAnsi="Calibri"/>
                <w:b w:val="0"/>
                <w:i w:val="0"/>
                <w:color w:val="404040"/>
                <w:sz w:val="20"/>
              </w:rPr>
              <w:t>The ISDA 2020 IBOR Fallbacks Protocol provided an automatic fallback mechanism for legacy LIBOR-referencing derivatives.</w:t>
            </w:r>
          </w:p>
        </w:tc>
        <w:tc>
          <w:tcPr>
            <w:tcW w:type="dxa" w:w="2880"/>
            <w:shd w:val="clear" w:color="auto" w:fill="FFFFFF"/>
          </w:tcPr>
          <w:p>
            <w:r>
              <w:rPr>
                <w:rFonts w:ascii="Calibri" w:hAnsi="Calibri"/>
                <w:b/>
                <w:i w:val="0"/>
                <w:color w:val="007000"/>
                <w:sz w:val="20"/>
              </w:rPr>
              <w:t>True</w:t>
            </w:r>
          </w:p>
        </w:tc>
      </w:tr>
    </w:tbl>
    <w:p/>
    <w:p>
      <w:r>
        <w:rPr>
          <w:rFonts w:ascii="Calibri" w:hAnsi="Calibri"/>
          <w:b/>
          <w:i/>
          <w:color w:val="007A87"/>
          <w:sz w:val="20"/>
        </w:rPr>
        <w:t xml:space="preserve">Explanation: </w:t>
      </w:r>
      <w:r>
        <w:rPr>
          <w:rFonts w:ascii="Calibri" w:hAnsi="Calibri"/>
          <w:b w:val="0"/>
          <w:i/>
          <w:color w:val="404040"/>
          <w:sz w:val="20"/>
        </w:rPr>
        <w:t>AIG's $441B CDS exposure with zero margin triggered the $185B bailout. Lehman's OTC book was opaque — no TR visibility pre-2008, which is precisely why mandatory TR reporting was mandated. IBOR transition was a multi-year ops project remapping millions of trades. The ISDA 2020 Fallbacks Protocol is the standard legal mechanism for legacy LIBOR transition.</w:t>
      </w:r>
    </w:p>
    <w:p/>
    <w:p>
      <w:r>
        <w:rPr>
          <w:rFonts w:ascii="Calibri" w:hAnsi="Calibri"/>
          <w:b/>
          <w:i w:val="0"/>
          <w:color w:val="101C4F"/>
          <w:sz w:val="22"/>
        </w:rPr>
        <w:t xml:space="preserve">Q39. </w:t>
      </w:r>
      <w:r>
        <w:rPr>
          <w:rFonts w:ascii="Calibri" w:hAnsi="Calibri"/>
          <w:b w:val="0"/>
          <w:i w:val="0"/>
          <w:color w:val="404040"/>
          <w:sz w:val="22"/>
        </w:rPr>
        <w:t>The 2008 financial crisis revealed that bilateral OTC markets lacked</w:t>
      </w:r>
      <w:r>
        <w:rPr>
          <w:rFonts w:ascii="Calibri" w:hAnsi="Calibri"/>
          <w:b/>
          <w:i w:val="0"/>
          <w:color w:val="007A87"/>
          <w:sz w:val="22"/>
        </w:rPr>
        <w:t xml:space="preserve"> ________ </w:t>
      </w:r>
      <w:r>
        <w:rPr>
          <w:rFonts w:ascii="Calibri" w:hAnsi="Calibri"/>
          <w:b w:val="0"/>
          <w:i w:val="0"/>
          <w:color w:val="404040"/>
          <w:sz w:val="22"/>
        </w:rPr>
        <w:t>— no one knew total exposures. The solution was mandatory reporting to</w:t>
      </w:r>
      <w:r>
        <w:rPr>
          <w:rFonts w:ascii="Calibri" w:hAnsi="Calibri"/>
          <w:b/>
          <w:i w:val="0"/>
          <w:color w:val="007A87"/>
          <w:sz w:val="22"/>
        </w:rPr>
        <w:t xml:space="preserve"> ________ </w:t>
      </w:r>
      <w:r>
        <w:rPr>
          <w:rFonts w:ascii="Calibri" w:hAnsi="Calibri"/>
          <w:b w:val="0"/>
          <w:i w:val="0"/>
          <w:color w:val="404040"/>
          <w:sz w:val="22"/>
        </w:rPr>
        <w:t>. For risk, mandatory</w:t>
      </w:r>
      <w:r>
        <w:rPr>
          <w:rFonts w:ascii="Calibri" w:hAnsi="Calibri"/>
          <w:b/>
          <w:i w:val="0"/>
          <w:color w:val="007A87"/>
          <w:sz w:val="22"/>
        </w:rPr>
        <w:t xml:space="preserve"> ________ </w:t>
      </w:r>
      <w:r>
        <w:rPr>
          <w:rFonts w:ascii="Calibri" w:hAnsi="Calibri"/>
          <w:b w:val="0"/>
          <w:i w:val="0"/>
          <w:color w:val="404040"/>
          <w:sz w:val="22"/>
        </w:rPr>
        <w:t>through CCPs eliminated bilateral chain risk.</w:t>
      </w:r>
    </w:p>
    <w:p>
      <w:r>
        <w:rPr>
          <w:rFonts w:ascii="Calibri" w:hAnsi="Calibri"/>
          <w:b/>
          <w:i w:val="0"/>
          <w:color w:val="007000"/>
          <w:sz w:val="20"/>
        </w:rPr>
        <w:t xml:space="preserve">Answers: </w:t>
      </w:r>
      <w:r>
        <w:rPr>
          <w:rFonts w:ascii="Calibri" w:hAnsi="Calibri"/>
          <w:b w:val="0"/>
          <w:i w:val="0"/>
          <w:color w:val="007000"/>
          <w:sz w:val="20"/>
        </w:rPr>
        <w:t>transparency | Trade Repositories (TRs) | central clearing</w:t>
      </w:r>
    </w:p>
    <w:p>
      <w:r>
        <w:rPr>
          <w:rFonts w:ascii="Calibri" w:hAnsi="Calibri"/>
          <w:b/>
          <w:i/>
          <w:color w:val="007A87"/>
          <w:sz w:val="20"/>
        </w:rPr>
        <w:t xml:space="preserve">Explanation: </w:t>
      </w:r>
      <w:r>
        <w:rPr>
          <w:rFonts w:ascii="Calibri" w:hAnsi="Calibri"/>
          <w:b w:val="0"/>
          <w:i/>
          <w:color w:val="404040"/>
          <w:sz w:val="20"/>
        </w:rPr>
        <w:t>Pre-2008, no single regulator could see total OTC exposure across the market. TRs provide this visibility. CCPs replace bilateral chain risk with star topology — reducing systemic contagion. These two reforms work together: TRs give regulators the data; CCPs give the market the risk management infrastructure.</w:t>
      </w:r>
    </w:p>
    <w:p/>
    <w:p>
      <w:r>
        <w:rPr>
          <w:rFonts w:ascii="Calibri" w:hAnsi="Calibri"/>
          <w:b/>
          <w:i w:val="0"/>
          <w:color w:val="101C4F"/>
          <w:sz w:val="22"/>
        </w:rPr>
        <w:t xml:space="preserve">Q40. </w:t>
      </w:r>
      <w:r>
        <w:rPr>
          <w:rFonts w:ascii="Calibri" w:hAnsi="Calibri"/>
          <w:b w:val="0"/>
          <w:i w:val="0"/>
          <w:color w:val="404040"/>
          <w:sz w:val="22"/>
        </w:rPr>
        <w:t>Match each post-2008 reform to its operational impact.</w:t>
      </w:r>
    </w:p>
    <w:tbl>
      <w:tblPr>
        <w:tblStyle w:val="TableGrid"/>
        <w:tblW w:type="auto" w:w="0"/>
        <w:jc w:val="center"/>
        <w:tblLook w:firstColumn="1" w:firstRow="1" w:lastColumn="0" w:lastRow="0" w:noHBand="0" w:noVBand="1" w:val="04A0"/>
      </w:tblPr>
      <w:tblGrid>
        <w:gridCol w:w="2880"/>
        <w:gridCol w:w="4608"/>
        <w:gridCol w:w="1152"/>
      </w:tblGrid>
      <w:tr>
        <w:tc>
          <w:tcPr>
            <w:tcW w:type="dxa" w:w="2880"/>
            <w:shd w:val="clear" w:color="auto" w:fill="101C4F"/>
          </w:tcPr>
          <w:p>
            <w:pPr>
              <w:jc w:val="center"/>
            </w:pPr>
            <w:r>
              <w:rPr>
                <w:rFonts w:ascii="Calibri" w:hAnsi="Calibri"/>
                <w:b/>
                <w:i w:val="0"/>
                <w:color w:val="FFFFFF"/>
                <w:sz w:val="20"/>
              </w:rPr>
              <w:t>Column A</w:t>
            </w:r>
          </w:p>
        </w:tc>
        <w:tc>
          <w:tcPr>
            <w:tcW w:type="dxa" w:w="2880"/>
            <w:shd w:val="clear" w:color="auto" w:fill="101C4F"/>
          </w:tcPr>
          <w:p>
            <w:pPr>
              <w:jc w:val="center"/>
            </w:pPr>
            <w:r>
              <w:rPr>
                <w:rFonts w:ascii="Calibri" w:hAnsi="Calibri"/>
                <w:b/>
                <w:i w:val="0"/>
                <w:color w:val="FFFFFF"/>
                <w:sz w:val="20"/>
              </w:rPr>
              <w:t>Column B</w:t>
            </w:r>
          </w:p>
        </w:tc>
        <w:tc>
          <w:tcPr>
            <w:tcW w:type="dxa" w:w="2880"/>
            <w:shd w:val="clear" w:color="auto" w:fill="101C4F"/>
          </w:tcPr>
          <w:p>
            <w:pPr>
              <w:jc w:val="center"/>
            </w:pPr>
            <w:r>
              <w:rPr>
                <w:rFonts w:ascii="Calibri" w:hAnsi="Calibri"/>
                <w:b/>
                <w:i w:val="0"/>
                <w:color w:val="FFFFFF"/>
                <w:sz w:val="20"/>
              </w:rPr>
              <w:t>Match</w:t>
            </w:r>
          </w:p>
        </w:tc>
      </w:tr>
      <w:tr>
        <w:tc>
          <w:tcPr>
            <w:tcW w:type="dxa" w:w="2880"/>
            <w:shd w:val="clear" w:color="auto" w:fill="F5F6FA"/>
          </w:tcPr>
          <w:p>
            <w:r>
              <w:rPr>
                <w:rFonts w:ascii="Calibri" w:hAnsi="Calibri"/>
                <w:b/>
                <w:i w:val="0"/>
                <w:color w:val="101C4F"/>
                <w:sz w:val="20"/>
              </w:rPr>
              <w:t>Mandatory Clearing (CCP)</w:t>
            </w:r>
          </w:p>
        </w:tc>
        <w:tc>
          <w:tcPr>
            <w:tcW w:type="dxa" w:w="2880"/>
            <w:shd w:val="clear" w:color="auto" w:fill="FFFFFF"/>
          </w:tcPr>
          <w:p>
            <w:r>
              <w:rPr>
                <w:rFonts w:ascii="Calibri" w:hAnsi="Calibri"/>
                <w:b w:val="0"/>
                <w:i w:val="0"/>
                <w:color w:val="404040"/>
                <w:sz w:val="20"/>
              </w:rPr>
              <w:t>Operations teams must calculate and post daily variation and initial margin for non-cleared trades; segregate IM with custodians</w:t>
            </w:r>
          </w:p>
        </w:tc>
        <w:tc>
          <w:tcPr>
            <w:tcW w:type="dxa" w:w="2880"/>
            <w:shd w:val="clear" w:color="auto" w:fill="FFFFFF"/>
          </w:tcPr>
          <w:p>
            <w:r>
              <w:rPr>
                <w:rFonts w:ascii="Calibri" w:hAnsi="Calibri"/>
                <w:b/>
                <w:i w:val="0"/>
                <w:color w:val="007000"/>
                <w:sz w:val="20"/>
              </w:rPr>
              <w:t>D</w:t>
            </w:r>
          </w:p>
        </w:tc>
      </w:tr>
      <w:tr>
        <w:tc>
          <w:tcPr>
            <w:tcW w:type="dxa" w:w="2880"/>
            <w:shd w:val="clear" w:color="auto" w:fill="F5F6FA"/>
          </w:tcPr>
          <w:p>
            <w:r>
              <w:rPr>
                <w:rFonts w:ascii="Calibri" w:hAnsi="Calibri"/>
                <w:b/>
                <w:i w:val="0"/>
                <w:color w:val="101C4F"/>
                <w:sz w:val="20"/>
              </w:rPr>
              <w:t>Mandatory TR Reporting</w:t>
            </w:r>
          </w:p>
        </w:tc>
        <w:tc>
          <w:tcPr>
            <w:tcW w:type="dxa" w:w="2880"/>
            <w:shd w:val="clear" w:color="auto" w:fill="FFFFFF"/>
          </w:tcPr>
          <w:p>
            <w:r>
              <w:rPr>
                <w:rFonts w:ascii="Calibri" w:hAnsi="Calibri"/>
                <w:b w:val="0"/>
                <w:i w:val="0"/>
                <w:color w:val="404040"/>
                <w:sz w:val="20"/>
              </w:rPr>
              <w:t>Operations teams must submit trade reports with UTI/LEI within T+1; maintain lifecycle event reporting</w:t>
            </w:r>
          </w:p>
        </w:tc>
        <w:tc>
          <w:tcPr>
            <w:tcW w:type="dxa" w:w="2880"/>
            <w:shd w:val="clear" w:color="auto" w:fill="FFFFFF"/>
          </w:tcPr>
          <w:p>
            <w:r>
              <w:rPr>
                <w:rFonts w:ascii="Calibri" w:hAnsi="Calibri"/>
                <w:b/>
                <w:i w:val="0"/>
                <w:color w:val="007000"/>
                <w:sz w:val="20"/>
              </w:rPr>
              <w:t>B</w:t>
            </w:r>
          </w:p>
        </w:tc>
      </w:tr>
      <w:tr>
        <w:tc>
          <w:tcPr>
            <w:tcW w:type="dxa" w:w="2880"/>
            <w:shd w:val="clear" w:color="auto" w:fill="F5F6FA"/>
          </w:tcPr>
          <w:p>
            <w:r>
              <w:rPr>
                <w:rFonts w:ascii="Calibri" w:hAnsi="Calibri"/>
                <w:b/>
                <w:i w:val="0"/>
                <w:color w:val="101C4F"/>
                <w:sz w:val="20"/>
              </w:rPr>
              <w:t>BCBS/IOSCO UMR</w:t>
            </w:r>
          </w:p>
        </w:tc>
        <w:tc>
          <w:tcPr>
            <w:tcW w:type="dxa" w:w="2880"/>
            <w:shd w:val="clear" w:color="auto" w:fill="FFFFFF"/>
          </w:tcPr>
          <w:p>
            <w:r>
              <w:rPr>
                <w:rFonts w:ascii="Calibri" w:hAnsi="Calibri"/>
                <w:b w:val="0"/>
                <w:i w:val="0"/>
                <w:color w:val="404040"/>
                <w:sz w:val="20"/>
              </w:rPr>
              <w:t>Operations teams must remap millions of LIBOR-referencing confirmations and CSAs to SOFR/SONIA/€STR benchmarks</w:t>
            </w:r>
          </w:p>
        </w:tc>
        <w:tc>
          <w:tcPr>
            <w:tcW w:type="dxa" w:w="2880"/>
            <w:shd w:val="clear" w:color="auto" w:fill="FFFFFF"/>
          </w:tcPr>
          <w:p>
            <w:r>
              <w:rPr>
                <w:rFonts w:ascii="Calibri" w:hAnsi="Calibri"/>
                <w:b/>
                <w:i w:val="0"/>
                <w:color w:val="007000"/>
                <w:sz w:val="20"/>
              </w:rPr>
              <w:t>A</w:t>
            </w:r>
          </w:p>
        </w:tc>
      </w:tr>
      <w:tr>
        <w:tc>
          <w:tcPr>
            <w:tcW w:type="dxa" w:w="2880"/>
            <w:shd w:val="clear" w:color="auto" w:fill="F5F6FA"/>
          </w:tcPr>
          <w:p>
            <w:r>
              <w:rPr>
                <w:rFonts w:ascii="Calibri" w:hAnsi="Calibri"/>
                <w:b/>
                <w:i w:val="0"/>
                <w:color w:val="101C4F"/>
                <w:sz w:val="20"/>
              </w:rPr>
              <w:t>IBOR Transition</w:t>
            </w:r>
          </w:p>
        </w:tc>
        <w:tc>
          <w:tcPr>
            <w:tcW w:type="dxa" w:w="2880"/>
            <w:shd w:val="clear" w:color="auto" w:fill="FFFFFF"/>
          </w:tcPr>
          <w:p>
            <w:r>
              <w:rPr>
                <w:rFonts w:ascii="Calibri" w:hAnsi="Calibri"/>
                <w:b w:val="0"/>
                <w:i w:val="0"/>
                <w:color w:val="404040"/>
                <w:sz w:val="20"/>
              </w:rPr>
              <w:t>Operations teams must manage CCP membership, daily margin calls, and cleared trade submission workflows</w:t>
            </w:r>
          </w:p>
        </w:tc>
        <w:tc>
          <w:tcPr>
            <w:tcW w:type="dxa" w:w="2880"/>
            <w:shd w:val="clear" w:color="auto" w:fill="FFFFFF"/>
          </w:tcPr>
          <w:p>
            <w:r>
              <w:rPr>
                <w:rFonts w:ascii="Calibri" w:hAnsi="Calibri"/>
                <w:b/>
                <w:i w:val="0"/>
                <w:color w:val="007000"/>
                <w:sz w:val="20"/>
              </w:rPr>
              <w:t>C</w:t>
            </w:r>
          </w:p>
        </w:tc>
      </w:tr>
    </w:tbl>
    <w:p/>
    <w:p>
      <w:r>
        <w:rPr>
          <w:rFonts w:ascii="Calibri" w:hAnsi="Calibri"/>
          <w:b/>
          <w:i/>
          <w:color w:val="007A87"/>
          <w:sz w:val="20"/>
        </w:rPr>
        <w:t xml:space="preserve">Explanation: </w:t>
      </w:r>
      <w:r>
        <w:rPr>
          <w:rFonts w:ascii="Calibri" w:hAnsi="Calibri"/>
          <w:b w:val="0"/>
          <w:i/>
          <w:color w:val="404040"/>
          <w:sz w:val="20"/>
        </w:rPr>
        <w:t>Each reform created a distinct operations workflow: clearing ops, TR reporting ops, margin management, and IBOR remediation. Experienced OTC operations professionals had to manage all four simultaneously during the 2019–2022 period — arguably the most operationally intensive period in OTC market history.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