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1C4F"/>
        </w:rPr>
        <w:t>CIBOP — ISDA &amp; OTC Trade Life Cycle</w:t>
      </w:r>
    </w:p>
    <w:p>
      <w:r>
        <w:t>Video Production Script  |  UORs F10.1 – F10.10  |  Imarticus Learning</w:t>
      </w:r>
    </w:p>
    <w:p/>
    <w:p>
      <w:pPr>
        <w:pStyle w:val="Heading1"/>
      </w:pPr>
      <w:r>
        <w:rPr>
          <w:color w:val="101C4F"/>
        </w:rPr>
        <w:t>F10.1: Introduction to ISDA and the OTC Market</w:t>
      </w:r>
    </w:p>
    <w:p>
      <w:r>
        <w:rPr>
          <w:rFonts w:ascii="Calibri" w:hAnsi="Calibri"/>
          <w:b/>
          <w:i w:val="0"/>
          <w:color w:val="007A87"/>
          <w:sz w:val="22"/>
        </w:rPr>
        <w:t xml:space="preserve">Competency Statement: </w:t>
      </w:r>
      <w:r>
        <w:rPr>
          <w:rFonts w:ascii="Calibri" w:hAnsi="Calibri"/>
          <w:b w:val="0"/>
          <w:i w:val="0"/>
          <w:sz w:val="22"/>
        </w:rPr>
        <w:t>Explain what ISDA is, why it was established, and how the OTC market differs structurally from exchange-traded markets in terms of standardisation, participants, and risk.</w:t>
      </w:r>
    </w:p>
    <w:p/>
    <w:p>
      <w:pPr>
        <w:spacing w:before="120"/>
        <w:shd w:val="clear" w:color="auto" w:fill="101C4F"/>
      </w:pPr>
      <w:r>
        <w:rPr>
          <w:rFonts w:ascii="Calibri" w:hAnsi="Calibri"/>
          <w:b/>
          <w:i w:val="0"/>
          <w:color w:val="FFFFFF"/>
          <w:sz w:val="24"/>
        </w:rPr>
        <w:t xml:space="preserve">  F10.1: Introduction to ISDA and the OTC Market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Introduction to ISDA and the OTC Market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what ISDA is, why it was established, and how the OTC market differs structurally from exchange-traded markets in terms of standardisation, participants, and risk.</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ISDA and describe its origin, objectives, and role in global derivatives markets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ISDA is, when and why it was founded, and what problems it solves for OTC derivative participants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Exchange Trade Life Cycle (E9)</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F10.1 Video 2: OTC Market Characteristics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Wall Street skyline, 1985. Two bankers shaking hands over a term sheet. Title card: 'The birth of ISDA'.</w:t>
            </w:r>
          </w:p>
        </w:tc>
        <w:tc>
          <w:tcPr>
            <w:tcW w:type="dxa" w:w="2493"/>
          </w:tcPr>
          <w:p>
            <w:pPr>
              <w:jc w:val="center"/>
            </w:pPr>
            <w:r>
              <w:rPr>
                <w:rFonts w:ascii="Calibri" w:hAnsi="Calibri"/>
                <w:b/>
                <w:i w:val="0"/>
                <w:color w:val="007A87"/>
                <w:sz w:val="18"/>
              </w:rPr>
              <w:t>ISDA INTRO</w:t>
            </w:r>
          </w:p>
        </w:tc>
        <w:tc>
          <w:tcPr>
            <w:tcW w:type="dxa" w:w="2493"/>
          </w:tcPr>
          <w:p>
            <w:r>
              <w:rPr>
                <w:sz w:val="20"/>
              </w:rPr>
              <w:t>KAVI: Before 1985, every OTC derivative trade was governed by a completely custom legal agreement negotiated from scratch. Two banks trading an interest rate swap might spend weeks arguing over legal language — and every deal had different terms. RYO: That changed when ISDA was founded — the International Swaps and Derivatives Association. It created a universal legal framework that every OTC derivative market participant could use.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Timeline graphic: ISDA founded 1985 New York. Global map with ISDA member logos — 900+ members, 75 countries.</w:t>
            </w:r>
          </w:p>
        </w:tc>
        <w:tc>
          <w:tcPr>
            <w:tcW w:type="dxa" w:w="2493"/>
          </w:tcPr>
          <w:p>
            <w:pPr>
              <w:jc w:val="center"/>
            </w:pPr>
            <w:r>
              <w:rPr>
                <w:rFonts w:ascii="Calibri" w:hAnsi="Calibri"/>
                <w:b/>
                <w:i w:val="0"/>
                <w:color w:val="007A87"/>
                <w:sz w:val="18"/>
              </w:rPr>
              <w:t>ISDA FOUNDED</w:t>
            </w:r>
          </w:p>
        </w:tc>
        <w:tc>
          <w:tcPr>
            <w:tcW w:type="dxa" w:w="2493"/>
          </w:tcPr>
          <w:p>
            <w:r>
              <w:rPr>
                <w:sz w:val="20"/>
              </w:rPr>
              <w:t>ARIA: ISDA — the International Swaps and Derivatives Association — was founded in 1985 and is headquartered in New York, with offices in London, Hong Kong, Singapore, and Tokyo. It has over 900 member institutions across 75 countries: banks, asset managers, insurance companies, energy firms, and corporates. Any institution that trades OTC derivatives needs to understand ISDA — because ISDA's documentation governs almost every OTC derivative trade in the world.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Three objective cards: 1. Standardise legal documentation. 2. Reduce legal and operational risk. 3. Advocate for sound industry practices and regulation.</w:t>
            </w:r>
          </w:p>
        </w:tc>
        <w:tc>
          <w:tcPr>
            <w:tcW w:type="dxa" w:w="2493"/>
          </w:tcPr>
          <w:p>
            <w:pPr>
              <w:jc w:val="center"/>
            </w:pPr>
            <w:r>
              <w:rPr>
                <w:rFonts w:ascii="Calibri" w:hAnsi="Calibri"/>
                <w:b/>
                <w:i w:val="0"/>
                <w:color w:val="007A87"/>
                <w:sz w:val="18"/>
              </w:rPr>
              <w:t>ISDA OBJECTIVES</w:t>
            </w:r>
          </w:p>
        </w:tc>
        <w:tc>
          <w:tcPr>
            <w:tcW w:type="dxa" w:w="2493"/>
          </w:tcPr>
          <w:p>
            <w:r>
              <w:rPr>
                <w:sz w:val="20"/>
              </w:rPr>
              <w:t>KAVI: ISDA has three core objectives. First: standardise legal documentation. Instead of every bank drafting its own swap agreement from scratch, ISDA created the Master Agreement — a single template used globally. Second: reduce legal and operational risk. Standardised terms mean fewer disputes, faster confirmations, and lower legal costs. Third: advocacy. ISDA represents the derivatives industry in regulatory discussions — EMIR, Dodd-Frank, Basel III — ensuring practical industry perspectives are heard.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Before/after comparison: Pre-ISDA (bespoke contracts, weeks to negotiate, high legal cost) vs Post-ISDA (standard template, same-day electronic confirmation, netting enforced globally).</w:t>
            </w:r>
          </w:p>
        </w:tc>
        <w:tc>
          <w:tcPr>
            <w:tcW w:type="dxa" w:w="2493"/>
          </w:tcPr>
          <w:p>
            <w:pPr>
              <w:jc w:val="center"/>
            </w:pPr>
            <w:r>
              <w:rPr>
                <w:rFonts w:ascii="Calibri" w:hAnsi="Calibri"/>
                <w:b/>
                <w:i w:val="0"/>
                <w:color w:val="007A87"/>
                <w:sz w:val="18"/>
              </w:rPr>
              <w:t>ISDA IMPACT</w:t>
            </w:r>
          </w:p>
        </w:tc>
        <w:tc>
          <w:tcPr>
            <w:tcW w:type="dxa" w:w="2493"/>
          </w:tcPr>
          <w:p>
            <w:r>
              <w:rPr>
                <w:sz w:val="20"/>
              </w:rPr>
              <w:t>RYO: ISDA's impact on the industry has been transformational. Before ISDA: each trade needed a bespoke legal agreement — weeks of negotiation, high costs, inconsistent terms. After ISDA: the Master Agreement is pre-negotiated once, covering all future trades between two parties. Each new trade only needs a short confirmation referencing the Master. Legal disputes dropped dramatically. Electronic confirmation became possible. Netting — the ability to offset multiple trades to a single net exposure — became legally enforceable globally.</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RBI circular: ISDA framework adopted for Indian OTC derivatives. CCIL accepts ISDA documentation. Mumbai financial district.</w:t>
            </w:r>
          </w:p>
        </w:tc>
        <w:tc>
          <w:tcPr>
            <w:tcW w:type="dxa" w:w="2493"/>
          </w:tcPr>
          <w:p>
            <w:pPr>
              <w:jc w:val="center"/>
            </w:pPr>
            <w:r>
              <w:rPr>
                <w:rFonts w:ascii="Calibri" w:hAnsi="Calibri"/>
                <w:b/>
                <w:i w:val="0"/>
                <w:color w:val="007A87"/>
                <w:sz w:val="18"/>
              </w:rPr>
              <w:t>ISDA INDIA</w:t>
            </w:r>
          </w:p>
        </w:tc>
        <w:tc>
          <w:tcPr>
            <w:tcW w:type="dxa" w:w="2493"/>
          </w:tcPr>
          <w:p>
            <w:r>
              <w:rPr>
                <w:sz w:val="20"/>
              </w:rPr>
              <w:t>MOTION: In India, ISDA's framework was adopted progressively. RBI has recognised ISDA's close-out netting provisions for regulated entities. CCIL — the Clearing Corporation of India — uses ISDA's framework as the basis for cleared OTC derivatives documentation. Indian banks trading cross-border OTC derivatives invariably use ISDA documentation — making ISDA knowledge essential for anyone working in Indian fixed income, FX, or derivatives operations.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ISDA summary card: founded 1985, 900+ members, three objectives, global standard.</w:t>
            </w:r>
          </w:p>
        </w:tc>
        <w:tc>
          <w:tcPr>
            <w:tcW w:type="dxa" w:w="2493"/>
          </w:tcPr>
          <w:p>
            <w:pPr>
              <w:jc w:val="center"/>
            </w:pPr>
            <w:r>
              <w:rPr>
                <w:rFonts w:ascii="Calibri" w:hAnsi="Calibri"/>
                <w:b/>
                <w:i w:val="0"/>
                <w:color w:val="007A87"/>
                <w:sz w:val="18"/>
              </w:rPr>
              <w:t>RECAP F10 1 V1</w:t>
            </w:r>
          </w:p>
        </w:tc>
        <w:tc>
          <w:tcPr>
            <w:tcW w:type="dxa" w:w="2493"/>
          </w:tcPr>
          <w:p>
            <w:r>
              <w:rPr>
                <w:sz w:val="20"/>
              </w:rPr>
              <w:t>ARIA: ISDA recap: founded 1985, 900+ members globally, three objectives — standardise documentation, reduce risk, advocate for the industry. KAVI: In Video 2 we explore the OTC market itself — how it works, what makes it different from exchange trading, and why those differences create unique operational challenges.</w:t>
            </w:r>
          </w:p>
        </w:tc>
      </w:tr>
    </w:tbl>
    <w:p/>
    <w:p>
      <w:r>
        <w:rPr>
          <w:rFonts w:ascii="Calibri" w:hAnsi="Calibri"/>
          <w:b/>
          <w:i w:val="0"/>
          <w:color w:val="007A87"/>
          <w:sz w:val="20"/>
        </w:rPr>
        <w:t xml:space="preserve">▶ Transition: </w:t>
      </w:r>
      <w:r>
        <w:rPr>
          <w:rFonts w:ascii="Calibri" w:hAnsi="Calibri"/>
          <w:b w:val="0"/>
          <w:i/>
          <w:color w:val="404040"/>
          <w:sz w:val="20"/>
        </w:rPr>
        <w:t>Next — F10.1 Video 2: OTC Market Characteristics</w:t>
      </w:r>
    </w:p>
    <w:p/>
    <w:p>
      <w:pPr>
        <w:spacing w:before="120"/>
        <w:shd w:val="clear" w:color="auto" w:fill="101C4F"/>
      </w:pPr>
      <w:r>
        <w:rPr>
          <w:rFonts w:ascii="Calibri" w:hAnsi="Calibri"/>
          <w:b/>
          <w:i w:val="0"/>
          <w:color w:val="FFFFFF"/>
          <w:sz w:val="24"/>
        </w:rPr>
        <w:t xml:space="preserve">  F10.1: Introduction to ISDA and the OTC Market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Introduction to ISDA and the OTC Market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what ISDA is, why it was established, and how the OTC market differs structurally from exchange-traded markets in terms of standardisation, participants, and risk.</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the OTC market structure and contrast it with exchange-traded markets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define the OTC market, list its key characteristics, and explain how each characteristic creates operational and risk differences versus exchange trading</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F10.1 Video 1: What is ISDA?</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F10.1 Video 3: Why OTC Requires ISDA</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Split screen: Exchange (order book, anonymous, standardised contracts) vs OTC (bilateral, bespoke, negotiated directly).</w:t>
            </w:r>
          </w:p>
        </w:tc>
        <w:tc>
          <w:tcPr>
            <w:tcW w:type="dxa" w:w="2493"/>
          </w:tcPr>
          <w:p>
            <w:pPr>
              <w:jc w:val="center"/>
            </w:pPr>
            <w:r>
              <w:rPr>
                <w:rFonts w:ascii="Calibri" w:hAnsi="Calibri"/>
                <w:b/>
                <w:i w:val="0"/>
                <w:color w:val="007A87"/>
                <w:sz w:val="18"/>
              </w:rPr>
              <w:t>OTC DEFINITION</w:t>
            </w:r>
          </w:p>
        </w:tc>
        <w:tc>
          <w:tcPr>
            <w:tcW w:type="dxa" w:w="2493"/>
          </w:tcPr>
          <w:p>
            <w:r>
              <w:rPr>
                <w:sz w:val="20"/>
              </w:rPr>
              <w:t>RYO: OTC — Over-The-Counter — means trades conducted directly between two parties, without going through a centralised exchange. There is no order book, no exchange matching engine, and no exchange-imposed contract standardisation. The two parties negotiate every term bilaterally — notional amount, tenor, payment structure, governing law.</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Three characteristic cards: 1. Bespoke contracts (tailored to exact needs). 2. Bilateral negotiation (two parties agree directly). 3. No centralised price discovery (prices are bilateral).</w:t>
            </w:r>
          </w:p>
        </w:tc>
        <w:tc>
          <w:tcPr>
            <w:tcW w:type="dxa" w:w="2493"/>
          </w:tcPr>
          <w:p>
            <w:pPr>
              <w:jc w:val="center"/>
            </w:pPr>
            <w:r>
              <w:rPr>
                <w:rFonts w:ascii="Calibri" w:hAnsi="Calibri"/>
                <w:b/>
                <w:i w:val="0"/>
                <w:color w:val="007A87"/>
                <w:sz w:val="18"/>
              </w:rPr>
              <w:t>OTC CHARACTERISTICS 1</w:t>
            </w:r>
          </w:p>
        </w:tc>
        <w:tc>
          <w:tcPr>
            <w:tcW w:type="dxa" w:w="2493"/>
          </w:tcPr>
          <w:p>
            <w:r>
              <w:rPr>
                <w:sz w:val="20"/>
              </w:rPr>
              <w:t>KAVI: Key OTC characteristic 1: Bespoke contracts. Unlike exchange-listed futures where the contract size, expiry, and terms are standardised, OTC derivatives can be structured to exactly match a client's hedging need. Need a ₹47.35 crore notional 3-year IRS with an unusual day count? An OTC dealer can structure exactly that. Characteristic 2: Bilateral negotiation. The price is negotiated between the two parties — typically by phone, electronic chat, or a dedicated platform. Characteristic 3: No centralised price discovery — prices are bilateral and often opaque.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more cards: 4. Credit risk (bilateral — no CCP guarantee unless cleared). 5. Flexibility (any tenor, any notional). 6. Lower transparency (until regulatory reporting mandates changed this).</w:t>
            </w:r>
          </w:p>
        </w:tc>
        <w:tc>
          <w:tcPr>
            <w:tcW w:type="dxa" w:w="2493"/>
          </w:tcPr>
          <w:p>
            <w:pPr>
              <w:jc w:val="center"/>
            </w:pPr>
            <w:r>
              <w:rPr>
                <w:rFonts w:ascii="Calibri" w:hAnsi="Calibri"/>
                <w:b/>
                <w:i w:val="0"/>
                <w:color w:val="007A87"/>
                <w:sz w:val="18"/>
              </w:rPr>
              <w:t>OTC CHARACTERISTICS 2</w:t>
            </w:r>
          </w:p>
        </w:tc>
        <w:tc>
          <w:tcPr>
            <w:tcW w:type="dxa" w:w="2493"/>
          </w:tcPr>
          <w:p>
            <w:r>
              <w:rPr>
                <w:sz w:val="20"/>
              </w:rPr>
              <w:t>ARIA: OTC characteristic 4: bilateral credit risk. Without a CCP, if your counterparty defaults before the trade settles, you bear the full loss of your positive MTM exposure. This counterparty credit risk — also called CCR — is the most significant risk unique to OTC markets. Characteristic 5: flexibility. OTC products can be any size, any maturity, with any payment schedule — no exchange lot sizes or expiry dates constraining the structure. Characteristic 6: historically low transparency — before 2008, OTC markets were largely opaque to regulators and even to participants themselves.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Comparison table: OTC vs Exchange — contract terms, price discovery, counterparty risk, regulation, transparency, participants, settlement.</w:t>
            </w:r>
          </w:p>
        </w:tc>
        <w:tc>
          <w:tcPr>
            <w:tcW w:type="dxa" w:w="2493"/>
          </w:tcPr>
          <w:p>
            <w:pPr>
              <w:jc w:val="center"/>
            </w:pPr>
            <w:r>
              <w:rPr>
                <w:rFonts w:ascii="Calibri" w:hAnsi="Calibri"/>
                <w:b/>
                <w:i w:val="0"/>
                <w:color w:val="007A87"/>
                <w:sz w:val="18"/>
              </w:rPr>
              <w:t>OTC VS EXCHANGE</w:t>
            </w:r>
          </w:p>
        </w:tc>
        <w:tc>
          <w:tcPr>
            <w:tcW w:type="dxa" w:w="2493"/>
          </w:tcPr>
          <w:p>
            <w:r>
              <w:rPr>
                <w:sz w:val="20"/>
              </w:rPr>
              <w:t>RYO: Full comparison: Exchange-traded — standardised contracts, centralised price discovery, CCP removes counterparty risk, exchange-regulated, fully transparent order book, retail and institutional participants, T+1/T+2 settlement. OTC — bespoke contracts, bilateral price negotiation, direct counterparty risk (unless cleared), typically bank-to-bank market, historically opaque (now TR-reported), primarily institutional and sophisticated participants, settlement varies by product.</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OTC product landscape: Interest Rate Swaps (IRS), Cross-Currency Swaps (CCS), FX Forwards, Credit Default Swaps (CDS), Equity Swaps, Swaptions, structured products. Size: $700 trillion notional outstanding globally.</w:t>
            </w:r>
          </w:p>
        </w:tc>
        <w:tc>
          <w:tcPr>
            <w:tcW w:type="dxa" w:w="2493"/>
          </w:tcPr>
          <w:p>
            <w:pPr>
              <w:jc w:val="center"/>
            </w:pPr>
            <w:r>
              <w:rPr>
                <w:rFonts w:ascii="Calibri" w:hAnsi="Calibri"/>
                <w:b/>
                <w:i w:val="0"/>
                <w:color w:val="007A87"/>
                <w:sz w:val="18"/>
              </w:rPr>
              <w:t>OTC PRODUCTS</w:t>
            </w:r>
          </w:p>
        </w:tc>
        <w:tc>
          <w:tcPr>
            <w:tcW w:type="dxa" w:w="2493"/>
          </w:tcPr>
          <w:p>
            <w:r>
              <w:rPr>
                <w:sz w:val="20"/>
              </w:rPr>
              <w:t>MOTION: The OTC derivatives market dwarfs exchange-traded markets. Global OTC notional outstanding: approximately $700 trillion — versus around $100 trillion for exchange-listed derivatives. The largest OTC product category by notional: interest rate derivatives (IRS, OIS, CCS) at roughly $500 trillion. FX derivatives next at around $100 trillion. Credit derivatives (CDS) at around $8 trillion. In India, RBI-regulated OTC markets: INR interest rate swaps, FX forwards, FX options, G-Sec repos.</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OTC characteristics summary vs exchange comparison.</w:t>
            </w:r>
          </w:p>
        </w:tc>
        <w:tc>
          <w:tcPr>
            <w:tcW w:type="dxa" w:w="2493"/>
          </w:tcPr>
          <w:p>
            <w:pPr>
              <w:jc w:val="center"/>
            </w:pPr>
            <w:r>
              <w:rPr>
                <w:rFonts w:ascii="Calibri" w:hAnsi="Calibri"/>
                <w:b/>
                <w:i w:val="0"/>
                <w:color w:val="007A87"/>
                <w:sz w:val="18"/>
              </w:rPr>
              <w:t>RECAP F10 1 V2</w:t>
            </w:r>
          </w:p>
        </w:tc>
        <w:tc>
          <w:tcPr>
            <w:tcW w:type="dxa" w:w="2493"/>
          </w:tcPr>
          <w:p>
            <w:r>
              <w:rPr>
                <w:sz w:val="20"/>
              </w:rPr>
              <w:t>ARIA: OTC market: bilateral, bespoke, no exchange, counterparty credit risk, historically opaque. RYO: These characteristics — particularly bilateral credit risk and lack of standardisation — are exactly why ISDA was needed. In Video 3 we connect these OTC features to specific ISDA solutions.</w:t>
            </w:r>
          </w:p>
        </w:tc>
      </w:tr>
    </w:tbl>
    <w:p/>
    <w:p>
      <w:r>
        <w:rPr>
          <w:rFonts w:ascii="Calibri" w:hAnsi="Calibri"/>
          <w:b/>
          <w:i w:val="0"/>
          <w:color w:val="007A87"/>
          <w:sz w:val="20"/>
        </w:rPr>
        <w:t xml:space="preserve">▶ Transition: </w:t>
      </w:r>
      <w:r>
        <w:rPr>
          <w:rFonts w:ascii="Calibri" w:hAnsi="Calibri"/>
          <w:b w:val="0"/>
          <w:i/>
          <w:color w:val="404040"/>
          <w:sz w:val="20"/>
        </w:rPr>
        <w:t>Next — F10.1 Video 3: Why OTC Requires ISDA</w:t>
      </w:r>
    </w:p>
    <w:p/>
    <w:p>
      <w:pPr>
        <w:spacing w:before="120"/>
        <w:shd w:val="clear" w:color="auto" w:fill="101C4F"/>
      </w:pPr>
      <w:r>
        <w:rPr>
          <w:rFonts w:ascii="Calibri" w:hAnsi="Calibri"/>
          <w:b/>
          <w:i w:val="0"/>
          <w:color w:val="FFFFFF"/>
          <w:sz w:val="24"/>
        </w:rPr>
        <w:t xml:space="preserve">  F10.1: Introduction to ISDA and the OTC Market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Introduction to ISDA and the OTC Market</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Explain what ISDA is, why it was established, and how the OTC market differs structurally from exchange-traded markets in terms of standardisation, participants, and risk.</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OTC market risks to specific ISDA solutions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how ISDA's Master Agreement, Schedule, CSA, and Definitions each address a specific OTC market risk or operational challenge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F10.1 Video 2: OTC Market Characteristics</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F10.2 Video 1: ISDA Master Agreement Structure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Problem-solution board: four OTC problems on the left, four ISDA solutions on the right. Arrows connecting them.</w:t>
            </w:r>
          </w:p>
        </w:tc>
        <w:tc>
          <w:tcPr>
            <w:tcW w:type="dxa" w:w="2493"/>
          </w:tcPr>
          <w:p>
            <w:pPr>
              <w:jc w:val="center"/>
            </w:pPr>
            <w:r>
              <w:rPr>
                <w:rFonts w:ascii="Calibri" w:hAnsi="Calibri"/>
                <w:b/>
                <w:i w:val="0"/>
                <w:color w:val="007A87"/>
                <w:sz w:val="18"/>
              </w:rPr>
              <w:t>ISDA SOLUTIONS INTRO</w:t>
            </w:r>
          </w:p>
        </w:tc>
        <w:tc>
          <w:tcPr>
            <w:tcW w:type="dxa" w:w="2493"/>
          </w:tcPr>
          <w:p>
            <w:r>
              <w:rPr>
                <w:sz w:val="20"/>
              </w:rPr>
              <w:t>KAVI: ISDA didn't create a solution for OTC markets — it created the solution. The ISDA documentation suite — Master Agreement, Schedule, CSA, and Definitions — directly addresses each of the four main risks of OTC trading: legal risk, credit risk, operational risk, and product risk.</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Legal risk card: bespoke contracts → dispute risk. ISDA solution: Master Agreement with standard terms tested in courts globally → legal certainty.</w:t>
            </w:r>
          </w:p>
        </w:tc>
        <w:tc>
          <w:tcPr>
            <w:tcW w:type="dxa" w:w="2493"/>
          </w:tcPr>
          <w:p>
            <w:pPr>
              <w:jc w:val="center"/>
            </w:pPr>
            <w:r>
              <w:rPr>
                <w:rFonts w:ascii="Calibri" w:hAnsi="Calibri"/>
                <w:b/>
                <w:i w:val="0"/>
                <w:color w:val="007A87"/>
                <w:sz w:val="18"/>
              </w:rPr>
              <w:t>LEGAL RISK SOLUTION</w:t>
            </w:r>
          </w:p>
        </w:tc>
        <w:tc>
          <w:tcPr>
            <w:tcW w:type="dxa" w:w="2493"/>
          </w:tcPr>
          <w:p>
            <w:r>
              <w:rPr>
                <w:sz w:val="20"/>
              </w:rPr>
              <w:t>RYO: OTC problem 1 — Legal risk: every bespoke contract is a legal minefield. Without standard terms, courts might interpret disputed clauses differently in different jurisdictions. ISDA solution: the Master Agreement uses language that has been tested and upheld in courts across major jurisdictions — US, UK, EU, Japan, and increasingly India. When there's a dispute, both parties are arguing within a well-understood legal framework, not uncharted territory.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Credit risk card: counterparty default risk. ISDA solution: close-out netting (reduces gross exposure to net) + CSA (collateral margining reduces residual exposure).</w:t>
            </w:r>
          </w:p>
        </w:tc>
        <w:tc>
          <w:tcPr>
            <w:tcW w:type="dxa" w:w="2493"/>
          </w:tcPr>
          <w:p>
            <w:pPr>
              <w:jc w:val="center"/>
            </w:pPr>
            <w:r>
              <w:rPr>
                <w:rFonts w:ascii="Calibri" w:hAnsi="Calibri"/>
                <w:b/>
                <w:i w:val="0"/>
                <w:color w:val="007A87"/>
                <w:sz w:val="18"/>
              </w:rPr>
              <w:t>CREDIT RISK SOLUTION</w:t>
            </w:r>
          </w:p>
        </w:tc>
        <w:tc>
          <w:tcPr>
            <w:tcW w:type="dxa" w:w="2493"/>
          </w:tcPr>
          <w:p>
            <w:r>
              <w:rPr>
                <w:sz w:val="20"/>
              </w:rPr>
              <w:t>ARIA: OTC problem 2 — Credit risk: if a counterparty defaults, you might be owed ₹200 crore on some trades but owe ₹180 crore on others. Without netting, you might not recover the full ₹200 crore but still have to pay the full ₹180 crore. ISDA solution: close-out netting — legally recognised in most jurisdictions — allows you to net all trades to a single net ₹20 crore payable or receivable. Combined with the CSA (which requires collateral posting), bilateral credit exposure is dramatically reduced.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Operational risk card: bespoke confirmation process. ISDA solution: standard confirmation templates + electronic matching platforms (SWIFT, Omgeo) + defined confirmation timelines.</w:t>
            </w:r>
          </w:p>
        </w:tc>
        <w:tc>
          <w:tcPr>
            <w:tcW w:type="dxa" w:w="2493"/>
          </w:tcPr>
          <w:p>
            <w:pPr>
              <w:jc w:val="center"/>
            </w:pPr>
            <w:r>
              <w:rPr>
                <w:rFonts w:ascii="Calibri" w:hAnsi="Calibri"/>
                <w:b/>
                <w:i w:val="0"/>
                <w:color w:val="007A87"/>
                <w:sz w:val="18"/>
              </w:rPr>
              <w:t>OPERATIONAL RISK SOLUTION</w:t>
            </w:r>
          </w:p>
        </w:tc>
        <w:tc>
          <w:tcPr>
            <w:tcW w:type="dxa" w:w="2493"/>
          </w:tcPr>
          <w:p>
            <w:r>
              <w:rPr>
                <w:sz w:val="20"/>
              </w:rPr>
              <w:t>KAVI: OTC problem 3 — Operational risk: if every trade needs a custom legal confirmation document, the confirmation process takes weeks for complex products. ISDA solution: short-form confirmations — a brief document confirming trade economics, which incorporates by reference the Master Agreement and the applicable Definitions. The bulk of the legal terms are pre-agreed in the Master; the confirmation only needs to state the trade-specific details: notional, rate, dates.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Product risk card: undefined terms create disputes. ISDA solution: Definitions documents — 2006 ISDA Definitions for IRS, ISDA 2002 Master Definitions for FX, ISDA Credit Derivatives Definitions.</w:t>
            </w:r>
          </w:p>
        </w:tc>
        <w:tc>
          <w:tcPr>
            <w:tcW w:type="dxa" w:w="2493"/>
          </w:tcPr>
          <w:p>
            <w:pPr>
              <w:jc w:val="center"/>
            </w:pPr>
            <w:r>
              <w:rPr>
                <w:rFonts w:ascii="Calibri" w:hAnsi="Calibri"/>
                <w:b/>
                <w:i w:val="0"/>
                <w:color w:val="007A87"/>
                <w:sz w:val="18"/>
              </w:rPr>
              <w:t>PRODUCT RISK SOLUTION</w:t>
            </w:r>
          </w:p>
        </w:tc>
        <w:tc>
          <w:tcPr>
            <w:tcW w:type="dxa" w:w="2493"/>
          </w:tcPr>
          <w:p>
            <w:r>
              <w:rPr>
                <w:sz w:val="20"/>
              </w:rPr>
              <w:t>MOTION: OTC problem 4 — Product risk: what exactly is 'MIBOR'? Which fixing? Which screen? What if the screen is unavailable? ISDA solution: product-specific Definitions documents establish precise, agreed definitions for every term used in each derivative product. The 2006 ISDA Definitions, for example, define exactly how floating rate fixings work, which fallback applies if the primary screen is unavailable, and how business day adjustments operate. Definitions eliminate ambiguity — if a term is defined in ISDA Definitions, it means one specific thing, regardless of what two parties might argue later.</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ISDA four-solution map: Master Agreement (legal), CSA (credit), Short-form confirms (operational), Definitions (product).</w:t>
            </w:r>
          </w:p>
        </w:tc>
        <w:tc>
          <w:tcPr>
            <w:tcW w:type="dxa" w:w="2493"/>
          </w:tcPr>
          <w:p>
            <w:pPr>
              <w:jc w:val="center"/>
            </w:pPr>
            <w:r>
              <w:rPr>
                <w:rFonts w:ascii="Calibri" w:hAnsi="Calibri"/>
                <w:b/>
                <w:i w:val="0"/>
                <w:color w:val="007A87"/>
                <w:sz w:val="18"/>
              </w:rPr>
              <w:t>RECAP F10 1 V3</w:t>
            </w:r>
          </w:p>
        </w:tc>
        <w:tc>
          <w:tcPr>
            <w:tcW w:type="dxa" w:w="2493"/>
          </w:tcPr>
          <w:p>
            <w:r>
              <w:rPr>
                <w:sz w:val="20"/>
              </w:rPr>
              <w:t>RYO: ISDA solves the four OTC risks: Master Agreement → legal certainty. CSA → credit risk reduction. Short-form confirmations → operational efficiency. Definitions → product clarity. ARIA: Next: F10.2 — we go deep into the Master Agreement itself — its five-part structure and how each part governs the relationship between two OTC trading counterparties.</w:t>
            </w:r>
          </w:p>
        </w:tc>
      </w:tr>
    </w:tbl>
    <w:p/>
    <w:p>
      <w:r>
        <w:rPr>
          <w:rFonts w:ascii="Calibri" w:hAnsi="Calibri"/>
          <w:b/>
          <w:i w:val="0"/>
          <w:color w:val="007A87"/>
          <w:sz w:val="20"/>
        </w:rPr>
        <w:t xml:space="preserve">▶ Transition: </w:t>
      </w:r>
      <w:r>
        <w:rPr>
          <w:rFonts w:ascii="Calibri" w:hAnsi="Calibri"/>
          <w:b w:val="0"/>
          <w:i/>
          <w:color w:val="404040"/>
          <w:sz w:val="20"/>
        </w:rPr>
        <w:t>Next — F10.2 Video 1: ISDA Master Agreement Structure</w:t>
      </w:r>
    </w:p>
    <w:p/>
    <w:p>
      <w:pPr>
        <w:pStyle w:val="Heading1"/>
      </w:pPr>
      <w:r>
        <w:rPr>
          <w:color w:val="101C4F"/>
        </w:rPr>
        <w:t>F10.2: The ISDA Master Agreement — Structure and Purpose</w:t>
      </w:r>
    </w:p>
    <w:p>
      <w:r>
        <w:rPr>
          <w:rFonts w:ascii="Calibri" w:hAnsi="Calibri"/>
          <w:b/>
          <w:i w:val="0"/>
          <w:color w:val="007A87"/>
          <w:sz w:val="22"/>
        </w:rPr>
        <w:t xml:space="preserve">Competency Statement: </w:t>
      </w:r>
      <w:r>
        <w:rPr>
          <w:rFonts w:ascii="Calibri" w:hAnsi="Calibri"/>
          <w:b w:val="0"/>
          <w:i w:val="0"/>
          <w:sz w:val="22"/>
        </w:rPr>
        <w:t>Describe the five-part structure of the ISDA Master Agreement and explain how each part governs an OTC derivative relationship, including the role of the pre-printed form vs negotiated Schedule.</w:t>
      </w:r>
    </w:p>
    <w:p/>
    <w:p>
      <w:pPr>
        <w:spacing w:before="120"/>
        <w:shd w:val="clear" w:color="auto" w:fill="101C4F"/>
      </w:pPr>
      <w:r>
        <w:rPr>
          <w:rFonts w:ascii="Calibri" w:hAnsi="Calibri"/>
          <w:b/>
          <w:i w:val="0"/>
          <w:color w:val="FFFFFF"/>
          <w:sz w:val="24"/>
        </w:rPr>
        <w:t xml:space="preserve">  F10.2: The ISDA Master Agreement — Structure and Purpose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Master Agreement — Structure and Purpose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five-part structure of the ISDA Master Agreement and explain how each part governs an OTC derivative relationship, including the role of the pre-printed form vs negotiated Schedule.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the ISDA Master Agreement's five components and the purpose of each</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name all five parts of the ISDA documentation suite, explain what each contains, and describe how they interrelate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F10.1 Video 3: Why OTC Requires ISDA</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F10.2 Video 2: The Master Agreement Pre-Printed Form</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 thick legal binder labelled 'ISDA Master Agreement'. Opening it reveals five tabbed sections.</w:t>
            </w:r>
          </w:p>
        </w:tc>
        <w:tc>
          <w:tcPr>
            <w:tcW w:type="dxa" w:w="2493"/>
          </w:tcPr>
          <w:p>
            <w:pPr>
              <w:jc w:val="center"/>
            </w:pPr>
            <w:r>
              <w:rPr>
                <w:rFonts w:ascii="Calibri" w:hAnsi="Calibri"/>
                <w:b/>
                <w:i w:val="0"/>
                <w:color w:val="007A87"/>
                <w:sz w:val="18"/>
              </w:rPr>
              <w:t>IMA INTRO</w:t>
            </w:r>
          </w:p>
        </w:tc>
        <w:tc>
          <w:tcPr>
            <w:tcW w:type="dxa" w:w="2493"/>
          </w:tcPr>
          <w:p>
            <w:r>
              <w:rPr>
                <w:sz w:val="20"/>
              </w:rPr>
              <w:t>KAVI: The ISDA documentation suite is often called the ISDA Master Agreement, but it actually consists of five distinct parts — each serving a specific purpose. Together, they form a comprehensive legal framework for every OTC derivative trade between two parties. Think of it as a layered architecture: each layer adds more specificity.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Five-part pyramid graphic: Base = ISDA Master Agreement (standard form) → Schedule (party-specific) → Credit Support Annex (collateral) → Definitions (product-specific) → Trade Confirmation (transaction-specific).</w:t>
            </w:r>
          </w:p>
        </w:tc>
        <w:tc>
          <w:tcPr>
            <w:tcW w:type="dxa" w:w="2493"/>
          </w:tcPr>
          <w:p>
            <w:pPr>
              <w:jc w:val="center"/>
            </w:pPr>
            <w:r>
              <w:rPr>
                <w:rFonts w:ascii="Calibri" w:hAnsi="Calibri"/>
                <w:b/>
                <w:i w:val="0"/>
                <w:color w:val="007A87"/>
                <w:sz w:val="18"/>
              </w:rPr>
              <w:t>FIVE PARTS</w:t>
            </w:r>
          </w:p>
        </w:tc>
        <w:tc>
          <w:tcPr>
            <w:tcW w:type="dxa" w:w="2493"/>
          </w:tcPr>
          <w:p>
            <w:r>
              <w:rPr>
                <w:sz w:val="20"/>
              </w:rPr>
              <w:t>ARIA: The five parts: Part 1 — the ISDA Master Agreement itself (the pre-printed standard form). This is the universal legal framework — the same text applies to every ISDA relationship globally. Part 2 — the Schedule. This is where parties make elections and modifications to the standard Master Agreement — it's the negotiated layer. Part 3 — the Credit Support Annex (CSA). Governs collateral and margining. Part 4 — Definitions documents. Product-specific term definitions incorporated by reference into each trade. Part 5 — Trade Confirmations. The transaction-specific documents confirming each individual derivative.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The Master Agreement document: general terms, boilerplate, payment mechanics, representations, events of default. All standardised — cannot be altered in the Master itself.</w:t>
            </w:r>
          </w:p>
        </w:tc>
        <w:tc>
          <w:tcPr>
            <w:tcW w:type="dxa" w:w="2493"/>
          </w:tcPr>
          <w:p>
            <w:pPr>
              <w:jc w:val="center"/>
            </w:pPr>
            <w:r>
              <w:rPr>
                <w:rFonts w:ascii="Calibri" w:hAnsi="Calibri"/>
                <w:b/>
                <w:i w:val="0"/>
                <w:color w:val="007A87"/>
                <w:sz w:val="18"/>
              </w:rPr>
              <w:t>MASTER PURPOSE</w:t>
            </w:r>
          </w:p>
        </w:tc>
        <w:tc>
          <w:tcPr>
            <w:tcW w:type="dxa" w:w="2493"/>
          </w:tcPr>
          <w:p>
            <w:r>
              <w:rPr>
                <w:sz w:val="20"/>
              </w:rPr>
              <w:t>RYO: Part 1 — the Master Agreement pre-printed form — is the foundational layer. It contains: Payment mechanics — how payments are calculated and made. Representations — what each party declares about itself (it has authority to enter the trade, no pending litigation, etc.). Events of Default — circumstances that allow a party to terminate all trades early. Termination Events — circumstances beyond either party's control that may allow early termination. Governing law — English law or New York law (two versions). Crucially: the Master cannot be modified directly — all modifications are made in the Schedule.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Single Agreement concept: all trades governed by one Master Agreement form a single legal agreement — not a collection of separate contracts.</w:t>
            </w:r>
          </w:p>
        </w:tc>
        <w:tc>
          <w:tcPr>
            <w:tcW w:type="dxa" w:w="2493"/>
          </w:tcPr>
          <w:p>
            <w:pPr>
              <w:jc w:val="center"/>
            </w:pPr>
            <w:r>
              <w:rPr>
                <w:rFonts w:ascii="Calibri" w:hAnsi="Calibri"/>
                <w:b/>
                <w:i w:val="0"/>
                <w:color w:val="007A87"/>
                <w:sz w:val="18"/>
              </w:rPr>
              <w:t>SINGLE AGREEMENT</w:t>
            </w:r>
          </w:p>
        </w:tc>
        <w:tc>
          <w:tcPr>
            <w:tcW w:type="dxa" w:w="2493"/>
          </w:tcPr>
          <w:p>
            <w:r>
              <w:rPr>
                <w:sz w:val="20"/>
              </w:rPr>
              <w:t>KAVI: The Single Agreement concept is one of the most powerful features of the ISDA framework. Every trade executed under a Master Agreement is considered part of one single legal agreement — not a collection of separate contracts. This single agreement status is what makes close-out netting legally effective. When a counterparty defaults, you can terminate the single agreement — netting all trades to one net amount — rather than having to deal with a portfolio of separate contracts, each of which might be treated differently in bankruptcy proceedings.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Two ISDA Master Agreement versions: 1992 ISDA Master (older, market payment measures) vs 2002 ISDA Master (updated, close-out amount concept, more flexible termination). Both still in active use.</w:t>
            </w:r>
          </w:p>
        </w:tc>
        <w:tc>
          <w:tcPr>
            <w:tcW w:type="dxa" w:w="2493"/>
          </w:tcPr>
          <w:p>
            <w:pPr>
              <w:jc w:val="center"/>
            </w:pPr>
            <w:r>
              <w:rPr>
                <w:rFonts w:ascii="Calibri" w:hAnsi="Calibri"/>
                <w:b/>
                <w:i w:val="0"/>
                <w:color w:val="007A87"/>
                <w:sz w:val="18"/>
              </w:rPr>
              <w:t>TWO VERSIONS</w:t>
            </w:r>
          </w:p>
        </w:tc>
        <w:tc>
          <w:tcPr>
            <w:tcW w:type="dxa" w:w="2493"/>
          </w:tcPr>
          <w:p>
            <w:r>
              <w:rPr>
                <w:sz w:val="20"/>
              </w:rPr>
              <w:t>MOTION: There are two versions of the ISDA Master Agreement in active use. The 1992 ISDA Master Agreement — still widely used, particularly for older trading relationships. Uses 'Market Quotation' or 'Loss' payment measures for close-out. The 2002 ISDA Master Agreement — the more modern version. Introduces the 'Close-Out Amount' concept (more flexible valuation of terminated trades). Improved force majeure provisions. Cleaner credit event definitions. Indian banks use both versions depending on the vintage of their ISDA relationships — operations professionals must recognise which version applies to each counterparty.</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Five-part structure recap: Master (standard), Schedule (party-specific), CSA (collateral), Definitions (product), Confirmation (transaction).</w:t>
            </w:r>
          </w:p>
        </w:tc>
        <w:tc>
          <w:tcPr>
            <w:tcW w:type="dxa" w:w="2493"/>
          </w:tcPr>
          <w:p>
            <w:pPr>
              <w:jc w:val="center"/>
            </w:pPr>
            <w:r>
              <w:rPr>
                <w:rFonts w:ascii="Calibri" w:hAnsi="Calibri"/>
                <w:b/>
                <w:i w:val="0"/>
                <w:color w:val="007A87"/>
                <w:sz w:val="18"/>
              </w:rPr>
              <w:t>RECAP F10 2 V1</w:t>
            </w:r>
          </w:p>
        </w:tc>
        <w:tc>
          <w:tcPr>
            <w:tcW w:type="dxa" w:w="2493"/>
          </w:tcPr>
          <w:p>
            <w:r>
              <w:rPr>
                <w:sz w:val="20"/>
              </w:rPr>
              <w:t>ARIA: The ISDA suite: Master Agreement (the standard form — can't be changed), Schedule (negotiated modifications), CSA (collateral terms), Definitions (product terms), Confirmations (each individual trade). RYO: In Video 2 we read through the Master Agreement's key provisions — understanding the representations, payment mechanics, and what 'Events of Default' actually mean in practice.</w:t>
            </w:r>
          </w:p>
        </w:tc>
      </w:tr>
    </w:tbl>
    <w:p/>
    <w:p>
      <w:r>
        <w:rPr>
          <w:rFonts w:ascii="Calibri" w:hAnsi="Calibri"/>
          <w:b/>
          <w:i w:val="0"/>
          <w:color w:val="007A87"/>
          <w:sz w:val="20"/>
        </w:rPr>
        <w:t xml:space="preserve">▶ Transition: </w:t>
      </w:r>
      <w:r>
        <w:rPr>
          <w:rFonts w:ascii="Calibri" w:hAnsi="Calibri"/>
          <w:b w:val="0"/>
          <w:i/>
          <w:color w:val="404040"/>
          <w:sz w:val="20"/>
        </w:rPr>
        <w:t>Next — F10.2 Video 2: The Master Agreement Pre-Printed Form</w:t>
      </w:r>
    </w:p>
    <w:p/>
    <w:p>
      <w:pPr>
        <w:spacing w:before="120"/>
        <w:shd w:val="clear" w:color="auto" w:fill="101C4F"/>
      </w:pPr>
      <w:r>
        <w:rPr>
          <w:rFonts w:ascii="Calibri" w:hAnsi="Calibri"/>
          <w:b/>
          <w:i w:val="0"/>
          <w:color w:val="FFFFFF"/>
          <w:sz w:val="24"/>
        </w:rPr>
        <w:t xml:space="preserve">  F10.2: The ISDA Master Agreement — Structure and Purpose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Master Agreement — Structure and Purpose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five-part structure of the ISDA Master Agreement and explain how each part governs an OTC derivative relationship, including the role of the pre-printed form vs negotiated Schedule.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Identify and interpret key provisions in the ISDA Master Agreement pre-printed form</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key provisions of the ISDA Master Agreement — payments, representations, and netting — and explain their operational significance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F10.2 Video 1: Five-Part Structure</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F10.2 Video 3: How the ISDA Suite Works Together</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ISDA Master Section 2: Obligations. Payment netting illustration: Party A owes ₹10cr to Party B; Party B owes ₹7cr to Party A — net payment = ₹3cr from A to B.</w:t>
            </w:r>
          </w:p>
        </w:tc>
        <w:tc>
          <w:tcPr>
            <w:tcW w:type="dxa" w:w="2493"/>
          </w:tcPr>
          <w:p>
            <w:pPr>
              <w:jc w:val="center"/>
            </w:pPr>
            <w:r>
              <w:rPr>
                <w:rFonts w:ascii="Calibri" w:hAnsi="Calibri"/>
                <w:b/>
                <w:i w:val="0"/>
                <w:color w:val="007A87"/>
                <w:sz w:val="18"/>
              </w:rPr>
              <w:t>PAYMENT MECHANICS</w:t>
            </w:r>
          </w:p>
        </w:tc>
        <w:tc>
          <w:tcPr>
            <w:tcW w:type="dxa" w:w="2493"/>
          </w:tcPr>
          <w:p>
            <w:r>
              <w:rPr>
                <w:sz w:val="20"/>
              </w:rPr>
              <w:t>KAVI: Section 2 of the Master Agreement covers payment obligations and payment netting. Payment netting: on any payment date where both parties owe amounts in the same currency under the same trade or related trades, they net to a single payment. This prevents the settlement risk of both parties making gross payments and one failing to receive. Operations significance: payment netting reduces the number of cash movements — and therefore settlement risk — on each payment date.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Section 3: Representations. Six key reps: authority to enter, no legal conflicts, consents obtained, no defaults existing, accurate information provided, tax status correct.</w:t>
            </w:r>
          </w:p>
        </w:tc>
        <w:tc>
          <w:tcPr>
            <w:tcW w:type="dxa" w:w="2493"/>
          </w:tcPr>
          <w:p>
            <w:pPr>
              <w:jc w:val="center"/>
            </w:pPr>
            <w:r>
              <w:rPr>
                <w:rFonts w:ascii="Calibri" w:hAnsi="Calibri"/>
                <w:b/>
                <w:i w:val="0"/>
                <w:color w:val="007A87"/>
                <w:sz w:val="18"/>
              </w:rPr>
              <w:t>REPRESENTATIONS</w:t>
            </w:r>
          </w:p>
        </w:tc>
        <w:tc>
          <w:tcPr>
            <w:tcW w:type="dxa" w:w="2493"/>
          </w:tcPr>
          <w:p>
            <w:r>
              <w:rPr>
                <w:sz w:val="20"/>
              </w:rPr>
              <w:t>RYO: Section 3 — Representations. Each party makes six representations about itself: (1) Status — the party has legal capacity to enter OTC derivatives. (2) Powers — it has corporate authority to enter this specific trade. (3) No violation — entering the trade doesn't breach any law or contract the party is bound by. (4) Consents — all regulatory approvals are in place. (5) Obligations binding — the obligations are legally enforceable. (6) Absence of defaults — no Events of Default currently exist. These representations are made on each transaction date — a false representation is itself an Event of Default.</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Section 5: Agreements — ongoing obligations both parties make. Key ones: maintain authorisations, give notice of defaults, comply with tax obligations.</w:t>
            </w:r>
          </w:p>
        </w:tc>
        <w:tc>
          <w:tcPr>
            <w:tcW w:type="dxa" w:w="2493"/>
          </w:tcPr>
          <w:p>
            <w:pPr>
              <w:jc w:val="center"/>
            </w:pPr>
            <w:r>
              <w:rPr>
                <w:rFonts w:ascii="Calibri" w:hAnsi="Calibri"/>
                <w:b/>
                <w:i w:val="0"/>
                <w:color w:val="007A87"/>
                <w:sz w:val="18"/>
              </w:rPr>
              <w:t>AGREEMENTS</w:t>
            </w:r>
          </w:p>
        </w:tc>
        <w:tc>
          <w:tcPr>
            <w:tcW w:type="dxa" w:w="2493"/>
          </w:tcPr>
          <w:p>
            <w:r>
              <w:rPr>
                <w:sz w:val="20"/>
              </w:rPr>
              <w:t>ARIA: Section 5 — Agreements. Both parties commit to ongoing obligations throughout the life of the Master Agreement: maintain all regulatory authorisations needed to perform the trades. Promptly notify the other party if an Event of Default or Termination Event occurs. Comply with applicable tax laws. Use commercially reasonable efforts to deliver tax forms when requested. These ongoing obligations are monitored by the operations and compliance teams — failing to maintain a required authorisation (e.g., an expired SEBI registration) could constitute an Event of Default.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Section 6: Early Termination. Close-out netting animation: 50 trades between Bank A and Bank B. On default, all 50 are terminated and netted to one amount.</w:t>
            </w:r>
          </w:p>
        </w:tc>
        <w:tc>
          <w:tcPr>
            <w:tcW w:type="dxa" w:w="2493"/>
          </w:tcPr>
          <w:p>
            <w:pPr>
              <w:jc w:val="center"/>
            </w:pPr>
            <w:r>
              <w:rPr>
                <w:rFonts w:ascii="Calibri" w:hAnsi="Calibri"/>
                <w:b/>
                <w:i w:val="0"/>
                <w:color w:val="007A87"/>
                <w:sz w:val="18"/>
              </w:rPr>
              <w:t>CLOSE OUT NETTING</w:t>
            </w:r>
          </w:p>
        </w:tc>
        <w:tc>
          <w:tcPr>
            <w:tcW w:type="dxa" w:w="2493"/>
          </w:tcPr>
          <w:p>
            <w:r>
              <w:rPr>
                <w:sz w:val="20"/>
              </w:rPr>
              <w:t>KAVI: Section 6 is the most important for risk management — it governs early termination and close-out netting. When an Event of Default occurs: the non-defaulting party can designate an Early Termination Date, terminating all outstanding trades. The MTM value of every terminated trade is calculated. All values are netted to a single close-out amount. One party pays the other this net amount — and the entire trading relationship is concluded. The power of this: instead of having to pursue 50 separate contracts in a bankruptcy court, you have a single, legally enforceable net claim.</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Two ISDA Master versions: English law (Section 13 — courts of England and Wales) vs New York law (courts of New York State). Choice determined in Schedule. Indian courts not currently a standard option.</w:t>
            </w:r>
          </w:p>
        </w:tc>
        <w:tc>
          <w:tcPr>
            <w:tcW w:type="dxa" w:w="2493"/>
          </w:tcPr>
          <w:p>
            <w:pPr>
              <w:jc w:val="center"/>
            </w:pPr>
            <w:r>
              <w:rPr>
                <w:rFonts w:ascii="Calibri" w:hAnsi="Calibri"/>
                <w:b/>
                <w:i w:val="0"/>
                <w:color w:val="007A87"/>
                <w:sz w:val="18"/>
              </w:rPr>
              <w:t>GOVERNING LAW</w:t>
            </w:r>
          </w:p>
        </w:tc>
        <w:tc>
          <w:tcPr>
            <w:tcW w:type="dxa" w:w="2493"/>
          </w:tcPr>
          <w:p>
            <w:r>
              <w:rPr>
                <w:sz w:val="20"/>
              </w:rPr>
              <w:t>MOTION: Section 13 — Governing law and jurisdiction. The ISDA Master Agreement comes in two governing law versions: English law (used predominantly for trades between European and Asian parties) and New York law (used predominantly for US market participants). Indian banks typically use the English law version for cross-border ISDA agreements, as English law has a well-developed body of case law on netting and derivatives. For domestic Indian OTC trades, some parties use Indian law schedules — though ISDA's English and New York law versions remain dominant for international counterparties.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Key ISDA Master provisions: Section 2 (payments), Section 3 (representations), Section 5 (agreements), Section 6 (close-out netting), Section 13 (governing law).</w:t>
            </w:r>
          </w:p>
        </w:tc>
        <w:tc>
          <w:tcPr>
            <w:tcW w:type="dxa" w:w="2493"/>
          </w:tcPr>
          <w:p>
            <w:pPr>
              <w:jc w:val="center"/>
            </w:pPr>
            <w:r>
              <w:rPr>
                <w:rFonts w:ascii="Calibri" w:hAnsi="Calibri"/>
                <w:b/>
                <w:i w:val="0"/>
                <w:color w:val="007A87"/>
                <w:sz w:val="18"/>
              </w:rPr>
              <w:t>RECAP F10 2 V2</w:t>
            </w:r>
          </w:p>
        </w:tc>
        <w:tc>
          <w:tcPr>
            <w:tcW w:type="dxa" w:w="2493"/>
          </w:tcPr>
          <w:p>
            <w:r>
              <w:rPr>
                <w:sz w:val="20"/>
              </w:rPr>
              <w:t>RYO: ISDA Master key sections: 2 (payment netting), 3 (representations), 5 (ongoing agreements), 6 (early termination and close-out netting), 13 (governing law). ARIA: In Video 3 we see how the entire ISDA suite operates together — from the Master through the Schedule and CSA to the individual trade confirmation — using an IRS trade example.</w:t>
            </w:r>
          </w:p>
        </w:tc>
      </w:tr>
    </w:tbl>
    <w:p/>
    <w:p>
      <w:r>
        <w:rPr>
          <w:rFonts w:ascii="Calibri" w:hAnsi="Calibri"/>
          <w:b/>
          <w:i w:val="0"/>
          <w:color w:val="007A87"/>
          <w:sz w:val="20"/>
        </w:rPr>
        <w:t xml:space="preserve">▶ Transition: </w:t>
      </w:r>
      <w:r>
        <w:rPr>
          <w:rFonts w:ascii="Calibri" w:hAnsi="Calibri"/>
          <w:b w:val="0"/>
          <w:i/>
          <w:color w:val="404040"/>
          <w:sz w:val="20"/>
        </w:rPr>
        <w:t>Next — F10.2 Video 3: How the ISDA Suite Works Together</w:t>
      </w:r>
    </w:p>
    <w:p/>
    <w:p>
      <w:pPr>
        <w:spacing w:before="120"/>
        <w:shd w:val="clear" w:color="auto" w:fill="101C4F"/>
      </w:pPr>
      <w:r>
        <w:rPr>
          <w:rFonts w:ascii="Calibri" w:hAnsi="Calibri"/>
          <w:b/>
          <w:i w:val="0"/>
          <w:color w:val="FFFFFF"/>
          <w:sz w:val="24"/>
        </w:rPr>
        <w:t xml:space="preserve">  F10.2: The ISDA Master Agreement — Structure and Purpose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Master Agreement — Structure and Purpose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five-part structure of the ISDA Master Agreement and explain how each part governs an OTC derivative relationship, including the role of the pre-printed form vs negotiated Schedule.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Trace how the ISDA suite's layered structure governs a complete OTC trade from execution to maturity</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trace the legal documentation chain from Master Agreement through Schedule, CSA, Definitions, and Confirmation for a specific IRS trade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F10.2 Video 2: Key Master Agreement Provisions</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F10.3 Video 1: Events of Default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Architecture diagram: ISDA Master (foundation) → Schedule (party modifications) → CSA (collateral rules) → 2006 ISDA Definitions (IRS terms) → IRS Trade Confirmation (specific trade).</w:t>
            </w:r>
          </w:p>
        </w:tc>
        <w:tc>
          <w:tcPr>
            <w:tcW w:type="dxa" w:w="2493"/>
          </w:tcPr>
          <w:p>
            <w:pPr>
              <w:jc w:val="center"/>
            </w:pPr>
            <w:r>
              <w:rPr>
                <w:rFonts w:ascii="Calibri" w:hAnsi="Calibri"/>
                <w:b/>
                <w:i w:val="0"/>
                <w:color w:val="007A87"/>
                <w:sz w:val="18"/>
              </w:rPr>
              <w:t>LAYERED STRUCTURE</w:t>
            </w:r>
          </w:p>
        </w:tc>
        <w:tc>
          <w:tcPr>
            <w:tcW w:type="dxa" w:w="2493"/>
          </w:tcPr>
          <w:p>
            <w:r>
              <w:rPr>
                <w:sz w:val="20"/>
              </w:rPr>
              <w:t>ARIA: The ISDA suite is a layered structure — like a legal pyramid. The Master Agreement is the foundation. The Schedule modifies the Master for this specific bilateral relationship. The CSA adds collateral rules on top of the Schedule. The Definitions give precise meaning to product-specific terms. The Confirmation documents the individual trade — referencing all the layers below it. Every trade confirmation is a short document that only makes sense in the context of all the layers beneath it.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IRS confirmation example: Party A — HDFC Bank. Party B — Deutsche Bank. References: 2006 ISDA Definitions. Governed by: ISDA Master Agreement dated 15 March 2019 (as amended by Schedule). Trade: ₹500cr notional, 3Y, fixed 7.25% vs MIBOR.</w:t>
            </w:r>
          </w:p>
        </w:tc>
        <w:tc>
          <w:tcPr>
            <w:tcW w:type="dxa" w:w="2493"/>
          </w:tcPr>
          <w:p>
            <w:pPr>
              <w:jc w:val="center"/>
            </w:pPr>
            <w:r>
              <w:rPr>
                <w:rFonts w:ascii="Calibri" w:hAnsi="Calibri"/>
                <w:b/>
                <w:i w:val="0"/>
                <w:color w:val="007A87"/>
                <w:sz w:val="18"/>
              </w:rPr>
              <w:t>IRS DOCUMENTATION</w:t>
            </w:r>
          </w:p>
        </w:tc>
        <w:tc>
          <w:tcPr>
            <w:tcW w:type="dxa" w:w="2493"/>
          </w:tcPr>
          <w:p>
            <w:r>
              <w:rPr>
                <w:sz w:val="20"/>
              </w:rPr>
              <w:t>KAVI: Real example — HDFC Bank executes an IRS with Deutsche Bank. The Confirmation simply states: Notional: ₹500 crore. Fixed Rate: 7.25%. Floating Rate: 3-month MIBOR. Effective Date: 2 days hence. Maturity: 3 years. Day Count: Actual/365. Payment Frequency: Quarterly. Governing Agreement: ISDA Master dated 15 March 2019, as amended by Schedule. Definitions: 2006 ISDA Definitions. The confirmation is one page — because 100 pages of legal terms are already pre-agreed in the Master and Schedule.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Schedule election: threshold amounts — Party A threshold ₹50 crore, Party B threshold ₹75 crore. CSA election: eligible collateral — cash INR, G-Secs. Minimum Transfer Amount: ₹1 crore.</w:t>
            </w:r>
          </w:p>
        </w:tc>
        <w:tc>
          <w:tcPr>
            <w:tcW w:type="dxa" w:w="2493"/>
          </w:tcPr>
          <w:p>
            <w:pPr>
              <w:jc w:val="center"/>
            </w:pPr>
            <w:r>
              <w:rPr>
                <w:rFonts w:ascii="Calibri" w:hAnsi="Calibri"/>
                <w:b/>
                <w:i w:val="0"/>
                <w:color w:val="007A87"/>
                <w:sz w:val="18"/>
              </w:rPr>
              <w:t>SCHEDULE INTERACTION</w:t>
            </w:r>
          </w:p>
        </w:tc>
        <w:tc>
          <w:tcPr>
            <w:tcW w:type="dxa" w:w="2493"/>
          </w:tcPr>
          <w:p>
            <w:r>
              <w:rPr>
                <w:sz w:val="20"/>
              </w:rPr>
              <w:t>RYO: The Schedule elections affect how this IRS relationship works day-to-day. HDFC Bank and Deutsche Bank's Schedule specifies: Credit Support Amount — if Deutsche Bank's total MTM exposure to HDFC exceeds ₹75 crore, HDFC must post collateral. The CSA says eligible collateral includes cash INR and G-Secs. Minimum Transfer Amount is ₹1 crore — neither party needs to transfer collateral unless the margin call exceeds ₹1 crore. These elections are negotiated and form part of the legal documentation for this bilateral relationship.</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Portfolio of 12 trades between HDFC and Deutsche. All governed by one Master Agreement. Single agreement concept visualised.</w:t>
            </w:r>
          </w:p>
        </w:tc>
        <w:tc>
          <w:tcPr>
            <w:tcW w:type="dxa" w:w="2493"/>
          </w:tcPr>
          <w:p>
            <w:pPr>
              <w:jc w:val="center"/>
            </w:pPr>
            <w:r>
              <w:rPr>
                <w:rFonts w:ascii="Calibri" w:hAnsi="Calibri"/>
                <w:b/>
                <w:i w:val="0"/>
                <w:color w:val="007A87"/>
                <w:sz w:val="18"/>
              </w:rPr>
              <w:t>SINGLE AGREEMENT EXAMPLE</w:t>
            </w:r>
          </w:p>
        </w:tc>
        <w:tc>
          <w:tcPr>
            <w:tcW w:type="dxa" w:w="2493"/>
          </w:tcPr>
          <w:p>
            <w:r>
              <w:rPr>
                <w:sz w:val="20"/>
              </w:rPr>
              <w:t>ARIA: Over time, HDFC Bank and Deutsche Bank might execute 12 separate OTC trades — IRS, CCS, FX forwards. Each one gets its own Confirmation. But all 12 are part of one single agreement — the ISDA Master of 15 March 2019. If Deutsche Bank faces financial distress and HDFC Bank needs to terminate, it terminates the single agreement — closing out all 12 trades simultaneously and netting to one amount. This is legally cleaner, faster, and more certain than terminating 12 separate contracts.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Amendment process: parties want to change Schedule threshold amounts. Legal teams draft amendment. Both parties sign. Effective date noted. New thresholds apply to all future trades.</w:t>
            </w:r>
          </w:p>
        </w:tc>
        <w:tc>
          <w:tcPr>
            <w:tcW w:type="dxa" w:w="2493"/>
          </w:tcPr>
          <w:p>
            <w:pPr>
              <w:jc w:val="center"/>
            </w:pPr>
            <w:r>
              <w:rPr>
                <w:rFonts w:ascii="Calibri" w:hAnsi="Calibri"/>
                <w:b/>
                <w:i w:val="0"/>
                <w:color w:val="007A87"/>
                <w:sz w:val="18"/>
              </w:rPr>
              <w:t>AMENDMENT PROCESS</w:t>
            </w:r>
          </w:p>
        </w:tc>
        <w:tc>
          <w:tcPr>
            <w:tcW w:type="dxa" w:w="2493"/>
          </w:tcPr>
          <w:p>
            <w:r>
              <w:rPr>
                <w:sz w:val="20"/>
              </w:rPr>
              <w:t>MOTION: The ISDA suite can be amended. If HDFC Bank and Deutsche Bank want to change their threshold amounts after a change in HDFC's credit rating, their legal teams draft an amendment letter. Both parties sign. The amendment letter becomes part of the Schedule going forward — all future trades under this Master use the new thresholds. Historical trades are governed by whichever version was in effect when they were executed. Tracking ISDA documentation versions is an important operational responsibility — operations teams must know which Schedule applies to each trade date.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ISDA layered architecture: Master → Schedule → CSA → Definitions → Confirmation. All trades under one single agreement.</w:t>
            </w:r>
          </w:p>
        </w:tc>
        <w:tc>
          <w:tcPr>
            <w:tcW w:type="dxa" w:w="2493"/>
          </w:tcPr>
          <w:p>
            <w:pPr>
              <w:jc w:val="center"/>
            </w:pPr>
            <w:r>
              <w:rPr>
                <w:rFonts w:ascii="Calibri" w:hAnsi="Calibri"/>
                <w:b/>
                <w:i w:val="0"/>
                <w:color w:val="007A87"/>
                <w:sz w:val="18"/>
              </w:rPr>
              <w:t>RECAP F10 2 V3</w:t>
            </w:r>
          </w:p>
        </w:tc>
        <w:tc>
          <w:tcPr>
            <w:tcW w:type="dxa" w:w="2493"/>
          </w:tcPr>
          <w:p>
            <w:r>
              <w:rPr>
                <w:sz w:val="20"/>
              </w:rPr>
              <w:t>KAVI: The ISDA suite operates as a hierarchy: Master (universal foundation), Schedule (bilateral modifications), CSA (collateral), Definitions (product terms), Confirmation (trade specifics). RYO: The single agreement concept means all trades under one Master are legally one contract — enabling efficient close-out netting. Next: F10.3 — Events of Default and Termination Events — what triggers early termination and how close-out netting works in practice.</w:t>
            </w:r>
          </w:p>
        </w:tc>
      </w:tr>
    </w:tbl>
    <w:p/>
    <w:p>
      <w:r>
        <w:rPr>
          <w:rFonts w:ascii="Calibri" w:hAnsi="Calibri"/>
          <w:b/>
          <w:i w:val="0"/>
          <w:color w:val="007A87"/>
          <w:sz w:val="20"/>
        </w:rPr>
        <w:t xml:space="preserve">▶ Transition: </w:t>
      </w:r>
      <w:r>
        <w:rPr>
          <w:rFonts w:ascii="Calibri" w:hAnsi="Calibri"/>
          <w:b w:val="0"/>
          <w:i/>
          <w:color w:val="404040"/>
          <w:sz w:val="20"/>
        </w:rPr>
        <w:t>Next — F10.3 Video 1: Events of Default</w:t>
      </w:r>
    </w:p>
    <w:p/>
    <w:p>
      <w:pPr>
        <w:pStyle w:val="Heading1"/>
      </w:pPr>
      <w:r>
        <w:rPr>
          <w:color w:val="101C4F"/>
        </w:rPr>
        <w:t>F10.3: Events of Default and Termination Events</w:t>
      </w:r>
    </w:p>
    <w:p>
      <w:r>
        <w:rPr>
          <w:rFonts w:ascii="Calibri" w:hAnsi="Calibri"/>
          <w:b/>
          <w:i w:val="0"/>
          <w:color w:val="007A87"/>
          <w:sz w:val="22"/>
        </w:rPr>
        <w:t xml:space="preserve">Competency Statement: </w:t>
      </w:r>
      <w:r>
        <w:rPr>
          <w:rFonts w:ascii="Calibri" w:hAnsi="Calibri"/>
          <w:b w:val="0"/>
          <w:i w:val="0"/>
          <w:sz w:val="22"/>
        </w:rPr>
        <w:t>Identify the Events of Default and Termination Events under the ISDA Master Agreement, describe how each triggers early termination, and explain the close-out netting process and calculation of the termination payment.</w:t>
      </w:r>
    </w:p>
    <w:p/>
    <w:p>
      <w:pPr>
        <w:spacing w:before="120"/>
        <w:shd w:val="clear" w:color="auto" w:fill="101C4F"/>
      </w:pPr>
      <w:r>
        <w:rPr>
          <w:rFonts w:ascii="Calibri" w:hAnsi="Calibri"/>
          <w:b/>
          <w:i w:val="0"/>
          <w:color w:val="FFFFFF"/>
          <w:sz w:val="24"/>
        </w:rPr>
        <w:t xml:space="preserve">  F10.3: Events of Default and Termination Events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Events of Default and Termination Events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the Events of Default and Termination Events under the ISDA Master Agreement, describe how each triggers early termination, and explain the close-out netting process and calculation of the termination payment.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Events of Default and list the main categories under the ISDA Master Agreement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list the eight Events of Default under the ISDA Master Agreement and explain what each means in practice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F10.2 Video 3: ISDA Suite Working Together</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F10.3 Video 2: Termination Events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Warning alarm on a trading screen: counterparty fails to make a scheduled payment. Legal team notified. Close-out process begins.</w:t>
            </w:r>
          </w:p>
        </w:tc>
        <w:tc>
          <w:tcPr>
            <w:tcW w:type="dxa" w:w="2493"/>
          </w:tcPr>
          <w:p>
            <w:pPr>
              <w:jc w:val="center"/>
            </w:pPr>
            <w:r>
              <w:rPr>
                <w:rFonts w:ascii="Calibri" w:hAnsi="Calibri"/>
                <w:b/>
                <w:i w:val="0"/>
                <w:color w:val="007A87"/>
                <w:sz w:val="18"/>
              </w:rPr>
              <w:t>EOD INTRO</w:t>
            </w:r>
          </w:p>
        </w:tc>
        <w:tc>
          <w:tcPr>
            <w:tcW w:type="dxa" w:w="2493"/>
          </w:tcPr>
          <w:p>
            <w:r>
              <w:rPr>
                <w:sz w:val="20"/>
              </w:rPr>
              <w:t>KAVI: An Event of Default is a circumstance — usually caused by one party's own actions or failures — that gives the other party the right to terminate all outstanding trades early and demand a net settlement payment. Events of Default are the ISDA framework's enforcement mechanism: they ensure that a counterparty cannot simply stop performing its obligations without consequences.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Three EOD cards: 1. Failure to Pay or Deliver — party misses a payment obligation. 2. Breach of Agreement — party violates a covenant. 3. Credit Support Default — party fails to post collateral under CSA.</w:t>
            </w:r>
          </w:p>
        </w:tc>
        <w:tc>
          <w:tcPr>
            <w:tcW w:type="dxa" w:w="2493"/>
          </w:tcPr>
          <w:p>
            <w:pPr>
              <w:jc w:val="center"/>
            </w:pPr>
            <w:r>
              <w:rPr>
                <w:rFonts w:ascii="Calibri" w:hAnsi="Calibri"/>
                <w:b/>
                <w:i w:val="0"/>
                <w:color w:val="007A87"/>
                <w:sz w:val="18"/>
              </w:rPr>
              <w:t>EOD 1 TO 3</w:t>
            </w:r>
          </w:p>
        </w:tc>
        <w:tc>
          <w:tcPr>
            <w:tcW w:type="dxa" w:w="2493"/>
          </w:tcPr>
          <w:p>
            <w:r>
              <w:rPr>
                <w:sz w:val="20"/>
              </w:rPr>
              <w:t>RYO: Event of Default 1 — Failure to Pay or Deliver: the most common. A counterparty misses a scheduled payment (e.g., the quarterly IRS coupon) or fails to deliver securities (e.g., G-Sec collateral under the CSA). There is a cure period — typically 1–3 business days — to allow for operational errors before the EOD is triggered. Event of Default 2 — Breach of Agreement: the party violates a representation or covenant — for example, failing to maintain required regulatory authorisations. Event of Default 3 — Credit Support Default: failure to post collateral under the CSA when required, or misuse of delivered collateral.</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more EOD cards: 4. Misrepresentation — a representation proves false. 5. Default under Specified Transaction — default on a related transaction. 6. Cross Default — default on any material financial obligation above a threshold.</w:t>
            </w:r>
          </w:p>
        </w:tc>
        <w:tc>
          <w:tcPr>
            <w:tcW w:type="dxa" w:w="2493"/>
          </w:tcPr>
          <w:p>
            <w:pPr>
              <w:jc w:val="center"/>
            </w:pPr>
            <w:r>
              <w:rPr>
                <w:rFonts w:ascii="Calibri" w:hAnsi="Calibri"/>
                <w:b/>
                <w:i w:val="0"/>
                <w:color w:val="007A87"/>
                <w:sz w:val="18"/>
              </w:rPr>
              <w:t>EOD 4 TO 6</w:t>
            </w:r>
          </w:p>
        </w:tc>
        <w:tc>
          <w:tcPr>
            <w:tcW w:type="dxa" w:w="2493"/>
          </w:tcPr>
          <w:p>
            <w:r>
              <w:rPr>
                <w:sz w:val="20"/>
              </w:rPr>
              <w:t>ARIA: Event of Default 4 — Misrepresentation: a representation made by the party at trade inception proves to have been materially false. For example, representing that no litigation was pending when in fact a major claim existed. Event of Default 5 — Default under Specified Transaction: if the party defaults on another derivative or financial transaction explicitly listed in the Schedule as a 'Specified Transaction'. Event of Default 6 — Cross Default: if the party defaults on any other material financial obligation above a threshold amount specified in the Schedule. This prevents a party from selectively defaulting on ISDA trades while continuing to perform on loans.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Final two EOD cards: 7. Bankruptcy — insolvency proceedings. 8. Merger Without Assumption — entity merges but successor doesn't assume ISDA obligations.</w:t>
            </w:r>
          </w:p>
        </w:tc>
        <w:tc>
          <w:tcPr>
            <w:tcW w:type="dxa" w:w="2493"/>
          </w:tcPr>
          <w:p>
            <w:pPr>
              <w:jc w:val="center"/>
            </w:pPr>
            <w:r>
              <w:rPr>
                <w:rFonts w:ascii="Calibri" w:hAnsi="Calibri"/>
                <w:b/>
                <w:i w:val="0"/>
                <w:color w:val="007A87"/>
                <w:sz w:val="18"/>
              </w:rPr>
              <w:t>EOD 7 TO 8</w:t>
            </w:r>
          </w:p>
        </w:tc>
        <w:tc>
          <w:tcPr>
            <w:tcW w:type="dxa" w:w="2493"/>
          </w:tcPr>
          <w:p>
            <w:r>
              <w:rPr>
                <w:sz w:val="20"/>
              </w:rPr>
              <w:t>KAVI: Event of Default 7 — Bankruptcy: the broadest and most severe. Triggered by: filing for bankruptcy or insolvency, appointment of a liquidator, inability to pay debts as they fall due, or any equivalent insolvency event. This is automatically triggered — no cure period. Event of Default 8 — Merger Without Assumption: if a party undergoes a merger or corporate reorganisation but the successor entity does not assume the ISDA obligations. This protects against a counterparty restructuring away from its derivatives obligations. In India: IBC (Insolvency and Bankruptcy Code) provisions interact with ISDA's bankruptcy provisions — recent amendments have improved netting enforceability for CCIL-cleared trades.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Grace periods table: Failure to Pay — 1 business day grace. Breach of Agreement — 30 days cure period. Cross Default — immediate (no grace). Bankruptcy — immediate (automatic termination option).</w:t>
            </w:r>
          </w:p>
        </w:tc>
        <w:tc>
          <w:tcPr>
            <w:tcW w:type="dxa" w:w="2493"/>
          </w:tcPr>
          <w:p>
            <w:pPr>
              <w:jc w:val="center"/>
            </w:pPr>
            <w:r>
              <w:rPr>
                <w:rFonts w:ascii="Calibri" w:hAnsi="Calibri"/>
                <w:b/>
                <w:i w:val="0"/>
                <w:color w:val="007A87"/>
                <w:sz w:val="18"/>
              </w:rPr>
              <w:t>GRACE PERIODS</w:t>
            </w:r>
          </w:p>
        </w:tc>
        <w:tc>
          <w:tcPr>
            <w:tcW w:type="dxa" w:w="2493"/>
          </w:tcPr>
          <w:p>
            <w:r>
              <w:rPr>
                <w:sz w:val="20"/>
              </w:rPr>
              <w:t>MOTION: Grace periods matter operationally. Not every missed payment is an Event of Default — most contracts allow 1 business day for operational errors. This means the operations team has one day to identify and correct a payment failure before the legal machinery of the ISDA Master kicks in. Operations teams must monitor payment obligations daily — a missed payment spotted same-day can often be cured without triggering an EOD. A missed payment discovered after the grace period has expired means the non-defaulting party can terminate all trades.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Eight EODs: Failure to Pay, Breach of Agreement, Credit Support Default, Misrepresentation, Specified Transaction Default, Cross Default, Bankruptcy, Merger Without Assumption.</w:t>
            </w:r>
          </w:p>
        </w:tc>
        <w:tc>
          <w:tcPr>
            <w:tcW w:type="dxa" w:w="2493"/>
          </w:tcPr>
          <w:p>
            <w:pPr>
              <w:jc w:val="center"/>
            </w:pPr>
            <w:r>
              <w:rPr>
                <w:rFonts w:ascii="Calibri" w:hAnsi="Calibri"/>
                <w:b/>
                <w:i w:val="0"/>
                <w:color w:val="007A87"/>
                <w:sz w:val="18"/>
              </w:rPr>
              <w:t>RECAP F10 3 V1</w:t>
            </w:r>
          </w:p>
        </w:tc>
        <w:tc>
          <w:tcPr>
            <w:tcW w:type="dxa" w:w="2493"/>
          </w:tcPr>
          <w:p>
            <w:r>
              <w:rPr>
                <w:sz w:val="20"/>
              </w:rPr>
              <w:t>RYO: Eight Events of Default — from simple missed payments to full bankruptcy. Each gives the non-defaulting party the right to terminate the entire ISDA relationship. ARIA: In Video 2 we cover Termination Events — which differ from EODs because they're caused by external circumstances, not one party's fault — and how they're handled differently under the Master Agreement.</w:t>
            </w:r>
          </w:p>
        </w:tc>
      </w:tr>
    </w:tbl>
    <w:p/>
    <w:p>
      <w:r>
        <w:rPr>
          <w:rFonts w:ascii="Calibri" w:hAnsi="Calibri"/>
          <w:b/>
          <w:i w:val="0"/>
          <w:color w:val="007A87"/>
          <w:sz w:val="20"/>
        </w:rPr>
        <w:t xml:space="preserve">▶ Transition: </w:t>
      </w:r>
      <w:r>
        <w:rPr>
          <w:rFonts w:ascii="Calibri" w:hAnsi="Calibri"/>
          <w:b w:val="0"/>
          <w:i/>
          <w:color w:val="404040"/>
          <w:sz w:val="20"/>
        </w:rPr>
        <w:t>Next — F10.3 Video 2: Termination Events</w:t>
      </w:r>
    </w:p>
    <w:p/>
    <w:p>
      <w:pPr>
        <w:spacing w:before="120"/>
        <w:shd w:val="clear" w:color="auto" w:fill="101C4F"/>
      </w:pPr>
      <w:r>
        <w:rPr>
          <w:rFonts w:ascii="Calibri" w:hAnsi="Calibri"/>
          <w:b/>
          <w:i w:val="0"/>
          <w:color w:val="FFFFFF"/>
          <w:sz w:val="24"/>
        </w:rPr>
        <w:t xml:space="preserve">  F10.3: Events of Default and Termination Events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Events of Default and Termination Events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the Events of Default and Termination Events under the ISDA Master Agreement, describe how each triggers early termination, and explain the close-out netting process and calculation of the termination payment.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Distinguish Termination Events from Events of Default and apply the close-out process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distinguish Termination Events from Events of Default, list the main Termination Events, and describe the close-out process that follows either type of event</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F10.3 Video 1: Events of Default</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F10.3 Video 3: Close-Out Netting Calculation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Side-by-side: EOD (one party's fault — defaulting party) vs Termination Event (external circumstance — affected party). Different remedies.</w:t>
            </w:r>
          </w:p>
        </w:tc>
        <w:tc>
          <w:tcPr>
            <w:tcW w:type="dxa" w:w="2493"/>
          </w:tcPr>
          <w:p>
            <w:pPr>
              <w:jc w:val="center"/>
            </w:pPr>
            <w:r>
              <w:rPr>
                <w:rFonts w:ascii="Calibri" w:hAnsi="Calibri"/>
                <w:b/>
                <w:i w:val="0"/>
                <w:color w:val="007A87"/>
                <w:sz w:val="18"/>
              </w:rPr>
              <w:t>TE INTRO</w:t>
            </w:r>
          </w:p>
        </w:tc>
        <w:tc>
          <w:tcPr>
            <w:tcW w:type="dxa" w:w="2493"/>
          </w:tcPr>
          <w:p>
            <w:r>
              <w:rPr>
                <w:sz w:val="20"/>
              </w:rPr>
              <w:t>ARIA: Termination Events differ from Events of Default in a fundamental way: they are not caused by a party's failure or misconduct. Instead, they result from changed circumstances — legal, tax, or structural — that make it impractical or uneconomic to continue the trade. Because neither party is at fault, the remedies are different: both parties share more equally in the termination process, rather than the 'defaulting vs non-defaulting' structure of an EOD.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Termination Event 1 — Illegality: new law or regulation makes it unlawful to perform obligations under the trade. Example: regulatory restriction on specific OTC product for Indian banks.</w:t>
            </w:r>
          </w:p>
        </w:tc>
        <w:tc>
          <w:tcPr>
            <w:tcW w:type="dxa" w:w="2493"/>
          </w:tcPr>
          <w:p>
            <w:pPr>
              <w:jc w:val="center"/>
            </w:pPr>
            <w:r>
              <w:rPr>
                <w:rFonts w:ascii="Calibri" w:hAnsi="Calibri"/>
                <w:b/>
                <w:i w:val="0"/>
                <w:color w:val="007A87"/>
                <w:sz w:val="18"/>
              </w:rPr>
              <w:t>TE ILLEGALITY</w:t>
            </w:r>
          </w:p>
        </w:tc>
        <w:tc>
          <w:tcPr>
            <w:tcW w:type="dxa" w:w="2493"/>
          </w:tcPr>
          <w:p>
            <w:r>
              <w:rPr>
                <w:sz w:val="20"/>
              </w:rPr>
              <w:t>KAVI: Termination Event 1 — Illegality. If a new law or regulation makes it illegal for a party to perform its obligations under a trade, either party can terminate the affected trade. Example: if RBI were to prohibit Indian banks from holding certain OTC derivative exposures, this could trigger Illegality for those trades. In practice, RBI communications about permitted OTC products for Indian banks must be monitored by the compliance and operations teams — any new restriction could constitute an Illegality Termination Event for existing trades.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Termination Event 2 — Tax Event: change in tax law causes a party to be required to make gross-up payments that it wasn't required to make at inception. TE 3 — Force Majeure: Act of God, war, natural disaster makes performance impossible.</w:t>
            </w:r>
          </w:p>
        </w:tc>
        <w:tc>
          <w:tcPr>
            <w:tcW w:type="dxa" w:w="2493"/>
          </w:tcPr>
          <w:p>
            <w:pPr>
              <w:jc w:val="center"/>
            </w:pPr>
            <w:r>
              <w:rPr>
                <w:rFonts w:ascii="Calibri" w:hAnsi="Calibri"/>
                <w:b/>
                <w:i w:val="0"/>
                <w:color w:val="007A87"/>
                <w:sz w:val="18"/>
              </w:rPr>
              <w:t>TE TAX AND FORCE</w:t>
            </w:r>
          </w:p>
        </w:tc>
        <w:tc>
          <w:tcPr>
            <w:tcW w:type="dxa" w:w="2493"/>
          </w:tcPr>
          <w:p>
            <w:r>
              <w:rPr>
                <w:sz w:val="20"/>
              </w:rPr>
              <w:t>RYO: Termination Event 2 — Tax Event. If a change in tax law means that a party would have to make a tax withholding from its payments (a 'withholding tax') or pay additional amounts to gross up the other party, and this makes the trade uneconomic, either the affected party or both parties can terminate. Termination Event 3 — Force Majeure (in 2002 Master Agreement). Events beyond reasonable control — natural disasters, wars, or systemic failures — that make performance impractical. The 2002 Master introduced this; it wasn't in the 1992 version. COVID-19 tested these provisions extensively in 2020.</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Termination Event 4 — Credit Event Upon Merger: a party's credit quality deteriorates significantly as a result of a merger. TE 5 — Additional Termination Events: custom events specified in the Schedule.</w:t>
            </w:r>
          </w:p>
        </w:tc>
        <w:tc>
          <w:tcPr>
            <w:tcW w:type="dxa" w:w="2493"/>
          </w:tcPr>
          <w:p>
            <w:pPr>
              <w:jc w:val="center"/>
            </w:pPr>
            <w:r>
              <w:rPr>
                <w:rFonts w:ascii="Calibri" w:hAnsi="Calibri"/>
                <w:b/>
                <w:i w:val="0"/>
                <w:color w:val="007A87"/>
                <w:sz w:val="18"/>
              </w:rPr>
              <w:t>TE CREDIT EVENTS</w:t>
            </w:r>
          </w:p>
        </w:tc>
        <w:tc>
          <w:tcPr>
            <w:tcW w:type="dxa" w:w="2493"/>
          </w:tcPr>
          <w:p>
            <w:r>
              <w:rPr>
                <w:sz w:val="20"/>
              </w:rPr>
              <w:t>ARIA: Termination Event 4 — Credit Event Upon Merger. If a merger results in the surviving entity having materially worse creditworthiness than the original counterparty, the other party can terminate. This protects against a counterparty merging with a weaker entity and effectively downgrading the credit quality of the ISDA relationship. Termination Event 5 — Additional Termination Events. The Schedule can add custom termination events — for example: if a party's credit rating falls below a specified minimum (e.g., below BBB-), the other party can trigger termination. This is extremely common in Indian bank ISDA schedules.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Remedy comparison: EOD → non-defaulting party has full right to terminate all trades and choose calculation method. TE → affected party may terminate; both parties share more equally in close-out.</w:t>
            </w:r>
          </w:p>
        </w:tc>
        <w:tc>
          <w:tcPr>
            <w:tcW w:type="dxa" w:w="2493"/>
          </w:tcPr>
          <w:p>
            <w:pPr>
              <w:jc w:val="center"/>
            </w:pPr>
            <w:r>
              <w:rPr>
                <w:rFonts w:ascii="Calibri" w:hAnsi="Calibri"/>
                <w:b/>
                <w:i w:val="0"/>
                <w:color w:val="007A87"/>
                <w:sz w:val="18"/>
              </w:rPr>
              <w:t>EOD VS TE REMEDY</w:t>
            </w:r>
          </w:p>
        </w:tc>
        <w:tc>
          <w:tcPr>
            <w:tcW w:type="dxa" w:w="2493"/>
          </w:tcPr>
          <w:p>
            <w:r>
              <w:rPr>
                <w:sz w:val="20"/>
              </w:rPr>
              <w:t>KAVI: Remedy comparison: Under an EOD, the non-defaulting party is in control — they choose the termination date, they choose the calculation method, and they have the strongest legal position. Under a Termination Event, the affected party has the right to terminate only the trades affected by the event — not necessarily all trades. And both parties must cooperate more in the close-out process, since neither is technically 'at fault'. Operations must understand this distinction — the process for handling a Termination Event is procedurally different from an EOD.</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Termination Events: Illegality, Tax Event, Force Majeure, Credit Event Upon Merger, Additional TEs. Contrast with EODs.</w:t>
            </w:r>
          </w:p>
        </w:tc>
        <w:tc>
          <w:tcPr>
            <w:tcW w:type="dxa" w:w="2493"/>
          </w:tcPr>
          <w:p>
            <w:pPr>
              <w:jc w:val="center"/>
            </w:pPr>
            <w:r>
              <w:rPr>
                <w:rFonts w:ascii="Calibri" w:hAnsi="Calibri"/>
                <w:b/>
                <w:i w:val="0"/>
                <w:color w:val="007A87"/>
                <w:sz w:val="18"/>
              </w:rPr>
              <w:t>RECAP F10 3 V2</w:t>
            </w:r>
          </w:p>
        </w:tc>
        <w:tc>
          <w:tcPr>
            <w:tcW w:type="dxa" w:w="2493"/>
          </w:tcPr>
          <w:p>
            <w:r>
              <w:rPr>
                <w:sz w:val="20"/>
              </w:rPr>
              <w:t>RYO: Termination Events cover external circumstances — illegality, tax changes, force majeure, credit deterioration from merger. MOTION: They differ from EODs in that neither party is at fault, so remedies are more balanced. In Video 3, we calculate a close-out amount — walking through how the terminated trades are valued and netted to a single payment.</w:t>
            </w:r>
          </w:p>
        </w:tc>
      </w:tr>
    </w:tbl>
    <w:p/>
    <w:p>
      <w:r>
        <w:rPr>
          <w:rFonts w:ascii="Calibri" w:hAnsi="Calibri"/>
          <w:b/>
          <w:i w:val="0"/>
          <w:color w:val="007A87"/>
          <w:sz w:val="20"/>
        </w:rPr>
        <w:t xml:space="preserve">▶ Transition: </w:t>
      </w:r>
      <w:r>
        <w:rPr>
          <w:rFonts w:ascii="Calibri" w:hAnsi="Calibri"/>
          <w:b w:val="0"/>
          <w:i/>
          <w:color w:val="404040"/>
          <w:sz w:val="20"/>
        </w:rPr>
        <w:t>Next — F10.3 Video 3: Close-Out Netting Calculation</w:t>
      </w:r>
    </w:p>
    <w:p/>
    <w:p>
      <w:pPr>
        <w:spacing w:before="120"/>
        <w:shd w:val="clear" w:color="auto" w:fill="101C4F"/>
      </w:pPr>
      <w:r>
        <w:rPr>
          <w:rFonts w:ascii="Calibri" w:hAnsi="Calibri"/>
          <w:b/>
          <w:i w:val="0"/>
          <w:color w:val="FFFFFF"/>
          <w:sz w:val="24"/>
        </w:rPr>
        <w:t xml:space="preserve">  F10.3: Events of Default and Termination Events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Events of Default and Termination Events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the Events of Default and Termination Events under the ISDA Master Agreement, describe how each triggers early termination, and explain the close-out netting process and calculation of the termination payment.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Calculate a close-out netting amount and relate the process to credit risk reduction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close-out process step-by-step, calculate a net termination payment given trade MTM values, and explain how close-out netting reduces a defaulting party's credit exposure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F10.3 Video 2: Termination Events</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F10.4 Video 1: The ISDA Schedule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Scenario setup: Bank A has 5 outstanding IRS trades with Bank B. Bank B files for bankruptcy. Bank A must close out all 5 trades.</w:t>
            </w:r>
          </w:p>
        </w:tc>
        <w:tc>
          <w:tcPr>
            <w:tcW w:type="dxa" w:w="2493"/>
          </w:tcPr>
          <w:p>
            <w:pPr>
              <w:jc w:val="center"/>
            </w:pPr>
            <w:r>
              <w:rPr>
                <w:rFonts w:ascii="Calibri" w:hAnsi="Calibri"/>
                <w:b/>
                <w:i w:val="0"/>
                <w:color w:val="007A87"/>
                <w:sz w:val="18"/>
              </w:rPr>
              <w:t>CLOSEOUT INTRO</w:t>
            </w:r>
          </w:p>
        </w:tc>
        <w:tc>
          <w:tcPr>
            <w:tcW w:type="dxa" w:w="2493"/>
          </w:tcPr>
          <w:p>
            <w:r>
              <w:rPr>
                <w:sz w:val="20"/>
              </w:rPr>
              <w:t>ARIA: Let's walk through a close-out netting calculation. Bank A has 5 IRS trades with Bank B. Bank B files for bankruptcy — an automatic Event of Default under the ISDA Master. Bank A is the non-defaulting party. Under Section 6 of the Master Agreement, Bank A designates an Early Termination Date — all 5 trades are terminated as of today. Now Bank A must calculate the Close-Out Amount.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Five IRS trades MTM table: Trade 1 +₹45cr (A owes B), Trade 2 -₹30cr (B owes A), Trade 3 +₹20cr (A owes B), Trade 4 -₹55cr (B owes A), Trade 5 +₹10cr (A owes B). Net: A owes B ₹(45+20+10) = ₹75cr; B owes A ₹(30+55) = ₹85cr. Net termination payment: B owes A ₹10cr.</w:t>
            </w:r>
          </w:p>
        </w:tc>
        <w:tc>
          <w:tcPr>
            <w:tcW w:type="dxa" w:w="2493"/>
          </w:tcPr>
          <w:p>
            <w:pPr>
              <w:jc w:val="center"/>
            </w:pPr>
            <w:r>
              <w:rPr>
                <w:rFonts w:ascii="Calibri" w:hAnsi="Calibri"/>
                <w:b/>
                <w:i w:val="0"/>
                <w:color w:val="007A87"/>
                <w:sz w:val="18"/>
              </w:rPr>
              <w:t>MTM CALCULATION</w:t>
            </w:r>
          </w:p>
        </w:tc>
        <w:tc>
          <w:tcPr>
            <w:tcW w:type="dxa" w:w="2493"/>
          </w:tcPr>
          <w:p>
            <w:r>
              <w:rPr>
                <w:sz w:val="20"/>
              </w:rPr>
              <w:t>KAVI: Step 1 — Calculate the MTM of each terminated trade from Bank A's perspective. Trade 1: +₹45 crore (this trade has positive MTM for Bank B — Bank A owes Bank B ₹45 crore). Trade 2: -₹30 crore (Bank B owes Bank A ₹30 crore). Trade 3: +₹20 crore (Bank A owes Bank B ₹20 crore). Trade 4: -₹55 crore (Bank B owes Bank A ₹55 crore). Trade 5: +₹10 crore (Bank A owes Bank B ₹10 crore). Sum of what Bank A owes Bank B: ₹75 crore. Sum of what Bank B owes Bank A: ₹85 crore.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Netting calculation visual: ₹85cr - ₹75cr = ₹10cr net. Bank B's estate owes Bank A ₹10cr. Single claim filed in bankruptcy proceedings.</w:t>
            </w:r>
          </w:p>
        </w:tc>
        <w:tc>
          <w:tcPr>
            <w:tcW w:type="dxa" w:w="2493"/>
          </w:tcPr>
          <w:p>
            <w:pPr>
              <w:jc w:val="center"/>
            </w:pPr>
            <w:r>
              <w:rPr>
                <w:rFonts w:ascii="Calibri" w:hAnsi="Calibri"/>
                <w:b/>
                <w:i w:val="0"/>
                <w:color w:val="007A87"/>
                <w:sz w:val="18"/>
              </w:rPr>
              <w:t>NET CALCULATION</w:t>
            </w:r>
          </w:p>
        </w:tc>
        <w:tc>
          <w:tcPr>
            <w:tcW w:type="dxa" w:w="2493"/>
          </w:tcPr>
          <w:p>
            <w:r>
              <w:rPr>
                <w:sz w:val="20"/>
              </w:rPr>
              <w:t>RYO: Step 2 — Net the amounts. Bank A owes Bank B ₹75 crore. Bank B owes Bank A ₹85 crore. Net: Bank B's estate owes Bank A ₹10 crore. Without close-out netting: Bank A would owe Bank B's estate ₹75 crore AND be a creditor in Bank B's bankruptcy for ₹85 crore — potentially receiving only cents on the rupee for the ₹85 crore claim while paying the full ₹75 crore. With netting: Bank A has a single, net ₹10 crore claim against Bank B's estate — a far more manageable legal and financial position.</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2002 Master: Close-Out Amount = the non-defaulting party's good faith estimate of the economic equivalent to the terminated trades — using market quotations from dealers or its own internal model.</w:t>
            </w:r>
          </w:p>
        </w:tc>
        <w:tc>
          <w:tcPr>
            <w:tcW w:type="dxa" w:w="2493"/>
          </w:tcPr>
          <w:p>
            <w:pPr>
              <w:jc w:val="center"/>
            </w:pPr>
            <w:r>
              <w:rPr>
                <w:rFonts w:ascii="Calibri" w:hAnsi="Calibri"/>
                <w:b/>
                <w:i w:val="0"/>
                <w:color w:val="007A87"/>
                <w:sz w:val="18"/>
              </w:rPr>
              <w:t>CLOSE OUT AMOUNT CALC</w:t>
            </w:r>
          </w:p>
        </w:tc>
        <w:tc>
          <w:tcPr>
            <w:tcW w:type="dxa" w:w="2493"/>
          </w:tcPr>
          <w:p>
            <w:r>
              <w:rPr>
                <w:sz w:val="20"/>
              </w:rPr>
              <w:t>ARIA: Step 3 — The Close-Out Amount calculation. Under the 2002 ISDA Master, Bank A must calculate the Close-Out Amount in good faith. Methods: (1) Market Quotation — Bank A solicits mid-market quotes from 3–5 reference dealers for replacement trades that replicate the economics of each terminated trade. (2) Internal Valuation — if market quotations are unavailable (e.g., in a market stress event where liquidity has dried up), Bank A uses its own internal valuation model with reference to available market data. The Close-Out Amount must be supported by calculations and documentation — it can be challenged in court by Bank B's liquidators.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Risk reduction graphic: Gross exposure = ₹75cr + ₹85cr = ₹160cr. Net exposure = ₹10cr. Risk reduction = 93.75%.</w:t>
            </w:r>
          </w:p>
        </w:tc>
        <w:tc>
          <w:tcPr>
            <w:tcW w:type="dxa" w:w="2493"/>
          </w:tcPr>
          <w:p>
            <w:pPr>
              <w:jc w:val="center"/>
            </w:pPr>
            <w:r>
              <w:rPr>
                <w:rFonts w:ascii="Calibri" w:hAnsi="Calibri"/>
                <w:b/>
                <w:i w:val="0"/>
                <w:color w:val="007A87"/>
                <w:sz w:val="18"/>
              </w:rPr>
              <w:t>NETTING RISK REDUCTION</w:t>
            </w:r>
          </w:p>
        </w:tc>
        <w:tc>
          <w:tcPr>
            <w:tcW w:type="dxa" w:w="2493"/>
          </w:tcPr>
          <w:p>
            <w:r>
              <w:rPr>
                <w:sz w:val="20"/>
              </w:rPr>
              <w:t>KAVI: The power of close-out netting for risk management: before netting, Bank A's gross exposure to Bank B is ₹160 crore (₹75 crore it could potentially lose if B defaults, plus ₹85 crore of receivables). With netting, the net credit exposure is just ₹10 crore — a 93.75% reduction. This is why regulators (Basel III, RBI) allow banks to calculate capital requirements on a net basis when a legally enforceable ISDA netting agreement is in place — the actual credit risk is the net, not the gross.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Close-out process: terminate all trades → calculate MTM of each → net to single amount → one party pays the other → file single claim if in bankruptcy.</w:t>
            </w:r>
          </w:p>
        </w:tc>
        <w:tc>
          <w:tcPr>
            <w:tcW w:type="dxa" w:w="2493"/>
          </w:tcPr>
          <w:p>
            <w:pPr>
              <w:jc w:val="center"/>
            </w:pPr>
            <w:r>
              <w:rPr>
                <w:rFonts w:ascii="Calibri" w:hAnsi="Calibri"/>
                <w:b/>
                <w:i w:val="0"/>
                <w:color w:val="007A87"/>
                <w:sz w:val="18"/>
              </w:rPr>
              <w:t>RECAP F10 3 V3</w:t>
            </w:r>
          </w:p>
        </w:tc>
        <w:tc>
          <w:tcPr>
            <w:tcW w:type="dxa" w:w="2493"/>
          </w:tcPr>
          <w:p>
            <w:r>
              <w:rPr>
                <w:sz w:val="20"/>
              </w:rPr>
              <w:t>RYO: Close-out netting process: Event of Default triggered → Early Termination Date designated → all trades terminated → MTM calculated for each → netted to one amount → payment made or claim filed. ARIA: Netting dramatically reduces credit exposure — from gross bilateral amounts to a small net. This is the most operationally powerful feature of the ISDA framework. Next: F10.4 — the Schedule — how parties negotiate the specific elections that shape their bilateral ISDA relationship.</w:t>
            </w:r>
          </w:p>
        </w:tc>
      </w:tr>
    </w:tbl>
    <w:p/>
    <w:p>
      <w:r>
        <w:rPr>
          <w:rFonts w:ascii="Calibri" w:hAnsi="Calibri"/>
          <w:b/>
          <w:i w:val="0"/>
          <w:color w:val="007A87"/>
          <w:sz w:val="20"/>
        </w:rPr>
        <w:t xml:space="preserve">▶ Transition: </w:t>
      </w:r>
      <w:r>
        <w:rPr>
          <w:rFonts w:ascii="Calibri" w:hAnsi="Calibri"/>
          <w:b w:val="0"/>
          <w:i/>
          <w:color w:val="404040"/>
          <w:sz w:val="20"/>
        </w:rPr>
        <w:t>Next — F10.4 Video 1: The ISDA Schedule</w:t>
      </w:r>
    </w:p>
    <w:p/>
    <w:p>
      <w:pPr>
        <w:pStyle w:val="Heading1"/>
      </w:pPr>
      <w:r>
        <w:rPr>
          <w:color w:val="101C4F"/>
        </w:rPr>
        <w:t>F10.4: The ISDA Schedule — Party-Specific Modifications</w:t>
      </w:r>
    </w:p>
    <w:p>
      <w:r>
        <w:rPr>
          <w:rFonts w:ascii="Calibri" w:hAnsi="Calibri"/>
          <w:b/>
          <w:i w:val="0"/>
          <w:color w:val="007A87"/>
          <w:sz w:val="22"/>
        </w:rPr>
        <w:t xml:space="preserve">Competency Statement: </w:t>
      </w:r>
      <w:r>
        <w:rPr>
          <w:rFonts w:ascii="Calibri" w:hAnsi="Calibri"/>
          <w:b w:val="0"/>
          <w:i w:val="0"/>
          <w:sz w:val="22"/>
        </w:rPr>
        <w:t>Describe the ISDA Schedule, explain the key elections parties make (threshold amounts, cross-default thresholds, termination currency, specified entities), and identify how Schedule provisions modify the standard Master Agreement.</w:t>
      </w:r>
    </w:p>
    <w:p/>
    <w:p>
      <w:pPr>
        <w:spacing w:before="120"/>
        <w:shd w:val="clear" w:color="auto" w:fill="101C4F"/>
      </w:pPr>
      <w:r>
        <w:rPr>
          <w:rFonts w:ascii="Calibri" w:hAnsi="Calibri"/>
          <w:b/>
          <w:i w:val="0"/>
          <w:color w:val="FFFFFF"/>
          <w:sz w:val="24"/>
        </w:rPr>
        <w:t xml:space="preserve">  F10.4: The ISDA Schedule — Party-Specific Modifications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Schedule — Party-Specific Modifications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ISDA Schedule, explain the key elections parties make (threshold amounts, cross-default thresholds, termination currency, specified entities), and identify how Schedule provisions modify the standard Master Agreement.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the ISDA Schedule and describe its role as the negotiated layer of the Master Agreement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the Schedule is, why it exists, and describe its two main parts — Part 1 (elections) and Part 5 (other provisions)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F10.3 Video 3: Close-Out Netting Calculation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F10.4 Video 2: Key Schedule Elections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Two-column document: left = standard ISDA Master Agreement (grey, pre-printed). Right = Schedule (white, handwritten elections and modifications).</w:t>
            </w:r>
          </w:p>
        </w:tc>
        <w:tc>
          <w:tcPr>
            <w:tcW w:type="dxa" w:w="2493"/>
          </w:tcPr>
          <w:p>
            <w:pPr>
              <w:jc w:val="center"/>
            </w:pPr>
            <w:r>
              <w:rPr>
                <w:rFonts w:ascii="Calibri" w:hAnsi="Calibri"/>
                <w:b/>
                <w:i w:val="0"/>
                <w:color w:val="007A87"/>
                <w:sz w:val="18"/>
              </w:rPr>
              <w:t>SCHEDULE INTRO</w:t>
            </w:r>
          </w:p>
        </w:tc>
        <w:tc>
          <w:tcPr>
            <w:tcW w:type="dxa" w:w="2493"/>
          </w:tcPr>
          <w:p>
            <w:r>
              <w:rPr>
                <w:sz w:val="20"/>
              </w:rPr>
              <w:t>KAVI: The ISDA Master Agreement is a standard pre-printed form — the same globally. The Schedule is the negotiated part. It has two functions: modifying existing provisions of the Master Agreement, and adding new provisions that the Master doesn't cover. The Schedule is unique to each bilateral trading relationship — the Schedule between HDFC Bank and Deutsche Bank will look completely different from the Schedule between HDFC Bank and HSBC.</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Schedule structure: Part 1 (Termination Provisions), Part 2 (Tax Representations), Part 3 (Agreement to Deliver Documents), Part 4 (Miscellaneous), Part 5 (Other Provisions).</w:t>
            </w:r>
          </w:p>
        </w:tc>
        <w:tc>
          <w:tcPr>
            <w:tcW w:type="dxa" w:w="2493"/>
          </w:tcPr>
          <w:p>
            <w:pPr>
              <w:jc w:val="center"/>
            </w:pPr>
            <w:r>
              <w:rPr>
                <w:rFonts w:ascii="Calibri" w:hAnsi="Calibri"/>
                <w:b/>
                <w:i w:val="0"/>
                <w:color w:val="007A87"/>
                <w:sz w:val="18"/>
              </w:rPr>
              <w:t>SCHEDULE STRUCTURE</w:t>
            </w:r>
          </w:p>
        </w:tc>
        <w:tc>
          <w:tcPr>
            <w:tcW w:type="dxa" w:w="2493"/>
          </w:tcPr>
          <w:p>
            <w:r>
              <w:rPr>
                <w:sz w:val="20"/>
              </w:rPr>
              <w:t>RYO: The Schedule is organised into five parts: Part 1 — Termination Provisions: threshold amounts, cross-default provisions, specified entities, termination currency. Part 2 — Tax Representations: withholding tax status, whether parties can gross up payments. Part 3 — Documents to be delivered: KYC documents, legal opinions, financial statements. Part 4 — Miscellaneous: netting confirmation, process agent for service of legal notices. Part 5 — Other Provisions: any additional or custom terms the parties have agreed — often the longest and most negotiated section.</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Why negotiate a Schedule: the Master's default provisions are deliberately broad — they don't specify dollar/rupee thresholds, specific entities, or jurisdiction-specific elections. The Schedule fills these gaps.</w:t>
            </w:r>
          </w:p>
        </w:tc>
        <w:tc>
          <w:tcPr>
            <w:tcW w:type="dxa" w:w="2493"/>
          </w:tcPr>
          <w:p>
            <w:pPr>
              <w:jc w:val="center"/>
            </w:pPr>
            <w:r>
              <w:rPr>
                <w:rFonts w:ascii="Calibri" w:hAnsi="Calibri"/>
                <w:b/>
                <w:i w:val="0"/>
                <w:color w:val="007A87"/>
                <w:sz w:val="18"/>
              </w:rPr>
              <w:t>WHY SCHEDULE</w:t>
            </w:r>
          </w:p>
        </w:tc>
        <w:tc>
          <w:tcPr>
            <w:tcW w:type="dxa" w:w="2493"/>
          </w:tcPr>
          <w:p>
            <w:r>
              <w:rPr>
                <w:sz w:val="20"/>
              </w:rPr>
              <w:t>ARIA: Why does the Schedule exist? The Master Agreement is intentionally generic — it can't know the credit profiles of HDFC Bank and Deutsche Bank, their preferred termination currencies, or their specific regulatory environments. The Schedule is where parties make it specific. Critical elections in Part 1 that affect every trade: the Threshold Amount — how much credit exposure a party can have before collateral is required. The Termination Currency — which currency is used for close-out calculations. Specified Entities — which affiliates of each party are covered by cross-default provisions.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Schedule negotiation timeline: term sheet → internal credit approval → legal review → external counsel negotiation → credit limit approval → signing. Typically 4–12 weeks.</w:t>
            </w:r>
          </w:p>
        </w:tc>
        <w:tc>
          <w:tcPr>
            <w:tcW w:type="dxa" w:w="2493"/>
          </w:tcPr>
          <w:p>
            <w:pPr>
              <w:jc w:val="center"/>
            </w:pPr>
            <w:r>
              <w:rPr>
                <w:rFonts w:ascii="Calibri" w:hAnsi="Calibri"/>
                <w:b/>
                <w:i w:val="0"/>
                <w:color w:val="007A87"/>
                <w:sz w:val="18"/>
              </w:rPr>
              <w:t>NEGOTIATION PROCESS</w:t>
            </w:r>
          </w:p>
        </w:tc>
        <w:tc>
          <w:tcPr>
            <w:tcW w:type="dxa" w:w="2493"/>
          </w:tcPr>
          <w:p>
            <w:r>
              <w:rPr>
                <w:sz w:val="20"/>
              </w:rPr>
              <w:t>KAVI: The Schedule negotiation process is lengthy — 4 to 12 weeks for a new ISDA relationship. Internal credit team approves the credit limit and threshold amounts. Legal counsel drafts the Schedule. Both parties' external counsel review and negotiate disputed provisions. Credit committee formally approves the final terms. Both parties sign. This means OTC trading with a new counterparty cannot begin until the full ISDA suite — Master, Schedule, and usually CSA — is in place. The operations team must track ISDA documentation status for all active and potential counterparties.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ISDA documentation status dashboard: 47 active ISDA Masters. 5 in negotiation. 3 pending renewal (Schedule amendments needed due to credit rating changes). 2 expired — trading suspended.</w:t>
            </w:r>
          </w:p>
        </w:tc>
        <w:tc>
          <w:tcPr>
            <w:tcW w:type="dxa" w:w="2493"/>
          </w:tcPr>
          <w:p>
            <w:pPr>
              <w:jc w:val="center"/>
            </w:pPr>
            <w:r>
              <w:rPr>
                <w:rFonts w:ascii="Calibri" w:hAnsi="Calibri"/>
                <w:b/>
                <w:i w:val="0"/>
                <w:color w:val="007A87"/>
                <w:sz w:val="18"/>
              </w:rPr>
              <w:t>SCHEDULE STATUS TRACKING</w:t>
            </w:r>
          </w:p>
        </w:tc>
        <w:tc>
          <w:tcPr>
            <w:tcW w:type="dxa" w:w="2493"/>
          </w:tcPr>
          <w:p>
            <w:r>
              <w:rPr>
                <w:sz w:val="20"/>
              </w:rPr>
              <w:t>MOTION: ISDA documentation management is an ongoing operations responsibility. A well-run operations team maintains a status tracker for all ISDA relationships: active (signed, trading allowed), in negotiation (not yet signed, no trading), pending amendment (Schedule changes in progress), and expired or suspended. When a counterparty's credit rating changes, the Schedule may need to be amended to reflect new threshold amounts. When a regulatory requirement changes — such as new initial margin rules — the Schedule and CSA must be updated. Failure to track documentation status can result in trading with an expired or inadequate ISDA arrangement.</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Schedule: the negotiated layer. Five parts — termination provisions, tax, documents, miscellaneous, other provisions. 4–12 weeks to negotiate.</w:t>
            </w:r>
          </w:p>
        </w:tc>
        <w:tc>
          <w:tcPr>
            <w:tcW w:type="dxa" w:w="2493"/>
          </w:tcPr>
          <w:p>
            <w:pPr>
              <w:jc w:val="center"/>
            </w:pPr>
            <w:r>
              <w:rPr>
                <w:rFonts w:ascii="Calibri" w:hAnsi="Calibri"/>
                <w:b/>
                <w:i w:val="0"/>
                <w:color w:val="007A87"/>
                <w:sz w:val="18"/>
              </w:rPr>
              <w:t>RECAP F10 4 V1</w:t>
            </w:r>
          </w:p>
        </w:tc>
        <w:tc>
          <w:tcPr>
            <w:tcW w:type="dxa" w:w="2493"/>
          </w:tcPr>
          <w:p>
            <w:r>
              <w:rPr>
                <w:sz w:val="20"/>
              </w:rPr>
              <w:t>RYO: The Schedule is the bilateral, negotiated part of the ISDA suite. It modifies and adds to the standard Master through five parts — with Part 1 (termination provisions) and Part 5 (other provisions) being the most substantive. ARIA: In Video 2 we walk through the most critical Schedule elections — the ones that determine how much credit risk each party takes and what triggers early termination.</w:t>
            </w:r>
          </w:p>
        </w:tc>
      </w:tr>
    </w:tbl>
    <w:p/>
    <w:p>
      <w:r>
        <w:rPr>
          <w:rFonts w:ascii="Calibri" w:hAnsi="Calibri"/>
          <w:b/>
          <w:i w:val="0"/>
          <w:color w:val="007A87"/>
          <w:sz w:val="20"/>
        </w:rPr>
        <w:t xml:space="preserve">▶ Transition: </w:t>
      </w:r>
      <w:r>
        <w:rPr>
          <w:rFonts w:ascii="Calibri" w:hAnsi="Calibri"/>
          <w:b w:val="0"/>
          <w:i/>
          <w:color w:val="404040"/>
          <w:sz w:val="20"/>
        </w:rPr>
        <w:t>Next — F10.4 Video 2: Key Schedule Elections</w:t>
      </w:r>
    </w:p>
    <w:p/>
    <w:p>
      <w:pPr>
        <w:spacing w:before="120"/>
        <w:shd w:val="clear" w:color="auto" w:fill="101C4F"/>
      </w:pPr>
      <w:r>
        <w:rPr>
          <w:rFonts w:ascii="Calibri" w:hAnsi="Calibri"/>
          <w:b/>
          <w:i w:val="0"/>
          <w:color w:val="FFFFFF"/>
          <w:sz w:val="24"/>
        </w:rPr>
        <w:t xml:space="preserve">  F10.4: The ISDA Schedule — Party-Specific Modifications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Schedule — Party-Specific Modifications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ISDA Schedule, explain the key elections parties make (threshold amounts, cross-default thresholds, termination currency, specified entities), and identify how Schedule provisions modify the standard Master Agreement.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Identify and interpret key Schedule elections and explain their credit and operational impact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Threshold Amounts, Cross-Default thresholds, Specified Entities, and Termination Currency elections and describe their operational significance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F10.4 Video 1: Schedule Structure</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F10.4 Video 3: Schedule Negotiation in Practice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Threshold Amount definition and example: Party A (HDFC Bank) threshold = ₹100cr. Party B (Deutsche Bank) threshold = ₹75cr. Interpretation: Deutsche can have up to ₹75cr MTM exposure to HDFC before HDFC must post collateral.</w:t>
            </w:r>
          </w:p>
        </w:tc>
        <w:tc>
          <w:tcPr>
            <w:tcW w:type="dxa" w:w="2493"/>
          </w:tcPr>
          <w:p>
            <w:pPr>
              <w:jc w:val="center"/>
            </w:pPr>
            <w:r>
              <w:rPr>
                <w:rFonts w:ascii="Calibri" w:hAnsi="Calibri"/>
                <w:b/>
                <w:i w:val="0"/>
                <w:color w:val="007A87"/>
                <w:sz w:val="18"/>
              </w:rPr>
              <w:t>THRESHOLD AMOUNTS</w:t>
            </w:r>
          </w:p>
        </w:tc>
        <w:tc>
          <w:tcPr>
            <w:tcW w:type="dxa" w:w="2493"/>
          </w:tcPr>
          <w:p>
            <w:r>
              <w:rPr>
                <w:sz w:val="20"/>
              </w:rPr>
              <w:t>ARIA: Threshold Amount — the most important credit election in the Schedule. The Threshold Amount defines how much uncollateralised exposure each party can have to the other. If HDFC Bank's threshold is ₹100 crore: Deutsche Bank can build up to ₹100 crore of positive MTM exposure to HDFC before HDFC has to post collateral. If the exposure exceeds ₹100 crore, HDFC must post collateral equal to the excess. Thresholds reflect credit quality — a higher-rated counterparty gets a higher threshold. Thresholds change when credit ratings change — a downgrade may trigger a threshold reduction, requiring immediate collateral posting.</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Cross-Default provision: threshold amount ₹500cr. If HDFC Bank defaults on any financial obligation above ₹500cr, Deutsche Bank can trigger an Event of Default under the ISDA Master.</w:t>
            </w:r>
          </w:p>
        </w:tc>
        <w:tc>
          <w:tcPr>
            <w:tcW w:type="dxa" w:w="2493"/>
          </w:tcPr>
          <w:p>
            <w:pPr>
              <w:jc w:val="center"/>
            </w:pPr>
            <w:r>
              <w:rPr>
                <w:rFonts w:ascii="Calibri" w:hAnsi="Calibri"/>
                <w:b/>
                <w:i w:val="0"/>
                <w:color w:val="007A87"/>
                <w:sz w:val="18"/>
              </w:rPr>
              <w:t>CROSS DEFAULT</w:t>
            </w:r>
          </w:p>
        </w:tc>
        <w:tc>
          <w:tcPr>
            <w:tcW w:type="dxa" w:w="2493"/>
          </w:tcPr>
          <w:p>
            <w:r>
              <w:rPr>
                <w:sz w:val="20"/>
              </w:rPr>
              <w:t>KAVI: Cross-Default — one of the most powerful provisions in the Schedule. If Party A defaults on any financial obligation above the Cross-Default Threshold amount — not just ISDA trades, but any loan, bond, or financial contract — Party B can treat this as an Event of Default under the ISDA Master. Why it matters: prevents a counterparty from selectively honouring ISDA obligations while defaulting on loans. Operations must monitor publicly available default notices, rating actions, and news for all ISDA counterparties — a cross-default trigger on a counterparty's loan can create an ISDA Event of Default even if the counterparty hasn't missed any ISDA payment.</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Specified Entities: affiliates listed in Schedule whose defaults or bankruptcies can trigger EODs or TEs for the main party. Example: Lehman Brothers Holdings Inc. and its affiliates.</w:t>
            </w:r>
          </w:p>
        </w:tc>
        <w:tc>
          <w:tcPr>
            <w:tcW w:type="dxa" w:w="2493"/>
          </w:tcPr>
          <w:p>
            <w:pPr>
              <w:jc w:val="center"/>
            </w:pPr>
            <w:r>
              <w:rPr>
                <w:rFonts w:ascii="Calibri" w:hAnsi="Calibri"/>
                <w:b/>
                <w:i w:val="0"/>
                <w:color w:val="007A87"/>
                <w:sz w:val="18"/>
              </w:rPr>
              <w:t>SPECIFIED ENTITIES</w:t>
            </w:r>
          </w:p>
        </w:tc>
        <w:tc>
          <w:tcPr>
            <w:tcW w:type="dxa" w:w="2493"/>
          </w:tcPr>
          <w:p>
            <w:r>
              <w:rPr>
                <w:sz w:val="20"/>
              </w:rPr>
              <w:t>RYO: Specified Entities are affiliates of each party whose financial difficulties can trigger Events of Default or Termination Events for the main counterparty. Example: if Deutsche Bank AG is the ISDA counterparty but Deutsche Bank India is listed as a Specified Entity, a default by Deutsche Bank India could trigger an EOD for Deutsche Bank AG's ISDA obligations. This is critically important for global banks with complex group structures — understanding which entities are Specified Entities determines how widely the cross-default provision can reach within a group.</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Termination Currency election: USD vs EUR vs INR. The currency in which the Close-Out Amount is calculated and paid. Practical implications for basis risk and FX exposure.</w:t>
            </w:r>
          </w:p>
        </w:tc>
        <w:tc>
          <w:tcPr>
            <w:tcW w:type="dxa" w:w="2493"/>
          </w:tcPr>
          <w:p>
            <w:pPr>
              <w:jc w:val="center"/>
            </w:pPr>
            <w:r>
              <w:rPr>
                <w:rFonts w:ascii="Calibri" w:hAnsi="Calibri"/>
                <w:b/>
                <w:i w:val="0"/>
                <w:color w:val="007A87"/>
                <w:sz w:val="18"/>
              </w:rPr>
              <w:t>TERMINATION CURRENCY</w:t>
            </w:r>
          </w:p>
        </w:tc>
        <w:tc>
          <w:tcPr>
            <w:tcW w:type="dxa" w:w="2493"/>
          </w:tcPr>
          <w:p>
            <w:r>
              <w:rPr>
                <w:sz w:val="20"/>
              </w:rPr>
              <w:t>ARIA: Termination Currency — the currency in which the close-out amount is calculated and paid, regardless of the currencies of the terminated trades. For Indian banks trading with foreign counterparties, this is typically USD (or sometimes EUR or GBP for European counterparties). If the ISDA relationship includes both INR and USD trades, electing USD as Termination Currency means that INR-denominated trade values must be converted to USD at the prevailing spot rate — creating potential FX exposure in the close-out calculation. Some Indian banks negotiate for INR as Termination Currency for their domestic OTC relationships.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Automatic Early Termination election: if 'Applicable' — all trades automatically terminate upon bankruptcy, without requiring the non-defaulting party to take any action. Relevant for jurisdictions where contracts can be stayed in insolvency.</w:t>
            </w:r>
          </w:p>
        </w:tc>
        <w:tc>
          <w:tcPr>
            <w:tcW w:type="dxa" w:w="2493"/>
          </w:tcPr>
          <w:p>
            <w:pPr>
              <w:jc w:val="center"/>
            </w:pPr>
            <w:r>
              <w:rPr>
                <w:rFonts w:ascii="Calibri" w:hAnsi="Calibri"/>
                <w:b/>
                <w:i w:val="0"/>
                <w:color w:val="007A87"/>
                <w:sz w:val="18"/>
              </w:rPr>
              <w:t>AUTOMATIC EARLY TERM</w:t>
            </w:r>
          </w:p>
        </w:tc>
        <w:tc>
          <w:tcPr>
            <w:tcW w:type="dxa" w:w="2493"/>
          </w:tcPr>
          <w:p>
            <w:r>
              <w:rPr>
                <w:sz w:val="20"/>
              </w:rPr>
              <w:t>MOTION: Automatic Early Termination — an election in Part 1 of the Schedule that determines whether trades automatically terminate upon bankruptcy without any action by the non-defaulting party. Important in jurisdictions where insolvency laws might impose a stay on contract termination. If Automatic Early Termination is 'Applicable', trades terminate instantly upon bankruptcy — before any insolvency administrator can intervene. In India: CCIL-cleared trades are protected from insolvency stays under IBC. For bilateral ISDA trades, Automatic Early Termination is often elected as Applicable to ensure netting is protected.</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Key Schedule elections: Threshold Amounts (credit exposure), Cross-Default (contagion protection), Specified Entities (group scope), Termination Currency (close-out FX), Automatic Early Termination (insolvency protection).</w:t>
            </w:r>
          </w:p>
        </w:tc>
        <w:tc>
          <w:tcPr>
            <w:tcW w:type="dxa" w:w="2493"/>
          </w:tcPr>
          <w:p>
            <w:pPr>
              <w:jc w:val="center"/>
            </w:pPr>
            <w:r>
              <w:rPr>
                <w:rFonts w:ascii="Calibri" w:hAnsi="Calibri"/>
                <w:b/>
                <w:i w:val="0"/>
                <w:color w:val="007A87"/>
                <w:sz w:val="18"/>
              </w:rPr>
              <w:t>RECAP F10 4 V2</w:t>
            </w:r>
          </w:p>
        </w:tc>
        <w:tc>
          <w:tcPr>
            <w:tcW w:type="dxa" w:w="2493"/>
          </w:tcPr>
          <w:p>
            <w:r>
              <w:rPr>
                <w:sz w:val="20"/>
              </w:rPr>
              <w:t>KAVI: Critical Schedule elections: Threshold (how much exposure before collateral), Cross-Default (default contagion from other obligations), Specified Entities (which affiliates are in scope), Termination Currency (close-out calculation currency), Automatic Early Termination (bankruptcy protection). RYO: In Video 3 we look at how these elections play out in a real negotiation — and how they've evolved in India following regulatory changes.</w:t>
            </w:r>
          </w:p>
        </w:tc>
      </w:tr>
    </w:tbl>
    <w:p/>
    <w:p>
      <w:r>
        <w:rPr>
          <w:rFonts w:ascii="Calibri" w:hAnsi="Calibri"/>
          <w:b/>
          <w:i w:val="0"/>
          <w:color w:val="007A87"/>
          <w:sz w:val="20"/>
        </w:rPr>
        <w:t xml:space="preserve">▶ Transition: </w:t>
      </w:r>
      <w:r>
        <w:rPr>
          <w:rFonts w:ascii="Calibri" w:hAnsi="Calibri"/>
          <w:b w:val="0"/>
          <w:i/>
          <w:color w:val="404040"/>
          <w:sz w:val="20"/>
        </w:rPr>
        <w:t>Next — F10.4 Video 3: Schedule Negotiation in Practice</w:t>
      </w:r>
    </w:p>
    <w:p/>
    <w:p>
      <w:pPr>
        <w:spacing w:before="120"/>
        <w:shd w:val="clear" w:color="auto" w:fill="101C4F"/>
      </w:pPr>
      <w:r>
        <w:rPr>
          <w:rFonts w:ascii="Calibri" w:hAnsi="Calibri"/>
          <w:b/>
          <w:i w:val="0"/>
          <w:color w:val="FFFFFF"/>
          <w:sz w:val="24"/>
        </w:rPr>
        <w:t xml:space="preserve">  F10.4: The ISDA Schedule — Party-Specific Modifications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ISDA Schedule — Party-Specific Modifications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ISDA Schedule, explain the key elections parties make (threshold amounts, cross-default thresholds, termination currency, specified entities), and identify how Schedule provisions modify the standard Master Agreement.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Schedule elections to credit risk management and Indian regulatory requirements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relate Schedule elections to specific credit risk management outcomes and identify how RBI and SEBI requirements influence Schedule terms for Indian entities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F10.4 Video 2: Key Schedule Elections</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F10.5 Video 1: Introduction to the Credit Support Annex</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India-specific Schedule considerations: RBI permitted OTC products list affects eligible transactions. FEMA compliance as representation. Governing law often English law for cross-border, Indian law for domestic.</w:t>
            </w:r>
          </w:p>
        </w:tc>
        <w:tc>
          <w:tcPr>
            <w:tcW w:type="dxa" w:w="2493"/>
          </w:tcPr>
          <w:p>
            <w:pPr>
              <w:jc w:val="center"/>
            </w:pPr>
            <w:r>
              <w:rPr>
                <w:rFonts w:ascii="Calibri" w:hAnsi="Calibri"/>
                <w:b/>
                <w:i w:val="0"/>
                <w:color w:val="007A87"/>
                <w:sz w:val="18"/>
              </w:rPr>
              <w:t>INDIA SCHEDULE</w:t>
            </w:r>
          </w:p>
        </w:tc>
        <w:tc>
          <w:tcPr>
            <w:tcW w:type="dxa" w:w="2493"/>
          </w:tcPr>
          <w:p>
            <w:r>
              <w:rPr>
                <w:sz w:val="20"/>
              </w:rPr>
              <w:t>ARIA: India-specific Schedule considerations: RBI's permitted OTC product list must be reflected in the Schedule's 'Specified Transactions' definition — limiting eligible trades to RBI-approved products for Indian bank counterparties. FEMA compliance is added as a representation in Part 2 — the Indian party represents it will comply with FEMA for all cross-border payments. For domestic ISDA relationships between Indian entities, some parties use Indian law as governing law in the Schedule, referencing Indian courts for dispute resolution.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Scenario: HDFC Bank's credit rating downgraded from AA to A-. Threshold Amount provision: rating-based thresholds — AA threshold ₹100cr, A threshold ₹50cr. Deutsche Bank triggers threshold reduction — HDFC must post ₹50cr additional collateral immediately.</w:t>
            </w:r>
          </w:p>
        </w:tc>
        <w:tc>
          <w:tcPr>
            <w:tcW w:type="dxa" w:w="2493"/>
          </w:tcPr>
          <w:p>
            <w:pPr>
              <w:jc w:val="center"/>
            </w:pPr>
            <w:r>
              <w:rPr>
                <w:rFonts w:ascii="Calibri" w:hAnsi="Calibri"/>
                <w:b/>
                <w:i w:val="0"/>
                <w:color w:val="007A87"/>
                <w:sz w:val="18"/>
              </w:rPr>
              <w:t>CREDIT DOWNGRADE IMPACT</w:t>
            </w:r>
          </w:p>
        </w:tc>
        <w:tc>
          <w:tcPr>
            <w:tcW w:type="dxa" w:w="2493"/>
          </w:tcPr>
          <w:p>
            <w:r>
              <w:rPr>
                <w:sz w:val="20"/>
              </w:rPr>
              <w:t>KAVI: Rating-based threshold provisions — very common in Indian bank Schedules — automatically reduce threshold amounts when a party's credit rating falls. If HDFC Bank is downgraded from AA to A-, Deutsche Bank can invoke the rating-based threshold reduction. HDFC Bank's threshold drops from ₹100 crore to ₹50 crore. If Deutsche Bank's current MTM exposure to HDFC is ₹80 crore, HDFC must post ₹30 crore of collateral immediately. The treasury and operations teams must model the collateral impact of rating scenarios — a downgrade can trigger immediate large collateral calls.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Legal opinion requirement: before relying on ISDA netting for capital relief, banks must obtain a legal opinion confirming netting is enforceable in the counterparty's jurisdiction.</w:t>
            </w:r>
          </w:p>
        </w:tc>
        <w:tc>
          <w:tcPr>
            <w:tcW w:type="dxa" w:w="2493"/>
          </w:tcPr>
          <w:p>
            <w:pPr>
              <w:jc w:val="center"/>
            </w:pPr>
            <w:r>
              <w:rPr>
                <w:rFonts w:ascii="Calibri" w:hAnsi="Calibri"/>
                <w:b/>
                <w:i w:val="0"/>
                <w:color w:val="007A87"/>
                <w:sz w:val="18"/>
              </w:rPr>
              <w:t>NETTING OPINION</w:t>
            </w:r>
          </w:p>
        </w:tc>
        <w:tc>
          <w:tcPr>
            <w:tcW w:type="dxa" w:w="2493"/>
          </w:tcPr>
          <w:p>
            <w:r>
              <w:rPr>
                <w:sz w:val="20"/>
              </w:rPr>
              <w:t>RYO: Netting legal opinions — a critical compliance requirement. For a bank to use ISDA close-out netting to reduce its capital requirements (under Basel III, netting reduces regulatory capital), it must have a legal opinion confirming that netting is legally enforceable in the counterparty's jurisdiction. ISDA publishes and updates netting opinions for most major jurisdictions. For Indian banks: RBI has confirmed that ISDA netting is enforceable for CCIL-cleared trades. For bilateral (non-cleared) trades, legal counsel must confirm enforceability — particularly important for trades with counterparties in jurisdictions with weak netting laws.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ISDA Protocols: ISDA launches protocols allowing multiple parties to simultaneously amend their Schedules — e.g., EMIR Protocol, Margin Protocol for initial margin rules. Sign once, amend all counterparties simultaneously.</w:t>
            </w:r>
          </w:p>
        </w:tc>
        <w:tc>
          <w:tcPr>
            <w:tcW w:type="dxa" w:w="2493"/>
          </w:tcPr>
          <w:p>
            <w:pPr>
              <w:jc w:val="center"/>
            </w:pPr>
            <w:r>
              <w:rPr>
                <w:rFonts w:ascii="Calibri" w:hAnsi="Calibri"/>
                <w:b/>
                <w:i w:val="0"/>
                <w:color w:val="007A87"/>
                <w:sz w:val="18"/>
              </w:rPr>
              <w:t>PROTOCOL ADOPTION</w:t>
            </w:r>
          </w:p>
        </w:tc>
        <w:tc>
          <w:tcPr>
            <w:tcW w:type="dxa" w:w="2493"/>
          </w:tcPr>
          <w:p>
            <w:r>
              <w:rPr>
                <w:sz w:val="20"/>
              </w:rPr>
              <w:t>ARIA: ISDA Protocols solve a major operational challenge: when regulatory requirements change (e.g., new initial margin rules under Basel/IOSCO), thousands of bilateral ISDA Schedules need to be amended. Without protocols, each Schedule amendment requires bilateral negotiation — impractical at scale. ISDA Protocols allow parties to adhere once — and automatically amend all their ISDA relationships with other adhering parties simultaneously. Indian banks have used the ISDA 2013 EMIR Portfolio Reconciliation Protocol, the 2016 Variation Margin Protocol, and others to efficiently update their Schedule terms for regulatory compliance.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Schedule lifecycle: execution → trading begins → periodic review → amendment for regulatory changes/credit changes → expiry/termination of all trades → Master archived for 7 years.</w:t>
            </w:r>
          </w:p>
        </w:tc>
        <w:tc>
          <w:tcPr>
            <w:tcW w:type="dxa" w:w="2493"/>
          </w:tcPr>
          <w:p>
            <w:pPr>
              <w:jc w:val="center"/>
            </w:pPr>
            <w:r>
              <w:rPr>
                <w:rFonts w:ascii="Calibri" w:hAnsi="Calibri"/>
                <w:b/>
                <w:i w:val="0"/>
                <w:color w:val="007A87"/>
                <w:sz w:val="18"/>
              </w:rPr>
              <w:t>SCHEDULE LIFECYCLE</w:t>
            </w:r>
          </w:p>
        </w:tc>
        <w:tc>
          <w:tcPr>
            <w:tcW w:type="dxa" w:w="2493"/>
          </w:tcPr>
          <w:p>
            <w:r>
              <w:rPr>
                <w:sz w:val="20"/>
              </w:rPr>
              <w:t>KAVI: The Schedule lifecycle: executed, trading begins. Periodic review: at least annually by the credit and legal teams. Amendment: when credit ratings change, regulations require it, or parties agree to new terms. Expiry/termination: when all trades under the Master have matured or been terminated. Even after all trades are terminated, the ISDA documentation must be retained — SEBI requires 5-year retention; RBI requires 7 years for OTC derivative documentation. Operations teams maintain ISDA documentation archives alongside trade records.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Schedule in practice: India-specific provisions, rating-based thresholds, netting opinions, ISDA protocols for bulk amendment, documentation lifecycle.</w:t>
            </w:r>
          </w:p>
        </w:tc>
        <w:tc>
          <w:tcPr>
            <w:tcW w:type="dxa" w:w="2493"/>
          </w:tcPr>
          <w:p>
            <w:pPr>
              <w:jc w:val="center"/>
            </w:pPr>
            <w:r>
              <w:rPr>
                <w:rFonts w:ascii="Calibri" w:hAnsi="Calibri"/>
                <w:b/>
                <w:i w:val="0"/>
                <w:color w:val="007A87"/>
                <w:sz w:val="18"/>
              </w:rPr>
              <w:t>RECAP F10 4 V3</w:t>
            </w:r>
          </w:p>
        </w:tc>
        <w:tc>
          <w:tcPr>
            <w:tcW w:type="dxa" w:w="2493"/>
          </w:tcPr>
          <w:p>
            <w:r>
              <w:rPr>
                <w:sz w:val="20"/>
              </w:rPr>
              <w:t>RYO: Schedule in practice: India-specific regulatory provisions, rating-based threshold triggers, netting opinions for capital relief, ISDA protocols for efficient bulk amendments. MOTION: The Schedule is a living document — it must evolve with the credit relationship, regulatory environment, and business needs. Next: F10.5 — the Credit Support Annex — where we get into the mechanics of collateral and margin management.</w:t>
            </w:r>
          </w:p>
        </w:tc>
      </w:tr>
    </w:tbl>
    <w:p/>
    <w:p>
      <w:r>
        <w:rPr>
          <w:rFonts w:ascii="Calibri" w:hAnsi="Calibri"/>
          <w:b/>
          <w:i w:val="0"/>
          <w:color w:val="007A87"/>
          <w:sz w:val="20"/>
        </w:rPr>
        <w:t xml:space="preserve">▶ Transition: </w:t>
      </w:r>
      <w:r>
        <w:rPr>
          <w:rFonts w:ascii="Calibri" w:hAnsi="Calibri"/>
          <w:b w:val="0"/>
          <w:i/>
          <w:color w:val="404040"/>
          <w:sz w:val="20"/>
        </w:rPr>
        <w:t>Next — F10.5 Video 1: Introduction to the Credit Support Annex</w:t>
      </w:r>
    </w:p>
    <w:p/>
    <w:p>
      <w:pPr>
        <w:pStyle w:val="Heading1"/>
      </w:pPr>
      <w:r>
        <w:rPr>
          <w:color w:val="101C4F"/>
        </w:rPr>
        <w:t>F10.5: The Credit Support Annex (CSA) — Margining and Collateral</w:t>
      </w:r>
    </w:p>
    <w:p>
      <w:r>
        <w:rPr>
          <w:rFonts w:ascii="Calibri" w:hAnsi="Calibri"/>
          <w:b/>
          <w:i w:val="0"/>
          <w:color w:val="007A87"/>
          <w:sz w:val="22"/>
        </w:rPr>
        <w:t xml:space="preserve">Competency Statement: </w:t>
      </w:r>
      <w:r>
        <w:rPr>
          <w:rFonts w:ascii="Calibri" w:hAnsi="Calibri"/>
          <w:b w:val="0"/>
          <w:i w:val="0"/>
          <w:sz w:val="22"/>
        </w:rPr>
        <w:t>Describe the CSA's role in managing counterparty credit risk, explain variation margin and initial margin mechanics, and identify CSA parameters — threshold, minimum transfer amount, eligible collateral, and haircuts.</w:t>
      </w:r>
    </w:p>
    <w:p/>
    <w:p>
      <w:pPr>
        <w:spacing w:before="120"/>
        <w:shd w:val="clear" w:color="auto" w:fill="101C4F"/>
      </w:pPr>
      <w:r>
        <w:rPr>
          <w:rFonts w:ascii="Calibri" w:hAnsi="Calibri"/>
          <w:b/>
          <w:i w:val="0"/>
          <w:color w:val="FFFFFF"/>
          <w:sz w:val="24"/>
        </w:rPr>
        <w:t xml:space="preserve">  F10.5: The Credit Support Annex (CSA) — Margining and Collateral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Credit Support Annex (CSA) — Margining and Collateral</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CSA's role in managing counterparty credit risk, explain variation margin and initial margin mechanics, and identify CSA parameters — threshold, minimum transfer amount, eligible collateral, and haircuts.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the CSA and explain its role in reducing counterparty credit exposure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the CSA governs, why it is a separate annex to the Master Agreement, and define the key CSA parameters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F10.4 Video 3: Schedule in Practice</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F10.5 Video 2: Variation Margin Mechanics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CSA document: a separate annex, physically attached to the Schedule. Governs one thing: the movement of collateral between counterparties.</w:t>
            </w:r>
          </w:p>
        </w:tc>
        <w:tc>
          <w:tcPr>
            <w:tcW w:type="dxa" w:w="2493"/>
          </w:tcPr>
          <w:p>
            <w:pPr>
              <w:jc w:val="center"/>
            </w:pPr>
            <w:r>
              <w:rPr>
                <w:rFonts w:ascii="Calibri" w:hAnsi="Calibri"/>
                <w:b/>
                <w:i w:val="0"/>
                <w:color w:val="007A87"/>
                <w:sz w:val="18"/>
              </w:rPr>
              <w:t>CSA INTRO</w:t>
            </w:r>
          </w:p>
        </w:tc>
        <w:tc>
          <w:tcPr>
            <w:tcW w:type="dxa" w:w="2493"/>
          </w:tcPr>
          <w:p>
            <w:r>
              <w:rPr>
                <w:sz w:val="20"/>
              </w:rPr>
              <w:t>KAVI: The Credit Support Annex — CSA — is ISDA's collateral agreement. It answers the question: how much collateral does each party need to post, and in what form? The CSA is technically a separate document from the Master Agreement and Schedule, but it is legally part of the same ISDA documentation suite — it's signed at the same time as the Master and Schedule, physically attached to the Schedule.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Risk scenario without CSA: Bank A has ₹200cr positive MTM on IRS portfolio with Bank B. Bank B defaults. Bank A loses full ₹200cr. With CSA: Bank B has been posting collateral daily — Bank A holds ₹195cr of G-Sec collateral. Net loss: only ₹5cr.</w:t>
            </w:r>
          </w:p>
        </w:tc>
        <w:tc>
          <w:tcPr>
            <w:tcW w:type="dxa" w:w="2493"/>
          </w:tcPr>
          <w:p>
            <w:pPr>
              <w:jc w:val="center"/>
            </w:pPr>
            <w:r>
              <w:rPr>
                <w:rFonts w:ascii="Calibri" w:hAnsi="Calibri"/>
                <w:b/>
                <w:i w:val="0"/>
                <w:color w:val="007A87"/>
                <w:sz w:val="18"/>
              </w:rPr>
              <w:t>WHY CSA</w:t>
            </w:r>
          </w:p>
        </w:tc>
        <w:tc>
          <w:tcPr>
            <w:tcW w:type="dxa" w:w="2493"/>
          </w:tcPr>
          <w:p>
            <w:r>
              <w:rPr>
                <w:sz w:val="20"/>
              </w:rPr>
              <w:t>RYO: Why the CSA exists: without it, bilateral credit exposure builds up over the life of OTC trades. If rates move significantly, one party could have a large positive MTM — say ₹200 crore — representing money they'd lose if the counterparty defaults. The CSA requires the party with negative MTM (Bank B) to post collateral equal to its exposure — limiting the non-defaulting party's loss to the difference between the collateral held and the actual MTM, which should be small if collateral is exchanged daily.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Key CSA parameter cards: 1. Threshold Amount. 2. Minimum Transfer Amount. 3. Independent Amount (Initial Margin). 4. Eligible Collateral. 5. Haircut. 6. Valuation Date.</w:t>
            </w:r>
          </w:p>
        </w:tc>
        <w:tc>
          <w:tcPr>
            <w:tcW w:type="dxa" w:w="2493"/>
          </w:tcPr>
          <w:p>
            <w:pPr>
              <w:jc w:val="center"/>
            </w:pPr>
            <w:r>
              <w:rPr>
                <w:rFonts w:ascii="Calibri" w:hAnsi="Calibri"/>
                <w:b/>
                <w:i w:val="0"/>
                <w:color w:val="007A87"/>
                <w:sz w:val="18"/>
              </w:rPr>
              <w:t>CSA KEY TERMS</w:t>
            </w:r>
          </w:p>
        </w:tc>
        <w:tc>
          <w:tcPr>
            <w:tcW w:type="dxa" w:w="2493"/>
          </w:tcPr>
          <w:p>
            <w:r>
              <w:rPr>
                <w:sz w:val="20"/>
              </w:rPr>
              <w:t>ARIA: Six key CSA parameters. Threshold Amount — same concept as in the Schedule: the exposure level below which no collateral is required. Minimum Transfer Amount (MTA) — the smallest amount that can trigger a collateral call. Prevents nuisance calls for small moves. Independent Amount (IA) — also called Initial Margin — an additional collateral buffer posted upfront, regardless of MTM. Eligible Collateral — what forms of collateral are accepted (cash, G-Secs, AAA bonds). Haircut — the discount applied to non-cash collateral to account for price risk. Valuation Date — how often MTM is calculated and collateral adjusted.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Threshold example: Party A threshold ₹0 (zero threshold = always post collateral). Party B threshold ₹50cr. Interpretation: Party A must always post collateral equal to its full exposure. Party B only needs to post when exposure exceeds ₹50cr.</w:t>
            </w:r>
          </w:p>
        </w:tc>
        <w:tc>
          <w:tcPr>
            <w:tcW w:type="dxa" w:w="2493"/>
          </w:tcPr>
          <w:p>
            <w:pPr>
              <w:jc w:val="center"/>
            </w:pPr>
            <w:r>
              <w:rPr>
                <w:rFonts w:ascii="Calibri" w:hAnsi="Calibri"/>
                <w:b/>
                <w:i w:val="0"/>
                <w:color w:val="007A87"/>
                <w:sz w:val="18"/>
              </w:rPr>
              <w:t>THRESHOLD DETAIL</w:t>
            </w:r>
          </w:p>
        </w:tc>
        <w:tc>
          <w:tcPr>
            <w:tcW w:type="dxa" w:w="2493"/>
          </w:tcPr>
          <w:p>
            <w:r>
              <w:rPr>
                <w:sz w:val="20"/>
              </w:rPr>
              <w:t>KAVI: Threshold detail. A zero threshold means a party must post collateral equal to its full net MTM exposure — often required for lower-rated counterparties or in regulatory margin rules (UMR — Uncleared Margin Rules mandate zero threshold for initial margin between large dealers). A positive threshold allows some uncollateralised exposure — appropriate for high-quality counterparties. Under IOSCO's margin rules, which India has been implementing, large OTC derivative dealers must exchange variation margin with zero threshold and minimum transfer amount of €500,000 for trades above €750 billion in aggregate notional.</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Eligible collateral schedule: Cash (INR) — 0% haircut. Indian Government Securities — 2% haircut (&lt; 5yr maturity), 5% (5–10yr), 8% (&gt; 10yr). AAA-rated corporate bonds — 10% haircut. Equities (large-cap Nifty 50) — 20% haircut.</w:t>
            </w:r>
          </w:p>
        </w:tc>
        <w:tc>
          <w:tcPr>
            <w:tcW w:type="dxa" w:w="2493"/>
          </w:tcPr>
          <w:p>
            <w:pPr>
              <w:jc w:val="center"/>
            </w:pPr>
            <w:r>
              <w:rPr>
                <w:rFonts w:ascii="Calibri" w:hAnsi="Calibri"/>
                <w:b/>
                <w:i w:val="0"/>
                <w:color w:val="007A87"/>
                <w:sz w:val="18"/>
              </w:rPr>
              <w:t>ELIGIBLE COLLATERAL</w:t>
            </w:r>
          </w:p>
        </w:tc>
        <w:tc>
          <w:tcPr>
            <w:tcW w:type="dxa" w:w="2493"/>
          </w:tcPr>
          <w:p>
            <w:r>
              <w:rPr>
                <w:sz w:val="20"/>
              </w:rPr>
              <w:t>MOTION: Eligible collateral and haircuts. Cash (INR) is the cleanest collateral — zero haircut, instant liquidity. Government securities are widely used — ISDA CSAs typically accept G-Secs with haircuts based on duration (longer maturity = larger haircut, reflecting greater price volatility). Corporate bonds and equities are accepted by some counterparties with larger haircuts. Haircuts protect the receiving party: if a G-Sec's market value falls 3% overnight, the 5% haircut means the collateral still covers the exposure. Operations teams must apply correct haircuts when calculating collateral balances.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CSA parameters: Threshold (exposure before collateral), MTA (minimum call size), IA/Initial Margin (upfront buffer), Eligible Collateral (what can be posted), Haircut (discount on non-cash), Valuation Date (how often).</w:t>
            </w:r>
          </w:p>
        </w:tc>
        <w:tc>
          <w:tcPr>
            <w:tcW w:type="dxa" w:w="2493"/>
          </w:tcPr>
          <w:p>
            <w:pPr>
              <w:jc w:val="center"/>
            </w:pPr>
            <w:r>
              <w:rPr>
                <w:rFonts w:ascii="Calibri" w:hAnsi="Calibri"/>
                <w:b/>
                <w:i w:val="0"/>
                <w:color w:val="007A87"/>
                <w:sz w:val="18"/>
              </w:rPr>
              <w:t>RECAP F10 5 V1</w:t>
            </w:r>
          </w:p>
        </w:tc>
        <w:tc>
          <w:tcPr>
            <w:tcW w:type="dxa" w:w="2493"/>
          </w:tcPr>
          <w:p>
            <w:r>
              <w:rPr>
                <w:sz w:val="20"/>
              </w:rPr>
              <w:t>RYO: CSA parameters: Threshold (uncollateralised credit tolerance), MTA (minimum call size), Independent Amount/Initial Margin (upfront buffer), Eligible Collateral (acceptable forms), Haircut (non-cash discount), Valuation Date (margining frequency). ARIA: In Video 2 we calculate a variation margin call — walking through the daily margining process from MTM calculation to collateral transfer.</w:t>
            </w:r>
          </w:p>
        </w:tc>
      </w:tr>
    </w:tbl>
    <w:p/>
    <w:p>
      <w:r>
        <w:rPr>
          <w:rFonts w:ascii="Calibri" w:hAnsi="Calibri"/>
          <w:b/>
          <w:i w:val="0"/>
          <w:color w:val="007A87"/>
          <w:sz w:val="20"/>
        </w:rPr>
        <w:t xml:space="preserve">▶ Transition: </w:t>
      </w:r>
      <w:r>
        <w:rPr>
          <w:rFonts w:ascii="Calibri" w:hAnsi="Calibri"/>
          <w:b w:val="0"/>
          <w:i/>
          <w:color w:val="404040"/>
          <w:sz w:val="20"/>
        </w:rPr>
        <w:t>Next — F10.5 Video 2: Variation Margin Mechanics</w:t>
      </w:r>
    </w:p>
    <w:p/>
    <w:p>
      <w:pPr>
        <w:spacing w:before="120"/>
        <w:shd w:val="clear" w:color="auto" w:fill="101C4F"/>
      </w:pPr>
      <w:r>
        <w:rPr>
          <w:rFonts w:ascii="Calibri" w:hAnsi="Calibri"/>
          <w:b/>
          <w:i w:val="0"/>
          <w:color w:val="FFFFFF"/>
          <w:sz w:val="24"/>
        </w:rPr>
        <w:t xml:space="preserve">  F10.5: The Credit Support Annex (CSA) — Margining and Collateral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Credit Support Annex (CSA) — Margining and Collateral</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CSA's role in managing counterparty credit risk, explain variation margin and initial margin mechanics, and identify CSA parameters — threshold, minimum transfer amount, eligible collateral, and haircuts.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Calculate a variation margin call under a CSA given a portfolio MTM change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daily variation margin process, calculate a margin call given CSA parameters and MTM data, and explain what happens if the margin call is not met</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F10.5 Video 1: CSA Introduction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F10.5 Video 3: Initial Margin and Regulatory Requirements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Variation Margin definition: collateral posted daily to reflect changes in the current MTM of the OTC portfolio. Marks the daily gain/loss between the two parties.</w:t>
            </w:r>
          </w:p>
        </w:tc>
        <w:tc>
          <w:tcPr>
            <w:tcW w:type="dxa" w:w="2493"/>
          </w:tcPr>
          <w:p>
            <w:pPr>
              <w:jc w:val="center"/>
            </w:pPr>
            <w:r>
              <w:rPr>
                <w:rFonts w:ascii="Calibri" w:hAnsi="Calibri"/>
                <w:b/>
                <w:i w:val="0"/>
                <w:color w:val="007A87"/>
                <w:sz w:val="18"/>
              </w:rPr>
              <w:t>VM DEFINITION</w:t>
            </w:r>
          </w:p>
        </w:tc>
        <w:tc>
          <w:tcPr>
            <w:tcW w:type="dxa" w:w="2493"/>
          </w:tcPr>
          <w:p>
            <w:r>
              <w:rPr>
                <w:sz w:val="20"/>
              </w:rPr>
              <w:t>ARIA: Variation Margin — VM — is the collateral exchanged daily to reflect changes in the mark-to-market value of the OTC derivative portfolio. Think of it as daily settlement of unrealised gains and losses — similar in concept to daily futures margin calls, but for OTC derivatives. If the portfolio MTM moves ₹5 crore in favour of Party A today, Party B must post ₹5 crore of collateral to Party A by the end of the business day. Tomorrow, if the MTM moves back ₹2 crore, Party A returns ₹2 crore to Party B.</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Step-by-step: Start of day — existing collateral ₹30cr held by Bank A. Overnight MTM change: portfolio moves ₹8cr in Bank A's favour. New total exposure: ₹38cr. Threshold: ₹5cr. Credit Support Amount: ₹38cr - ₹5cr = ₹33cr. Existing collateral: ₹30cr. Margin call: ₹33cr - ₹30cr = ₹3cr. MTA: ₹1cr. Since ₹3cr &gt; ₹1cr MTA, margin call is triggered.</w:t>
            </w:r>
          </w:p>
        </w:tc>
        <w:tc>
          <w:tcPr>
            <w:tcW w:type="dxa" w:w="2493"/>
          </w:tcPr>
          <w:p>
            <w:pPr>
              <w:jc w:val="center"/>
            </w:pPr>
            <w:r>
              <w:rPr>
                <w:rFonts w:ascii="Calibri" w:hAnsi="Calibri"/>
                <w:b/>
                <w:i w:val="0"/>
                <w:color w:val="007A87"/>
                <w:sz w:val="18"/>
              </w:rPr>
              <w:t>VM CALCULATION</w:t>
            </w:r>
          </w:p>
        </w:tc>
        <w:tc>
          <w:tcPr>
            <w:tcW w:type="dxa" w:w="2493"/>
          </w:tcPr>
          <w:p>
            <w:r>
              <w:rPr>
                <w:sz w:val="20"/>
              </w:rPr>
              <w:t>KAVI: Variation margin calculation walkthrough. Yesterday, Bank B posted ₹30 crore collateral to Bank A. Overnight, the IRS portfolio MTM moved ₹8 crore in Bank A's favour — total exposure is now ₹38 crore. CSA parameters: Threshold = ₹5 crore, MTA = ₹1 crore. Step 1: Credit Support Amount = Exposure − Threshold = ₹38cr − ₹5cr = ₹33 crore. Step 2: Delivery Amount = Credit Support Amount − Existing Collateral = ₹33cr − ₹30cr = ₹3 crore. Step 3: Is ₹3 crore ≥ MTA of ₹1 crore? Yes. Step 4: Bank A sends a ₹3 crore margin call to Bank B. Bank B must deliver by the CSA's cut-off time.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Margin call timeline: T (valuation date) → T (margin call sent by 10:00 AM) → T+1 (collateral must be received by settlement cut-off — typically 12:00 PM for cash, 5:00 PM for G-Secs).</w:t>
            </w:r>
          </w:p>
        </w:tc>
        <w:tc>
          <w:tcPr>
            <w:tcW w:type="dxa" w:w="2493"/>
          </w:tcPr>
          <w:p>
            <w:pPr>
              <w:jc w:val="center"/>
            </w:pPr>
            <w:r>
              <w:rPr>
                <w:rFonts w:ascii="Calibri" w:hAnsi="Calibri"/>
                <w:b/>
                <w:i w:val="0"/>
                <w:color w:val="007A87"/>
                <w:sz w:val="18"/>
              </w:rPr>
              <w:t>VM TIMELINE</w:t>
            </w:r>
          </w:p>
        </w:tc>
        <w:tc>
          <w:tcPr>
            <w:tcW w:type="dxa" w:w="2493"/>
          </w:tcPr>
          <w:p>
            <w:r>
              <w:rPr>
                <w:sz w:val="20"/>
              </w:rPr>
              <w:t>RYO: Variation margin timeline: Valuation Date is typically every business day. The sending party calculates MTM and sends a margin call notice by 10:00 AM. The receiving party has until T+1 (the next business day) to deliver the collateral — cash INR settles by 12:00 PM via RTGS; G-Secs settle by 5:00 PM via CCIL or NSDL. If the margin call is not met by the deadline, the non-receiving party can declare a Credit Support Default — an Event of Default under the ISDA Master — and proceed to close-out netting.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Collateral management workflow: margin call received → verify calculation → agree or dispute → collateral identified and released from custody → SWIFT message to custodian → settlement.</w:t>
            </w:r>
          </w:p>
        </w:tc>
        <w:tc>
          <w:tcPr>
            <w:tcW w:type="dxa" w:w="2493"/>
          </w:tcPr>
          <w:p>
            <w:pPr>
              <w:jc w:val="center"/>
            </w:pPr>
            <w:r>
              <w:rPr>
                <w:rFonts w:ascii="Calibri" w:hAnsi="Calibri"/>
                <w:b/>
                <w:i w:val="0"/>
                <w:color w:val="007A87"/>
                <w:sz w:val="18"/>
              </w:rPr>
              <w:t>COLLATERAL MANAGEMENT</w:t>
            </w:r>
          </w:p>
        </w:tc>
        <w:tc>
          <w:tcPr>
            <w:tcW w:type="dxa" w:w="2493"/>
          </w:tcPr>
          <w:p>
            <w:r>
              <w:rPr>
                <w:sz w:val="20"/>
              </w:rPr>
              <w:t>ARIA: Collateral management is a dedicated operations function. When a margin call is received: Step 1 — verify the counterparty's calculation. Recalculate your own MTM independently — disputes are common. Step 2 — agree or dispute. If agreed: identify eligible collateral to post (cash or G-Secs). If disputed: initiate dispute resolution under the CSA's dispute protocol — typically: post an undisputed amount immediately, escalate the disputed portion. Step 3 — instruct the custodian via SWIFT to deliver the collateral. Step 4 — confirm receipt from counterparty. Track collateral balance daily.</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Failed margin call scenario: Bank B fails to deliver ₹3cr by T+1 deadline. Bank A sends a formal notice. 1 business day cure period. If still undelivered: Credit Support Default declared. ISDA EOD process begins.</w:t>
            </w:r>
          </w:p>
        </w:tc>
        <w:tc>
          <w:tcPr>
            <w:tcW w:type="dxa" w:w="2493"/>
          </w:tcPr>
          <w:p>
            <w:pPr>
              <w:jc w:val="center"/>
            </w:pPr>
            <w:r>
              <w:rPr>
                <w:rFonts w:ascii="Calibri" w:hAnsi="Calibri"/>
                <w:b/>
                <w:i w:val="0"/>
                <w:color w:val="007A87"/>
                <w:sz w:val="18"/>
              </w:rPr>
              <w:t>FAILED MARGIN CALL</w:t>
            </w:r>
          </w:p>
        </w:tc>
        <w:tc>
          <w:tcPr>
            <w:tcW w:type="dxa" w:w="2493"/>
          </w:tcPr>
          <w:p>
            <w:r>
              <w:rPr>
                <w:sz w:val="20"/>
              </w:rPr>
              <w:t>MOTION: What happens when a margin call isn't met: Bank A sends a formal notice per the CSA. The CSA typically allows 1 business day grace period for operational reasons — a payment failure due to system glitch rather than financial distress. If Bank B still hasn't delivered by end of grace period: Bank A declares a Credit Support Default — an Event of Default under Section 5(a)(iii) of the ISDA Master Agreement. This triggers the full close-out netting process from F10.3 — all trades are terminated and netted to a single payment. The daily margin call process is therefore both a credit risk management tool and a continuous solvency monitoring mechanism.</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VM calculation: Credit Support Amount = Exposure − Threshold. Delivery Amount = CSA − Existing Collateral. Trigger if &gt; MTA. T+1 settlement deadline.</w:t>
            </w:r>
          </w:p>
        </w:tc>
        <w:tc>
          <w:tcPr>
            <w:tcW w:type="dxa" w:w="2493"/>
          </w:tcPr>
          <w:p>
            <w:pPr>
              <w:jc w:val="center"/>
            </w:pPr>
            <w:r>
              <w:rPr>
                <w:rFonts w:ascii="Calibri" w:hAnsi="Calibri"/>
                <w:b/>
                <w:i w:val="0"/>
                <w:color w:val="007A87"/>
                <w:sz w:val="18"/>
              </w:rPr>
              <w:t>RECAP F10 5 V2</w:t>
            </w:r>
          </w:p>
        </w:tc>
        <w:tc>
          <w:tcPr>
            <w:tcW w:type="dxa" w:w="2493"/>
          </w:tcPr>
          <w:p>
            <w:r>
              <w:rPr>
                <w:sz w:val="20"/>
              </w:rPr>
              <w:t>RYO: Variation margin formula: Credit Support Amount = Total Exposure − Threshold. Delivery Amount = CSA − Existing Collateral. Call triggered if Delivery Amount ≥ MTA. Settlement by T+1 cut-off. KAVI: Missed margin calls → Credit Support Default → EOD → close-out netting. In Video 3 we cover Initial Margin — the upfront buffer now required by regulation — and how it differs from Variation Margin.</w:t>
            </w:r>
          </w:p>
        </w:tc>
      </w:tr>
    </w:tbl>
    <w:p/>
    <w:p>
      <w:r>
        <w:rPr>
          <w:rFonts w:ascii="Calibri" w:hAnsi="Calibri"/>
          <w:b/>
          <w:i w:val="0"/>
          <w:color w:val="007A87"/>
          <w:sz w:val="20"/>
        </w:rPr>
        <w:t xml:space="preserve">▶ Transition: </w:t>
      </w:r>
      <w:r>
        <w:rPr>
          <w:rFonts w:ascii="Calibri" w:hAnsi="Calibri"/>
          <w:b w:val="0"/>
          <w:i/>
          <w:color w:val="404040"/>
          <w:sz w:val="20"/>
        </w:rPr>
        <w:t>Next — F10.5 Video 3: Initial Margin and Regulatory Requirements</w:t>
      </w:r>
    </w:p>
    <w:p/>
    <w:p>
      <w:pPr>
        <w:spacing w:before="120"/>
        <w:shd w:val="clear" w:color="auto" w:fill="101C4F"/>
      </w:pPr>
      <w:r>
        <w:rPr>
          <w:rFonts w:ascii="Calibri" w:hAnsi="Calibri"/>
          <w:b/>
          <w:i w:val="0"/>
          <w:color w:val="FFFFFF"/>
          <w:sz w:val="24"/>
        </w:rPr>
        <w:t xml:space="preserve">  F10.5: The Credit Support Annex (CSA) — Margining and Collateral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F10.5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The Credit Support Annex (CSA) — Margining and Collateral</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CSA's role in managing counterparty credit risk, explain variation margin and initial margin mechanics, and identify CSA parameters — threshold, minimum transfer amount, eligible collateral, and haircuts.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Initial Margin requirements to regulatory reform and operational segregation requirements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define Initial Margin under UMR, explain its difference from Variation Margin, and describe the operational requirements for IM segregation and third-party custody</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F10.5 Video 2: Variation Margin Mechanics</w:t>
            </w:r>
          </w:p>
        </w:tc>
      </w:tr>
      <w:tr>
        <w:tc>
          <w:tcPr>
            <w:tcW w:type="dxa" w:w="4986"/>
            <w:shd w:val="clear" w:color="auto" w:fill="007A87"/>
          </w:tcPr>
          <w:p>
            <w:r>
              <w:rPr>
                <w:rFonts w:ascii="Calibri" w:hAnsi="Calibri"/>
                <w:b/>
                <w:i w:val="0"/>
                <w:color w:val="FFFFFF"/>
                <w:sz w:val="20"/>
              </w:rPr>
              <w:t>Next UOR</w:t>
            </w:r>
          </w:p>
        </w:tc>
        <w:tc>
          <w:tcPr>
            <w:tcW w:type="dxa" w:w="4986"/>
          </w:tcPr>
          <w:p>
            <w:r>
              <w:rPr>
                <w:sz w:val="20"/>
              </w:rPr>
              <w:t>F10.6 Video 1: ISDA Definitions — Purpose and Structure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Initial Margin vs Variation Margin comparison: VM = daily settlement of MTM changes (retrospective). IM = upfront buffer against potential future exposure (prospective).</w:t>
            </w:r>
          </w:p>
        </w:tc>
        <w:tc>
          <w:tcPr>
            <w:tcW w:type="dxa" w:w="2493"/>
          </w:tcPr>
          <w:p>
            <w:pPr>
              <w:jc w:val="center"/>
            </w:pPr>
            <w:r>
              <w:rPr>
                <w:rFonts w:ascii="Calibri" w:hAnsi="Calibri"/>
                <w:b/>
                <w:i w:val="0"/>
                <w:color w:val="007A87"/>
                <w:sz w:val="18"/>
              </w:rPr>
              <w:t>IM DEFINITION</w:t>
            </w:r>
          </w:p>
        </w:tc>
        <w:tc>
          <w:tcPr>
            <w:tcW w:type="dxa" w:w="2493"/>
          </w:tcPr>
          <w:p>
            <w:r>
              <w:rPr>
                <w:sz w:val="20"/>
              </w:rPr>
              <w:t>KAVI: Initial Margin is fundamentally different from Variation Margin. Variation Margin covers current exposure — what you would lose if the counterparty defaulted today. Initial Margin covers potential future exposure — what you might lose in the period between the counterparty's default and the time it takes you to close out and replace your trades. For a 3-year IRS, replacing a defaulted trade might take 10 business days — during which rates might move significantly. Initial Margin is sized to cover the potential loss during this 'close-out period'.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UMR — Uncleared Margin Rules: BCBS/IOSCO framework, phased in globally 2016–2022. Requires large OTC derivative dealers to exchange initial margin with zero threshold and segregated custody.</w:t>
            </w:r>
          </w:p>
        </w:tc>
        <w:tc>
          <w:tcPr>
            <w:tcW w:type="dxa" w:w="2493"/>
          </w:tcPr>
          <w:p>
            <w:pPr>
              <w:jc w:val="center"/>
            </w:pPr>
            <w:r>
              <w:rPr>
                <w:rFonts w:ascii="Calibri" w:hAnsi="Calibri"/>
                <w:b/>
                <w:i w:val="0"/>
                <w:color w:val="007A87"/>
                <w:sz w:val="18"/>
              </w:rPr>
              <w:t>UMR BACKGROUND</w:t>
            </w:r>
          </w:p>
        </w:tc>
        <w:tc>
          <w:tcPr>
            <w:tcW w:type="dxa" w:w="2493"/>
          </w:tcPr>
          <w:p>
            <w:r>
              <w:rPr>
                <w:sz w:val="20"/>
              </w:rPr>
              <w:t>RYO: UMR — Uncleared Margin Rules — was one of the most significant post-2008 regulatory reforms for OTC derivatives. Mandated by G20, developed by BCBS (Basel Committee) and IOSCO. Phased implementation: Phase 1 (2016) for the largest dealers. Final phases 5 and 6 (2021–2022) captured smaller entities. UMR requires bilateral exchange of Initial Margin between in-scope counterparties: the amount is calculated using a standardised model (ISDA SIMM — Standard Initial Margin Model) or a simplified schedule approach. Threshold: ₹600 crore (50 million EUR equivalent) — below this, IM can be netted.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ISDA SIMM: Standard Initial Margin Model. Industry-standard risk-based IM calculation. Inputs: delta, vega, curvature sensitivities by asset class. Output: IM amount in base currency. Both parties run SIMM independently and exchange results.</w:t>
            </w:r>
          </w:p>
        </w:tc>
        <w:tc>
          <w:tcPr>
            <w:tcW w:type="dxa" w:w="2493"/>
          </w:tcPr>
          <w:p>
            <w:pPr>
              <w:jc w:val="center"/>
            </w:pPr>
            <w:r>
              <w:rPr>
                <w:rFonts w:ascii="Calibri" w:hAnsi="Calibri"/>
                <w:b/>
                <w:i w:val="0"/>
                <w:color w:val="007A87"/>
                <w:sz w:val="18"/>
              </w:rPr>
              <w:t>ISDA SIMM</w:t>
            </w:r>
          </w:p>
        </w:tc>
        <w:tc>
          <w:tcPr>
            <w:tcW w:type="dxa" w:w="2493"/>
          </w:tcPr>
          <w:p>
            <w:r>
              <w:rPr>
                <w:sz w:val="20"/>
              </w:rPr>
              <w:t>ARIA: ISDA SIMM — the Standard Initial Margin Model — is the industry standard for calculating Initial Margin under UMR. Both counterparties independently run SIMM on their shared portfolio. SIMM calculates IM as a function of the portfolio's risk sensitivities — delta (sensitivity to rate moves), vega (sensitivity to volatility moves), and curvature — across multiple risk factors. The two parties exchange their SIMM calculations — if they agree, the higher number determines the IM amount. If they disagree by more than a tolerance, a dispute process kicks in. SIMM requires sophisticated risk systems — it's not a simple formula.</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IM segregation requirement: Initial Margin must be held at a third-party custodian — not commingled with the collecting party's assets. Both parties appoint the same third-party custodian.</w:t>
            </w:r>
          </w:p>
        </w:tc>
        <w:tc>
          <w:tcPr>
            <w:tcW w:type="dxa" w:w="2493"/>
          </w:tcPr>
          <w:p>
            <w:pPr>
              <w:jc w:val="center"/>
            </w:pPr>
            <w:r>
              <w:rPr>
                <w:rFonts w:ascii="Calibri" w:hAnsi="Calibri"/>
                <w:b/>
                <w:i w:val="0"/>
                <w:color w:val="007A87"/>
                <w:sz w:val="18"/>
              </w:rPr>
              <w:t>IM SEGREGATION</w:t>
            </w:r>
          </w:p>
        </w:tc>
        <w:tc>
          <w:tcPr>
            <w:tcW w:type="dxa" w:w="2493"/>
          </w:tcPr>
          <w:p>
            <w:r>
              <w:rPr>
                <w:sz w:val="20"/>
              </w:rPr>
              <w:t>KAVI: IM segregation is a key UMR requirement that creates significant operational complexity. Unlike Variation Margin (which is transferred outright to the receiving party), Initial Margin must be held in segregated accounts at a third-party custodian — not the collecting party's own custody. Both parties typically appoint the same custodian. The custodian holds the IM for the benefit of the posting party — if the collecting party defaults, the IM is returned to the poster. This protects against 'wrong-way risk' — the collecting party itself defaulting and using the IM for its own purposes.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IM operational workflow: daily SIMM calculation → comparison with counterparty → agree IM amount → instruct third-party custodian → G-Secs transferred to segregated account → custodian confirms. Separate from VM workflow.</w:t>
            </w:r>
          </w:p>
        </w:tc>
        <w:tc>
          <w:tcPr>
            <w:tcW w:type="dxa" w:w="2493"/>
          </w:tcPr>
          <w:p>
            <w:pPr>
              <w:jc w:val="center"/>
            </w:pPr>
            <w:r>
              <w:rPr>
                <w:rFonts w:ascii="Calibri" w:hAnsi="Calibri"/>
                <w:b/>
                <w:i w:val="0"/>
                <w:color w:val="007A87"/>
                <w:sz w:val="18"/>
              </w:rPr>
              <w:t>IM OPERATIONS</w:t>
            </w:r>
          </w:p>
        </w:tc>
        <w:tc>
          <w:tcPr>
            <w:tcW w:type="dxa" w:w="2493"/>
          </w:tcPr>
          <w:p>
            <w:r>
              <w:rPr>
                <w:sz w:val="20"/>
              </w:rPr>
              <w:t>MOTION: IM operations workflow — separate from VM. Daily SIMM run → internal IM amount calculated. Share with counterparty via ISDA's AcadiaSoft platform (the industry utility for margin messaging). Counterparty confirms or disputes. Agreed IM instructed to third-party custodian (e.g., Citibank as custodian for both HDFC Bank and Deutsche Bank). G-Secs transferred to segregated custody account. Custodian confirms receipt. This process runs in parallel with the daily VM workflow — an operations team managing a large bilateral OTC portfolio runs both processes simultaneously every business day.</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Initial Margin: future exposure buffer, ISDA SIMM calculation, UMR regulatory requirement, segregated third-party custody. Distinct from Variation Margin.</w:t>
            </w:r>
          </w:p>
        </w:tc>
        <w:tc>
          <w:tcPr>
            <w:tcW w:type="dxa" w:w="2493"/>
          </w:tcPr>
          <w:p>
            <w:pPr>
              <w:jc w:val="center"/>
            </w:pPr>
            <w:r>
              <w:rPr>
                <w:rFonts w:ascii="Calibri" w:hAnsi="Calibri"/>
                <w:b/>
                <w:i w:val="0"/>
                <w:color w:val="007A87"/>
                <w:sz w:val="18"/>
              </w:rPr>
              <w:t>RECAP F10 5 V3</w:t>
            </w:r>
          </w:p>
        </w:tc>
        <w:tc>
          <w:tcPr>
            <w:tcW w:type="dxa" w:w="2493"/>
          </w:tcPr>
          <w:p>
            <w:r>
              <w:rPr>
                <w:sz w:val="20"/>
              </w:rPr>
              <w:t>RYO: Initial Margin covers future exposure (not current MTM). Calculated using ISDA SIMM. Mandated under UMR for large dealers. Must be segregated at a third-party custodian — not held by the collecting party. ARIA: The CSA — through both VM and IM mechanisms — dramatically reduces counterparty credit risk in bilateral OTC markets. Next: F10.6 — ISDA Definitions — the product-specific framework that eliminates ambiguity in OTC derivative terms.</w:t>
            </w:r>
          </w:p>
        </w:tc>
      </w:tr>
    </w:tbl>
    <w:p/>
    <w:p>
      <w:r>
        <w:rPr>
          <w:rFonts w:ascii="Calibri" w:hAnsi="Calibri"/>
          <w:b/>
          <w:i w:val="0"/>
          <w:color w:val="007A87"/>
          <w:sz w:val="20"/>
        </w:rPr>
        <w:t xml:space="preserve">▶ Transition: </w:t>
      </w:r>
      <w:r>
        <w:rPr>
          <w:rFonts w:ascii="Calibri" w:hAnsi="Calibri"/>
          <w:b w:val="0"/>
          <w:i/>
          <w:color w:val="404040"/>
          <w:sz w:val="20"/>
        </w:rPr>
        <w:t>Next — F10.6 Video 1: ISDA Definitions — Purpose and Structure</w:t>
      </w:r>
    </w:p>
    <w:p/>
    <w:p>
      <w:pPr>
        <w:pBdr>
          <w:bottom w:val="single" w:sz="6" w:space="1" w:color="F0A800"/>
        </w:pBdr>
      </w:pPr>
    </w:p>
    <w:p>
      <w:pPr>
        <w:jc w:val="center"/>
      </w:pPr>
      <w:r>
        <w:rPr>
          <w:rFonts w:ascii="Calibri" w:hAnsi="Calibri"/>
          <w:b/>
          <w:i w:val="0"/>
          <w:color w:val="101C4F"/>
          <w:sz w:val="32"/>
        </w:rPr>
        <w:t>F10.6  |  ISDA Definitions</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role and structure of ISDA Definitions booklets, apply the correct definitions to identify product-specific terms for rates, FX, credit and equity derivatives, and relate how definitions connect master agreement provisions to individual trade confirmations.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purpose and function of ISDA Definitions booklets within the ISDA documentation architecture.</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appropriate definitions set to a given OTC derivative product type (IRS, FX option, CDS, equity swap).</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definitions booklets form the third layer of the ISDA framework, bridging master agreement provisions and transaction confirmations.</w:t>
            </w:r>
          </w:p>
        </w:tc>
      </w:tr>
    </w:tbl>
    <w:p/>
    <w:p>
      <w:pPr>
        <w:pBdr>
          <w:bottom w:val="single" w:sz="6" w:space="1" w:color="007A87"/>
        </w:pBdr>
      </w:pPr>
    </w:p>
    <w:p>
      <w:r>
        <w:rPr>
          <w:rFonts w:ascii="Calibri" w:hAnsi="Calibri"/>
          <w:b/>
          <w:i w:val="0"/>
          <w:color w:val="007A87"/>
          <w:sz w:val="26"/>
        </w:rPr>
        <w:t>Video 1: What Are ISDA Definitions and Why Do They Matter?</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Split screen: left shows a stack of ISDA booklets; right shows a typical IRS confirmation form; GOLD label 'ISDA Definitions'.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ISDA Master Agreement sets general rules for all trades. But each asset class — interest rates, FX, credit, equity — has its own specialised vocabulary. That's where ISDA Definitions booklets come in. They provide a precise, standardised glossary incorporated by reference into every confirmation, ensuring both parties use identical terms.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Timeline graphic showing 1991, 2000, 2006 ISDA Definitions for rates; annotations highlight 'floating rate options' and 'day count conventions'.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2006 ISDA Definitions is the cornerstone for interest rate and currency derivative transactions. It defines over 400 floating rate options, day count conventions like Actual/360 and Actual/Actual, and business day conventions like Modified Following. These definitions eliminate ambiguity — when a confirmation says 'EURIBOR-Reuters', both parties know precisely what that means.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Infographic: four columns labelled 'Rates', 'FX', 'Credit', 'Equity', each with a logo and key definition example; TEAL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Each product family has dedicated definitions. For FX: the 1998 FX and Currency Option Definitions. For credit: the 2014 ISDA Credit Derivatives Definitions — covering Credit Events like Failure to Pay and Restructuring. For equity: the 2002 ISDA Equity Derivatives Definitions. When you reference these in a confirmation, all those terms are automatically incorporated — a single line does the work of pages of definitions.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Flowchart: 'Confirmation references Section 1 of 2006 Definitions' → 'Floating Rate Option EURIBOR-Reuters applies' → 'Reuters page EURIBOR= at 11 AM Brussels' → 'Rate fixed for period'.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how it works in practice. A confirmation for an IRS states: 'Floating Rate Option: EURIBOR-Reuters; Designated Maturity: 6 months.' By incorporating the 2006 Definitions, the parties have agreed that EURIBOR-Reuters means the rate appearing on Reuters page EURIBOR= at 11:00 AM Brussels time, two Business Days before the period start date. No room for disagreement.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Animated comparison: 'Before ISDA Definitions' (each contract reinvents terms, disputes) vs 'After ISDA Definitions' (standard reference, efficiency, legal certainty).</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Before standardised definitions, counterparties spent hours negotiating boilerplate. A CDS confirmation might run 40 pages. The 2014 Credit Definitions reduced CDS confirmations to a single page term sheet — all standard terms incorporated by reference. This standardisation also supports automation: confirmations can be processed by electronic platforms because terminology is machine-readable.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F10.6-V1-S6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slide: 'ISDA Definitions — Key Takeaways' with four bullet points; NAVY background, GOLD text.</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Remember: ISDA Definitions booklets are the third layer of the ISDA framework, sitting below the master agreement and schedule, and above individual confirmations. They eliminate definitional disputes by providing a shared vocabulary. They evolve over time — the 2014 Credit Definitions replaced the 2003 version after the 2008 credit crisis exposed gaps. Always check which definitions version a confirmation references.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Credit Derivatives Definitions — CDS Mechanics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Animated diagram: Protection Buyer pays premium → Reference Entity → Credit Event triggers → Protection Seller pays contingent payment; arrows in TEAL and GOLD.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Credit Default Swaps are the flagship product of the credit derivatives market, and the 2014 ISDA Credit Derivatives Definitions is their rulebook. A CDS is essentially insurance: the protection buyer pays a periodic premium; if the reference entity suffers a credit event, the protection seller compensates the buyer.</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Table: six Credit Events — Bankruptcy, Failure to Pay, Obligation Acceleration, Obligation Default, Repudiation/Moratorium, Restructuring — with one-line definition each; highlighted rows alternate LGREY and WHITE.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2014 Definitions recognise six Credit Events. Bankruptcy covers insolvency proceedings. Failure to Pay is non-payment after grace period — typically $1 million threshold. Restructuring is the controversial one: does a maturity extension count? The Definitions use four restructuring options — Full, Modified, Modified Modified, and No Restructuring — allowing parties to elect their preferred standard. Post-2008, Restructuring became highly debated in the sovereign debt context.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Animation: CDS auction process — ISDA announces Credit Event → DC (Determinations Committee) votes → Auction held → Final Price set → Sellers pay (1 − Recovery Rate) × Notional.</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When a Credit Event occurs, how is the payment calculated? For cash settlement, ISDA now uses an auction process run by Markit. The Determinations Committee — 15 dealers and buy-side members — votes on whether a Credit Event has occurred. Then an auction determines the recovery rate. If recovery is 40%, the protection seller pays 60% of notional. This auction mechanism replaced bilateral settlement, creating a fair, transparent market price.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Case study graphic: '2012 Greek Sovereign Debt Restructuring' showing PSI haircut, ISDA DC vote timeline, and auction result (21.5 cents on the dollar).</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Greek sovereign debt crisis in 2012 tested the Credit Definitions. Greece's PSI — Private Sector Involvement — involved a 53.5% haircut on bonds. The ISDA Determinations Committee voted that a Restructuring Credit Event had occurred. The auction set a recovery of 21.5 cents, triggering CDS payouts of 78.5% of notional. This demonstrated that the 2014 Definitions' DC and auction mechanism works for sovereign CDS — a key feature added after the 2003 Definitions proved inadequate.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Comparison table: '2003 Definitions' vs '2014 Definitions' — columns showing Credit Event definitions, DC process, auction settlement, and orphaned CDS provisions.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2014 update introduced several improvements over 2003. It added Government Intervention as a potential Credit Event for financial entities — reflecting post-2008 bail-ins. It addressed succession events more clearly. And it introduced Asset Package Delivery for bail-in scenarios where bondholders receive equity instead of cash. Operations teams must know which definitions version applies — legacy trades may reference 2003 while new trades use 2014.</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F10.6-V2-S6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table: '2014 Credit Definitions at a Glance' — Credit Events, DC process, Settlement method, Key improvements;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the 2014 ISDA Credit Derivatives Definitions govern CDS mechanics. The Determinations Committee provides a centralised, objective Credit Event determination. Auction settlement ensures fair recovery prices. Operations teams handle the CDS life cycle — monitoring Credit Events, processing DC votes, managing auction participation for dealers, and calculating and settling contingent payments. Know your six Credit Events and the auction process cold.</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Equity and FX Definitions — Key Concepts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Split screen: left shows equity swap cashflow diagram (total return leg vs floating rate leg); right shows FX option payoff diagram; both labelled with definition sources.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Two other major definitions sets govern equity and FX derivatives. The 2002 Equity Derivatives Definitions covers equity swaps, options, and forwards. The 1998 FX and Currency Option Definitions covers FX forwards, options, and non-deliverable forwards. Let's walk through the key concepts in each.</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Animated equity swap: Party A pays LIBOR + spread; Party B pays total return on NIFTY 50; arrows show quarterly cash flows; labels 'Equity Amount' and 'Floating Amount'.</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2002 Equity Definitions introduce specialised terms. The 'Equity Amount' is the return on the reference shares or index — positive or negative. The 'Floating Amount' is the financing leg, typically LIBOR or SOFR plus a spread. Key provisions: Dividend Amount — do dividends pass through? Extraordinary Events — what happens in a merger or nationalisation? Potential Adjustment Events — index rebalancing, stock splits. These terms are in every equity swap confirmation by reference.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Case study: 'Extraordinary Event — Merger of TCS and Infosys (hypothetical)': flowchart showing Merger date → Options valuation adjustment → Nationalisation → Cancellation and Payment.</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Extraordinary Events under the Equity Definitions are deal-specific complexities. A Merger Event — where the reference share ceases to exist — triggers Options Exchange, Cancellation and Payment, or Partial Continuation, depending on the election in the confirmation. A Nationalisation makes the shares worthless for OTC purposes — the swap terminates with a payment at intrinsic value. In practice, operations teams must monitor corporate actions and apply the elected extraordinary event treatment to each affected trade.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NDF diagram: Notional in INR, USD settlement at maturity; formula 'Settlement Amount = (Contracted NDF Rate − Fixing Rate) × Notional / Fixing Rate'; TEAL box showing FBIL fixing source.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FX, a critical product is the Non-Deliverable Forward. An NDF is an FX forward where the currency is restricted — like INR, CNY, or BRL. Settlement is in USD based on the difference between the contracted NDF rate and a fixing rate from a source specified in the 1998 FX Definitions. For INR NDFs, the fixing source is typically FBIL — Financial Benchmarks India Limited. Operations teams must confirm the fixing source in the confirmation matches the current market standard.</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Disruption Events table: 'Price Source Disruption', 'Settlement Disruption', 'Illiquidity' — each with consequence and fallback; LGREY and WHITE alternating rows.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FX Definitions also address Disruption Events. A Price Source Disruption occurs when the agreed FX fixing source is unavailable — for example, if FBIL doesn't publish a rate on the valuation date. The fallback cascades through alternative sources. A Settlement Disruption occurs when the currency payment system breaks down — think of a banking holiday. Operations teams must have procedures for handling these disruptions, including communicating with counterparties and applying the correct fallback mechanism.</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F10.6-V3-S6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comparison table: 'Equity vs FX Definitions' — rows: key terms, extraordinary events, settlement mechanisms, product examples; NAVY background, GOLD headers.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F10.6: ISDA Definitions booklets provide the language for OTC derivatives. The 2006 Rates Definitions standardise IRS and currency swap terms. The 2014 Credit Definitions govern CDS with the DC and auction process. The 2002 Equity Definitions handle equity swaps and options, including corporate action events. The 1998 FX Definitions cover FX options and NDFs. Every confirmation references one or more of these booklets — understanding them is fundamental to operations work.</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F10.7  |  OTC Market Participants and Execution</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roles of dealers, buy-side firms, CCPs, and trade repositories in the OTC market, apply knowledge of execution channels — voice, SDP, MDP, ECN, and SEF — to describe how OTC trades are initiated, and relate the post-Dodd-Frank / EMIR mandatory execution and clearing framework to current market structure.</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roles of key participants in the OTC derivatives market — dealers, asset managers, hedge funds, corporates, CCPs, and trade repositories.</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distinction between voice execution, SDP/MDP, electronic communication networks, and SEFs to identify how a specific OTC trade would be executed.</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The Dodd-Frank mandate for SEF execution and clearing to the post-2008 shift in OTC market infrastructure.</w:t>
            </w:r>
          </w:p>
        </w:tc>
      </w:tr>
    </w:tbl>
    <w:p/>
    <w:p>
      <w:pPr>
        <w:pBdr>
          <w:bottom w:val="single" w:sz="6" w:space="1" w:color="007A87"/>
        </w:pBdr>
      </w:pPr>
    </w:p>
    <w:p>
      <w:r>
        <w:rPr>
          <w:rFonts w:ascii="Calibri" w:hAnsi="Calibri"/>
          <w:b/>
          <w:i w:val="0"/>
          <w:color w:val="007A87"/>
          <w:sz w:val="26"/>
        </w:rPr>
        <w:t>Video 1: Who's Who in the OTC Market</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Ecosystem diagram: Dealers (G16 banks) at centre; Buy-Side (asset managers, hedge funds, corporates, pension funds) on left; Infrastructure (CCPs, TRs, custodians) on right; arrows showing flow of trades.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OTC derivatives market is built on a network of participants. At the centre are dealers — the 16 major global banks including Goldman Sachs, JP Morgan, Barclays, Deutsche Bank. They make markets, take positions, and provide liquidity. On one side are buy-side firms: asset managers using derivatives to hedge bond portfolios, hedge funds running macro strategies, corporates hedging FX exposures, pension funds managing duration risk.</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Animated inter-dealer market: dealers connected to each other via bilateral and via inter-dealer brokers (IDBs); boxes labelled 'BGC', 'ICAP', 'Tradition'; voice broker depicted.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Dealers don't just trade with clients — they also trade with each other to manage their net positions. This inter-dealer market uses inter-dealer brokers, or IDBs. IDBs like BGC, ICAP, and Tradition act as intermediaries: they run voice desks where dealers call in to trade anonymously, and electronic platforms. An IDB earns a commission but doesn't take principal risk. The inter-dealer market is where dealers hedge inventory and express views without revealing positions to clients.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Infrastructure layer diagram: CCP (LCH SwapClear, CME) as central risk node; Trade Repository (DTCC, CCIL) as data node; Custodians (BNY Mellon, State Street) for collateral; ISDA as standards body.</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Post-2008, infrastructure participants became critical. Central Counterparties — like LCH SwapClear for IRS and CME — step in as buyer to every seller and seller to every buyer, eliminating bilateral counterparty risk. Trade Repositories like DTCC's Global Trade Repository and CCIL in India collect trade reports, giving regulators visibility into the market. Custodians hold initial margin in segregated accounts. ISDA provides the legal documentation framework. Without this infrastructure, the OTC market cannot function safely.</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Table: 'Who Does What' — rows: Dealer, Buy-Side, IDB, CCP, Trade Repository, Custodian — columns: Role, Regulated By, Key Function; alternating LGREY/WHITE rows.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map the participants concisely. Dealers: liquidity providers, market-makers, regulated by prudential supervisors (RBI for Indian banks, PRA in UK, Fed in US). Buy-side: end users hedging or investing, regulated by investment regulators. IDBs: intermediaries, regulated as brokers. CCPs: risk mutualisation, regulated as FMIs — Financial Market Infrastructures. TRs: data aggregators, regulated by securities/derivatives regulators. Custodians: asset safekeeping, regulated by banking supervisors.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Case study: 'Indian OTC Market Participants' — graphic showing RBI-regulated banks, SEBI-regulated NBFCs, CCIL as CCP, CCIL TR for IRS and FX, FEDAI for FX market conventions.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the OTC derivatives market has its own structure. RBI-regulated commercial banks are the primary dealers in IRS, FX forwards, and G-Sec repos. CCIL acts as both CCP and trade repository. FEDAI — Foreign Exchange Dealers' Association of India — sets conventions for FX trades. SEBI-regulated entities can trade certain exchange-traded derivatives but access OTC markets through bank counterparties. Understanding the Indian regulatory overlay is essential for operations roles in Indian financial institutions.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F10.7-V1-S6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key participant roles diagram with annotations; NAVY background, GOLD labels.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The OTC derivatives market has four participant groups. Dealers provide liquidity. Buy-side uses it. IDBs intermediate dealer-to-dealer flows. Infrastructure — CCPs, TRs, custodians — manages risk and transparency. In India, CCIL plays the dual CCP-and-TR role. For operations professionals, understanding who each counterparty is affects documentation requirements, clearing eligibility, margin obligations, and reporting duties.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Execution Channels — Voice to Electronic</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Evolution timeline: 1990s (voice only) → 2000s (SDP/MDP emerge) → 2010s (SEFs mandated, ECNs grow) → 2020s (API/algo execution); annotations with key market events.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How does an OTC derivative actually get executed? The answer has changed dramatically over 30 years. In the 1990s, everything was voice: a client called a dealer, negotiated a rate on the phone, and a confirmation was faxed. Today, execution channels range from sophisticated electronic platforms to automated API-driven workflows.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SDP vs MDP diagram: SDP — single dealer's proprietary platform, one-to-one; MDP — multi-dealer platform, client gets competing quotes; examples: Bloomberg TSOX, Tradeweb, MarketAxess.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Single Dealer Platforms, or SDPs, are proprietary portals run by individual dealers — like Goldman's GSessions or JP Morgan's JPMM. A client logs in, enters trade details, and receives a price electronically. Multi-Dealer Platforms, or MDPs, allow clients to request quotes from multiple dealers simultaneously, increasing competition. Tradeweb and Bloomberg TSOX are leading MDPs for rates. MarketAxess dominates credit. The shift to MDPs improved best-execution compliance for buy-side firms.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SEF structure diagram: SEF operator (Bloomberg SEF, ICE SEF, Tradeweb SEF) in centre; Participant A and B connected; mandatory clearing arrow to CCP; trade report arrow to SDR.</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Post-Dodd-Frank, a new execution venue was created for the US market: the Swap Execution Facility, or SEF. For standardised, liquid OTC derivatives — specifically interest rate swaps and CDS index products — Dodd-Frank requires US persons to execute on a SEF. SEFs must offer either a Central Limit Order Book or a Request for Quote system with at least three participants. After execution, the SEF sends a trade report to a Swap Data Repository and routes the trade to a CCP for clearing. This makes the execution fully transparent and auditable.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RFQ flow animation: client sends RFQ to 5 dealers via Tradeweb → dealers respond with prices in 30 seconds → client accepts best price → trade confirmed electronically → straight-through-processing to middle office.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Request for Quote model is the most common electronic execution method. A corporate treasurer wanting to hedge an INR IRS sends an RFQ specifying notional, tenor, and fixed rate direction. Dealers respond with bid-offer spreads. The treasurer accepts the best rate. The system generates a confirmation number, timestamps the trade, and feeds it straight-through to the trade booking system. This STP — straight-through processing — eliminates manual entry errors and speeds up confirmation.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Comparison table: Voice vs SDP vs MDP vs SEF — rows: Price transparency, Audit trail, Regulatory compliance, Speed, Best execution; checkmarks and crosses; LGREY/WHITE alternating.</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Each execution channel has tradeoffs. Voice is flexible for complex, bespoke trades where live negotiation is needed — a cross-currency swap with an exotic barrier may need voice. SDPs offer convenience and STP but only one price. MDPs improve pricing competition. SEFs provide the highest transparency and regulatory compliance for standardised products. Operations teams need to understand which channel was used because it affects the audit trail, confirmation requirements, and regulatory reporting obligations.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F10.7-V2-S6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execution channel selection matrix — product type vs execution channel recommendation;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execution channels: bespoke or illiquid products — voice or SDP. Standardised vanilla IRS and CDS index for US persons — SEF mandatory. Cross-border institutional trades — MDP for best execution. In practice, most investment banks have a primary channel for each product: IRS mostly via Tradeweb MDP or SEF; FX forwards via FXAll or 360T; credit derivatives via MarketAxess. Operations teams must book the correct venue code in the trade system to ensure correct regulatory reporting.</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Post-2008 Regulatory Framework — Clearing and Reporting Mandates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Timeline: 2008 Lehman collapse → 2009 G20 Pittsburgh summit → 2010 Dodd-Frank Act → 2012 EMIR → 2013–2015 clearing mandates phase in; graphic showing regulatory wave.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2008 financial crisis exposed the systemic risk in OTC derivatives. Lehman Brothers had thousands of bilateral derivatives contracts — counterparties didn't know their net exposure until it was too late. AIG's uncleared CDS portfolio required a $185 billion government bailout. At the 2009 G20 summit in Pittsburgh, leaders committed to three reforms: mandatory clearing, mandatory reporting, and mandatory electronic execution for standardised OTC derivatives.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Three-pillar graphic: Pillar 1 — Mandatory Clearing (CCPs); Pillar 2 — Mandatory Reporting (TRs); Pillar 3 — Mandatory Electronic Trading (SEFs/OTFs); supporting regulatory text from Dodd-Frank and EMIR.</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These three pillars transformed the OTC market. Mandatory clearing means eligible derivatives must go through a CCP — LCH SwapClear, CME, or CCIL for Indian rupee IRS. Mandatory reporting means all OTC trades must be reported to a trade repository — DTCC, CCIL, or national TRs. Mandatory electronic trading — the SEF mandate in the US, OTF in Europe under MiFID II — means standardised products must execute on regulated venues. These pillars work together: execution on SEF feeds automatically into clearing and reporting.</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Bilateral vs Cleared risk comparison: bilateral web — N parties, N×(N-1)/2 exposures; cleared — star topology, CCP at centre, N exposures only; graphic showing risk reduction.</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Why does clearing reduce systemic risk? In a bilateral world, 10 dealers each trading with each other creates 45 bilateral exposures. If one fails, counterparties face uncertainty about recovery. With central clearing, the CCP stands between every pair. Net exposure is calculated multilaterally — a dealer long 100 IRS and short 80 similar IRS nets to 20. Variation margin flows daily through the CCP, ensuring losses are covered before they accumulate. This is the fundamental risk management insight behind mandatory clearing.</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India-specific graphic: CCIL mandate for IRS and OIS above ₹10 crore notional; FIMMDA as DR; RBI circulars timeline; comparison with global mandates.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India implemented its own clearing mandate aligned with G20 commitments. The RBI mandated central clearing of Rupee IRS through CCIL for transactions above ₹10 crore notional. CCIL also provides CCP services for G-Sec repos and forex forwards. FIMMDA — Fixed Income Money Market and Derivatives Association — acts as a trade repository for OTC interest rate derivatives not cleared through CCIL. For operations teams in Indian banks, knowing CCIL's clearing and reporting infrastructure is as important as knowing LCH or DTCC for global roles.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Margin requirements graphic: bilateral non-cleared — VM + IM under BCBS/IOSCO UMR phases; cleared — CCP IM model (SPAN, VaR); comparison table showing thresholds and phase-in dates.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Mandatory clearing also changed the margin landscape. For cleared derivatives, CCPs calculate initial margin using their own models — SPAN for futures-style, VaR or ISDA SIMM-derived models for OTC. For non-cleared derivatives above certain thresholds, the BCBS/IOSCO Uncleared Margin Rules mandate both variation margin and initial margin. UMR was phased in from 2016 to 2022, with Phase 6 capturing firms with €8 billion notional. Operations teams must calculate SIMM or Grid IM daily and segregate it with a third-party custodian.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F10.7-V3-S6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post-2008 OTC reform impacts on operations — checklist format: clearing workflow, TR reporting, SEF execution, margin management;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the post-2008 regulatory reforms created three new operational workflows. First, clearing — submitting eligible trades to CCPs, managing CCP margin calls, handling clearing member relationships. Second, trade reporting — ensuring all OTC trades are reported to TRs within regulatory deadlines, with correct LEIs and UTIs. Third, margin management — calculating and exchanging variation and initial margin for non-cleared trades, with segregation requirements. These workflows are core competencies for any OTC operations professional today.</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F10.8  |  OTC TLC Stages 1–6: Initiation to Validation</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first six stages of the OTC derivative trade life cycle — Initiation through Validation — apply the processes of order capture, static data enrichment, trade validation and verification to a sample IRS trade, and relate how STP and exception management work in modern OTC operations.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Each of the first six OTC TLC stages: Initiation, Execution, Reporting, Capture, Enrichment, Validation, and the key tasks performed at each stage.</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capture-enrich-validate workflow to a sample IRS trade, identifying the data elements added and checks performed at each stage.</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straight-through processing (STP) reduces operational risk and how exceptions are flagged, routed, and resolved in a bank's middle office.</w:t>
            </w:r>
          </w:p>
        </w:tc>
      </w:tr>
    </w:tbl>
    <w:p/>
    <w:p>
      <w:pPr>
        <w:pBdr>
          <w:bottom w:val="single" w:sz="6" w:space="1" w:color="007A87"/>
        </w:pBdr>
      </w:pPr>
    </w:p>
    <w:p>
      <w:r>
        <w:rPr>
          <w:rFonts w:ascii="Calibri" w:hAnsi="Calibri"/>
          <w:b/>
          <w:i w:val="0"/>
          <w:color w:val="007A87"/>
          <w:sz w:val="26"/>
        </w:rPr>
        <w:t>Video 1: Stage 1–3: Initiation, Execution, and Reporting</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OTC TLC pipeline graphic: 11 stages laid out horizontally; stages 1–3 highlighted in GOLD; stages 4–11 in LGREY; labels: Initiation, Execution, Reporting.</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OTC Trade Life Cycle has eleven stages from trade inception to final reconciliation. In this video we'll cover the first three: Initiation, Execution, and Reporting. These are the front-office stages where the trade is agreed and immediately captured for regulatory purposes.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 1 diagram: Client (corporate treasurer) at desk with FX exposure → calls or logs into Bloomberg → sends RFQ to dealer → Dealer sales desk receives and prices → internal credit check → quote returned.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1 is Initiation. A client — say, an IT company with USD revenue wanting to hedge into INR — approaches a bank's sales desk. The salesperson assesses the client's hedging need, checks whether the client has an ISDA Master Agreement in place, verifies credit limits, and prices the trade based on current market rates plus a spread. This stage is primarily front-office but has a critical ops dependency: if the ISDA documentation isn't in place, the trade cannot proceed.</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 2 diagram: Execution — phone recording timestamp, Bloomberg chat record, SEF execution confirmation, trade ticket generated; STP arrow to booking system.</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2 is Execution. The trade is agreed — verbally, via chat, or electronically. The bank's trading system generates a deal ticket with a unique trade reference number. Key data elements captured: counterparty LEI, trade date, effective date, maturity date, notional, currency, fixed rate, floating rate index, day count convention, business day convention, payment frequency. For electronic execution via SEF or MDP, this happens automatically via STP. For voice trades, a trader manually enters the deal ticket — the source of most trade capture errors.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 3 diagram: Trade Reporting — UTI generation, TR submission within deadline (T+1 or real-time), TR acknowledgement, LEI validation; regulatory logos (CFTC, ESMA, RBI/CCIL) shown.</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3 is Reporting. Regulatory mandates require that OTC derivatives be reported to trade repositories within defined timeframes. In the US under Dodd-Frank: T+1 reporting to DTCC's SDR. In Europe under EMIR: T+1 to authorised TRs. In India: same-day reporting to CCIL's TR. The report includes the UTI — Unique Transaction Identifier — generated by the executing platform, the LEI of each counterparty, and all economic terms. If the UTI doesn't match between counterparties, the TR flags a break — generating an operations exception.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LEI explainer graphic: 20-character alphanumeric code; structure: 4-char LOU prefix, 14-char entity identifier, 2 check digits; examples of bank and corporate LEIs; GLEIF logo.</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 me pause on the LEI — Legal Entity Identifier. This is a 20-character global standard identifier for any legal entity participating in financial markets. Introduced post-2008, the LEI resolves the problem of entities having different names in different systems. Operations teams must maintain current LEIs for all counterparties. An expired or incorrect LEI in a trade report will cause the TR to reject the report — creating a regulatory breach. LEI management is a core ops task.</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F10.8-V1-S6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checklist: Stage 1 — documentation, credit check, pricing; Stage 2 — deal ticket, STP, voice entry; Stage 3 — UTI, LEI, TR submission, deadline;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Stages 1–3 are front-end but operations has touchpoints at each. For Initiation: ensure ISDA docs are in place — no docs, no trade. For Execution: monitor STP rates, investigate voice trade entries for errors. For Reporting: run the UTI matching process, manage LEI database, meet TR submission deadlines. A break at any of these stages causes downstream problems — unmatched confirmations, regulatory breaches, or failed settlements.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Stage 4–5: Trade Capture and Enrichment</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Pipeline zoom: stages 4–5 highlighted; input from Stage 3 (deal ticket) → Trade Capture system → Enrichment engine → output to Stage 6 (Validation); system logos (Murex, Calypso, Finastra).</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After execution and reporting, the trade moves into the middle office. Stage 4 is Trade Capture — the deal ticket is entered into or received by the trade management system. Stage 5 is Enrichment — the system automatically adds reference data to the raw trade ticket. Let's walk through these in detail using a sample IRS.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Sample trade ticket: IRS — Fixed payer XYZ Corp, floating receiver ABC Bank; notional ₹100 crore; 5 years; fixed 6.50%; floating: MIFOR 6M; payment quarterly vs semi-annual; effective date 8 May 2026.</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our sample trade. XYZ Corp pays fixed 6.50% semi-annual on ₹100 crore IRS; ABC Bank pays 6-month MIFOR quarterly. Effective date 8 May 2026, maturity 8 May 2031. Trade Capture means this exact data is booked in the trade management system — Murex, Calypso, or Finastra Fusion are common platforms. The system assigns a trade ID, timestamps the booking, and links to the master agreement and credit facility. Any discrepancy between the deal ticket and what's booked is a trade capture break — immediate exception.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Enrichment flow diagram: Raw trade (economic terms only) → reference data feeds (holiday calendars, index definitions, payment schedules) → enriched trade (all cash flow dates, MIFOR fixing dates, payment amounts calculated).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Enrichment is where the raw economic terms become a fully detailed trade record. The system fetches: MIFOR index definition from the 2006 ISDA Definitions. Business day calendars for Mumbai — because 8 May 2026 may fall on a holiday. Day count convention: Actual/365 for INR IRS. Payment schedule generation: all 20 quarterly MIFOR payment dates and 10 semi-annual fixed payment dates for the 5-year tenor. Netting instructions if the two parties net payments on the same date. This enrichment turns a 10-field deal ticket into a 200-field trade record.</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Static data reference architecture: Central reference data repository feeding trade management systems, risk systems, and settlement systems; holiday calendar database; LEI database; counterparty SSI database.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Enrichment depends on accurate static data. Static data — also called reference data — includes: counterparty SSIs (Standard Settlement Instructions), holiday calendars for every currency and market, index definitions and fixing sources, internal product codes, legal entity hierarchies. Static data errors are a major source of operational risk. If the Mumbai holiday calendar is wrong, settlement instructions will be generated for a holiday — causing a failed settlement. Static data management is a dedicated operations function in large banks.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STP rate metric graphic: '95% STP for electronic execution; 70% STP for voice trades'; exception queue showing: booking errors, missing SSIs, enrichment failures; workflows for each exception type.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Not all trades enrich successfully — these become exceptions. Common enrichment failures: missing counterparty SSI (operations must obtain and load SSI before settlement date), holiday calendar gap (calendar database doesn't have a recent update), ambiguous product code (trade entered with incorrect instrument code). Modern operations targets 95%+ STP for electronic trades and 85%+ for voice trades. Exception management — routing, prioritising, and resolving breaks — is a core middle office function that demands both system knowledge and market expertise.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F10.8-V2-S6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Capture vs Enrichment side-by-side; Capture — who enters what, common errors; Enrichment — what is added, data sources, STP targets;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Trade Capture is about getting the agreed terms into the system accurately — the most critical fields are counterparty, product type, notional, dates, and rates. Enrichment is about turning those terms into a fully operational trade record — schedules, settlement instructions, fixing sources. Together these stages prepare the trade for validation and eventual settlement. The quality of your static data directly determines the quality of enrichment and the rate of STP.</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Stage 6: Validation and Verification</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Pipeline zoom: Stage 6 highlighted; inputs from enriched trade; output to Stage 7 (Confirmation); validation checklist graphic showing economic terms, credit, legal entity, product eligibility checks.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6 combines two closely related processes: Validation and Verification. Validation checks that the trade is complete, accurate, and within parameters. Verification is the process of matching the trade against the counterparty's version. Together they ensure that what you think you traded is what the counterparty thinks they traded — before confirmation is issued.</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Validation checklist diagram: box 1 — Economic Validation (rates within market ranges, notional within credit limit); box 2 — Static Data Validation (LEI active, SSI on file); box 3 — Regulatory Validation (clearing eligibility check, TR reporting status); box 4 — Documentation Validation (ISDA in place, product covered).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Validation has four layers. Economic validation: is the fixed rate 6.50% consistent with current market levels? If not, it may be a mis-booking. Is the notional within the counterparty's credit limit? Static data validation: is the counterparty's LEI active? Are SSIs on file? Regulatory validation: does this IRS fall within the clearing mandate threshold? Has it been reported to CCIL TR? Documentation validation: is there an ISDA Master Agreement and Schedule with XYZ Corp that covers this product?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Verification animation: Bank A's trade record vs Bank B's trade record → electronic matching via MarkitWire or DTCC Deriv/SERV → matched (green), mismatched field (red exception) → exception resolution workflow.</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Verification is counterparty-matching. Platforms like MarkitWire, DTCC Deriv/SERV, or SWIFT Accord take both parties' trade data and compare field by field. Common mismatches: fixed rate 6.50% vs 6.505% — a rounding difference that needs resolution. Effective date mismatch — one party booked T+2, the other T+3. Floating rate index — MIFOR vs MIFOR-FBIL — technically the same but different system codes. Each mismatch creates an exception that must be resolved before the trade is confirmed. Unresolved mismatches by T+2 trigger escalation.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Exception resolution flowchart: exception raised → auto-match attempt fails → exception routed to ops team → ops reviews original deal ticket → contacts counterparty → resolution: amendment, cancel-rebook, or waiver → confirmation proceeds.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How are exceptions resolved? The operations team pulls the original deal ticket and voice recording if applicable. They contact the counterparty's operations team with the specific mismatch. For minor rounding differences, both parties agree to amend the lower precision figure. For substantive mismatches — wrong rate or notional — it may require cancel-and-rebook with trader sign-off. The resolution is documented in the exception system with timestamps and approvals. The time pressure is real: the ISDA Master requires confirmation within defined timeframes.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ISDA confirmation timeframe table: vanilla IRS — 1 business day; equity swaps — 3 business days; exotic structured — 5 business days; regulatory benchmarks from ISDA Protocol.</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ISDA's Confirmation timelines vary by product complexity. For vanilla IRS — 1 business day confirmation target. Equity swaps — 3 business days. Exotic structured products — 5 business days. FSB and ISDA publish annual statistics on confirmation backlogs — a key regulatory metric. Regulators penalise firms with high unconfirmed rates. The operations function's confirmation management KPI is: what percentage of trades are confirmed within the ISDA-required timeframe?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F10.8-V3-S6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Validation vs Verification side-by-side table; key checks at each stage; STP impact; confirmation timeline;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stages 4–6: Capture is booking. Enrichment is populating. Validation is checking completeness, accuracy, and compliance. Verification is matching with counterparty. Together these four stages form the middle office's quality control layer. Strong STP rates depend on accurate capture. Complete enrichment depends on quality static data. Validation catches errors before they become confirmation disputes. Verification ensures bilateral agreement. Mastering these stages is fundamental to a career in OTC derivatives operations.</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F10.9  |  OTC TLC Stages 7–11: Confirmation to Reconciliation</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final five stages of the OTC TLC — Confirmation, Transaction Reporting, Settlement, and Reconciliation — apply settlement and reconciliation processes to an IRS cashflow event, and relate the differences between cleared and non-cleared OTC settlement mechanics.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processes of confirmation, settlement, and reconciliation for OTC derivatives, including the role of CLS, DVP, and CCIL in settlement.</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end-to-end settlement process for a floating rate fixing and payment on a sample IRS, identifying all operational steps and potential breaks.</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central clearing changes settlement mechanics compared to bilateral non-cleared OTC derivatives.</w:t>
            </w:r>
          </w:p>
        </w:tc>
      </w:tr>
    </w:tbl>
    <w:p/>
    <w:p>
      <w:pPr>
        <w:pBdr>
          <w:bottom w:val="single" w:sz="6" w:space="1" w:color="007A87"/>
        </w:pBdr>
      </w:pPr>
    </w:p>
    <w:p>
      <w:r>
        <w:rPr>
          <w:rFonts w:ascii="Calibri" w:hAnsi="Calibri"/>
          <w:b/>
          <w:i w:val="0"/>
          <w:color w:val="007A87"/>
          <w:sz w:val="26"/>
        </w:rPr>
        <w:t>Video 1: Stage 7–8: Confirmation and Transaction Reporting</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Pipeline zoom: stages 7–8 highlighted in GOLD; flow from verification → confirmation generation → regulatory reporting → settlement queue; ISDA confirmation document image.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After validation and verification, the trade moves to confirmation — the stage where bilateral agreement is legally documented. Stage 7 is Confirmation; Stage 8 is Transaction Reporting — the ongoing lifecycle event reporting beyond the initial trade report. Let's examine each carefully.</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Confirmation document anatomy: header (counterparty details, trade date, UTI), economic terms (notional, fixed rate, floating rate, payment dates), governing law, signature block; annotated with 'ISDA 2006 Definitions incorporated by reference'.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confirmation is a binding legal document that records the agreed terms of a trade. It incorporates by reference the ISDA Master Agreement, Schedule, and applicable Definitions. Key sections: Trade information — UTI, trade date, effective date, maturity. Economic terms — notional, fixed rate, floating leg index and tenor. Payment schedule — all payment dates, business day conventions. Legal provisions — governing law (English law most common), dispute resolution. The confirmation becomes Schedule C under the ISDA documentation framework.</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Confirmation channels diagram: paper (legacy, signed) → fax (legacy) → electronic — MarkitWire (rates), DTCC Deriv/SERV (credit), TradeStation (equity) → DFA confirmations (master-linked) → digital signatures.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Confirmation delivery has evolved. Paper and fax are legacy but still used for complex structured products. Electronic platforms are standard for vanilla products: MarkitWire for IRS, DTCC Deriv/SERV for CDS, TradeStation for equity derivatives. These platforms allow both counterparties to electronically affirm trade details, generating a legally binding confirmation without physical signatures. Digital signature adoption under COVID accelerated the move to fully electronic confirmation workflows. In India, CCIL's confirmation system handles INR IRS confirmations.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Transaction Reporting stage 8 diagram: lifecycle events — novation, amendment, partial termination, early termination, expiry — each triggers a TR update report; UTI links all events for the trade.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8 is Transaction Reporting — not just the initial report but the ongoing reporting of all lifecycle events. An IRS goes through many changes: novation (new counterparty), partial termination (reduce notional), rate reset (floating rate fixing), amendment (change payment date). Each event must be reported to the TR with the UTI linking back to the original trade. EMIR requires lifecycle reporting within T+1. Operations must maintain a lifecycle event queue — capturing and reporting every change to the trade's terms or status.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Novation diagram: Party A (sell-side exiting) → Party B (original counterparty) → Party C (new counterparty); consent required from all three; UTI transfer; TR update; legal documentation: novation agreement.</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Novation is worth special attention. When a dealer wants to exit a trade, it novates — transfers the trade to a new counterparty. Three-way consent is required: the original counterparty and new counterparty must both agree. Operations tasks: obtain novation consent from Party B, prepare and execute novation agreement (or use ISDA Novation Protocol), update the trade system to reflect Party C as new counterparty, transfer or re-generate UTI, report novation to TR. Novation failures — where consent isn't properly documented — are a significant source of legal risk.</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F10.9-V1-S6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Confirmation vs Transaction Reporting; key documents; electronic platforms; lifecycle events; reporting deadlines;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stages 7–8: Confirmation creates the legal record of the trade. Electronic confirmation via MarkitWire or DTCC Deriv/SERV is standard for vanilla products. Transaction Reporting captures all lifecycle events with the TR — this is ongoing until the trade matures or terminates. Operations teams must maintain a lifecycle event queue, submit reports on time, and ensure UTI integrity throughout the trade's life. Unconfirmed trades and unreported lifecycle events are the two biggest regulatory risk items in OTC operations.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Stage 9–10: Settlement — Cleared vs Bilateral</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Settlement stage diagram: two paths diverge — Cleared (CCP settles via multilateral netting) and Non-Cleared Bilateral (direct settlement via correspondent banking); both shown with settlement flow.</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Settlement in OTC derivatives means the exchange of cash or assets between counterparties to fulfil trade obligations. For most OTC derivatives, settlement occurs at specific cash flow events — floating rate fixings, coupon payments, or at maturity. Critically, settlement mechanics differ between cleared and non-cleared trades. Let's walk through both.</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IRS settlement example: MIFOR fixing on 8 Nov 2026 → fixing rate 6.85% → floating payment = 6.85% × ₹100 crore × 92/365 = ₹1.727 crore; fixed payment = 6.50% × ₹100 crore × 184/365 = ₹3.277 crore (semi-annual); net payment: ABC Bank pays XYZ Corp ₹1.55 crore difference.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calculate an IRS settlement. Our trade: XYZ Corp pays fixed 6.50% semi-annual, ABC Bank pays MIFOR 6M quarterly. On 8 November 2026, MIFOR fixes at 6.85%. The floating payment due: 6.85% × ₹100 crore × 92 days divided by 365 = ₹1.727 crore, payable by ABC Bank. The fixed payment is semi-annual — ₹3.277 crore on 8 November. If payments net: ABC Bank receives ₹3.277 crore minus ₹1.727 crore = ₹1.55 crore net from XYZ Corp. Operations must calculate, confirm the fixing rate from FBIL, and instruct payment.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Cleared settlement flow: CCP collects fixing from FBIL → calculates each member's net payment → multilateral netting → single payment instruction per member per currency → RTGS settlement via RBI.</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IRS cleared through CCIL, the settlement process is elegant. CCIL collects the MIFOR fixing from FBIL. It calculates each clearing member's net payment across all their IRS positions. A dealer with 500 IRS trades ends up with one net payment instruction — dramatically reducing settlement volume. CCIL then instructs payment through the RBI's RTGS system for INR. Settlement is final and irrevocable. Operations at clearing member banks must ensure adequate RTGS balances before the settlement window — typically 3 PM IST for INR OTC settlements.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Bilateral settlement flow: operations calculates payment → prepares SWIFT MT202 payment instruction → correspondent bank processes → counterparty receives via RTGS or SWIFT; settlement risk during payment gap highlighted in red.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non-cleared bilateral OTC derivatives, settlement is more complex. Operations calculates the net payment amount — confirming the fixing rate with the counterparty. They prepare a SWIFT payment instruction — typically MT202 for bank-to-bank payments. The correspondent bank processes the payment via SWIFT network. The counterparty receives via their domestic payment system. Critically, there is a settlement gap: Party A pays but Party B may not pay simultaneously — settlement risk. For FX derivatives, CLS Bank eliminates this risk through payment-versus-payment settlement.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Failed settlement consequences: counterparty calls ops → failed payment chase → penalty interest accrual → reputational damage → potential default notice if repeated; escalation procedure flowchart.</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Settlement failures — fails — are a significant operational risk. A fail occurs when the correct payment amount isn't received on the due date. Causes: wrong SSI in system, RTGS liquidity shortage, correspondent bank error, incorrect payment amount. Operations must monitor incoming and outgoing payments on settlement date, identify fails by end of business, chase counterparties, and resolve by T+1. Persistent fails can trigger default notices under the ISDA Master Agreement. Settlement operations teams track fail rates as a key performance metric.</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F10.9-V2-S6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Comparison table: Cleared Settlement vs Bilateral Settlement — columns: settlement mechanism, netting, settlement risk, ops complexity, finality;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Cleared settlement through CCIL or LCH provides multilateral netting, guaranteed finality, and elimination of bilateral settlement risk. It requires clearing membership, daily margin management, and RTGS liquidity. Bilateral settlement requires direct counterparty payment management, SSI maintenance, and carries settlement risk. For Indian INR IRS above ₹10 crore, clearing is mandatory — so bilateral settlement is increasingly only for exotic or cross-border derivatives not covered by the clearing mandate.</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Stage 11: Reconciliation and Position Management</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diagram: internal trade system vs counterparty trade system vs CCP records vs TR records — four-way matching; breaks shown as red boxes; resolution workflow.</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is the final stage of the OTC TLC and one of the most important. It's the process of comparing trade records across multiple sources to ensure they all agree. Operations must reconcile: their internal system against the counterparty's records, CCP records for cleared trades, and TR records for reported positions. Reconciliation breaks indicate potential errors, disputes, or fraud — they must be resolved before they compound.</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Portfolio reconciliation workflow: ISDA EMIR Article 13 requirement; daily reconciliation for portfolios &gt;500 trades; weekly for 51–499 trades; quarterly for 1–50; platforms — TriOptima TriRecon, DTCC, Markit Platform.</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Regulatory mandates specify reconciliation frequency. Under EMIR, financial counterparties with portfolios above 500 OTC trades must reconcile daily. 51–499 trades: weekly. Under 50: quarterly. These portfolio reconciliations compare: trade population (are all trades in both records?), economic terms (do notional, rate, dates match?), valuation (are MTM valuations within tolerance?). Platforms like TriOptima's TriRecon automate this comparison, generating exception reports. Operations must resolve each exception within the regulatory deadline.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Types of reconciliation breaks: trade population break (trade exists in A but not B), economic break (different rate), valuation break (different MTM), settled cash break (different cash flow history); each with resolution path.</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breaks fall into four categories. Trade population break: you have a trade the counterparty doesn't — possible novation not processed, or booking error. Economic break: different notional or rate — possible amendment not captured on one side. Valuation break: different MTM — different pricing models or date conventions; tolerable within a threshold, escalate if over. Cash break: different historical payment records — settled cash reconciliation ensures all past payments agree before the trade matures. Each type has a specific resolution workflow.</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TriOptima compression service diagram: bilateral offsetting trades identified → dealer consents → novation/termination → portfolio size reduced by 40–60%; cost and risk reduction metrics.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also enables compression — reducing the number of trades in a portfolio. TriOptima's TriReduce service identifies offsetting trades across a dealer's OTC portfolio and terminates them multilaterally. For example: a bank has 1,000 IRS trades with 20 counterparties. Many trades offset each other. Compression terminates offsetting pairs, reducing the portfolio to 600 trades — 40% fewer confirmations, settlements, and reconciliations. Post-2008 regulation incentivises compression by reducing the gross notional counted for capital requirements. Ops teams manage the compression cycle.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Maturity and early termination diagram: at maturity — final cashflow, accrued interest, release of collateral, TR end-of-life report; early termination — break fee or termination payment, mutual termination agreement or exercise of break clause.</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Every trade eventually ends. At maturity: the final cash flow is calculated and settled, all collateral is returned, and a termination report is sent to the TR marking the trade's status as Expired. For early termination, there are two paths. Mutual agreement: both parties agree to terminate at a negotiated break value. Break clause exercise: one party exercises a pre-agreed option to terminate on certain dates. In both cases, operations calculates the termination payment — which could be positive or negative — settles it, releases collateral, and closes out the trade in all systems.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F10.9-V3-S6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Full OTC TLC summary: 11-stage pipeline with ops touchpoints at each stage; key metric at each stage (STP rate, confirmation rate, settlement fail rate, reconciliation break rate);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Congratulations — you've now walked through all eleven stages of the OTC Trade Life Cycle. From Initiation through Reconciliation, each stage has specific operations tasks, risks, and metrics. The best operations professionals understand not just their own stage but the whole pipeline — because a break at Stage 4 can cascade into a failed settlement at Stage 9. The metrics you'll be judged on: STP rate, confirmation timeliness, settlement fail rate, reconciliation break resolution speed. Master these eleven stages and you'll be ready for any OTC operations role.</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F10.10  |  End-to-End Case Study and Post-2008 OTC Reforms</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how a real-world IRS or CDS trade flows through all 11 OTC TLC stages, apply the post-2008 regulatory framework — clearing mandate, margin rules, and trade reporting — to a specific trade scenario, and relate the lessons of the 2008 crisis to current OTC market infrastructure and operations practice.</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end-to-end journey of a representative OTC derivative through all 11 trade life cycle stages, including all operational touchpoints.</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clearing, margining, and reporting obligations to a specific cross-currency swap scenario, identifying which requirements apply and why.</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The 2008 Lehman Brothers and AIG failures to the G20-driven reforms that created modern OTC market infrastructure.</w:t>
            </w:r>
          </w:p>
        </w:tc>
      </w:tr>
    </w:tbl>
    <w:p/>
    <w:p>
      <w:pPr>
        <w:pBdr>
          <w:bottom w:val="single" w:sz="6" w:space="1" w:color="007A87"/>
        </w:pBdr>
      </w:pPr>
    </w:p>
    <w:p>
      <w:r>
        <w:rPr>
          <w:rFonts w:ascii="Calibri" w:hAnsi="Calibri"/>
          <w:b/>
          <w:i w:val="0"/>
          <w:color w:val="007A87"/>
          <w:sz w:val="26"/>
        </w:rPr>
        <w:t>Video 1: End-to-End IRS Trade Walk-Through</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Storyboard: Indian IT company (TCS-style) with USD receivables wanting INR cash flow certainty → approaches bank for USD/INR cross-currency swap → 5-year tenor; GOLD headline 'End-to-End Case Study'.</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follow a single trade through all eleven OTC TLC stages. Our scenario: Techsol India Limited, an IT exporter, receives USD 10 million quarterly from a US client. They want INR cash flows instead — so they execute a USD-INR cross-currency swap. They pay USD SOFR quarterly and receive INR fixed 7.20% semi-annual for 5 years. Notional: USD 10 million / INR 84 crore at spot rate 84.</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Stages 1–3 animation: Techsol's treasurer at desk → HDFC Bank sales quotes 7.20% → ISDA MA confirmed in system → trade executed via SDP → UTI generated → CCIL TR report filed same day.</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1 Initiation: Techsol's treasury team approaches HDFC Bank's structured products desk. The salesperson checks Techsol's ISDA Master Agreement and Schedule — confirmed in place, covers cross-currency swaps, English law. Credit limit: INR 100 crore equivalent — sufficient. Stage 2 Execution: trade executed on HDFC's SDP at 7.20% INR fixed, USD SOFR quarterly. System generates Trade ID HDFC-XCCY-20260508-001. Stage 3 Reporting: UTI generated, CCIL TR report filed same day — CCIL requires same-day reporting for INR cross-currency swaps.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Stages 4–5 animation: Murex booking screen showing cross-currency swap details → enrichment adds INR fixed payment schedule (10 semi-annual dates), USD SOFR reset dates (20 quarterly), business day calendars Mumbai + New York.</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4 Capture: the trade is booked in Murex. Key fields: product type XCCY Basis Swap, counterparty Techsol India Ltd (LEI confirmed), notional USD 10M / INR 84 Cr, effective date 12 May 2026, maturity 12 May 2031, fixed leg INR 7.20% semi-annual ACT/365, floating leg USD SOFR 3M quarterly ACT/360. Stage 5 Enrichment: Murex generates all 10 INR payment dates, 20 USD SOFR reset dates, applies Mumbai and New York holiday calendars, loads Techsol's INR settlement bank (HDFC Mumbai RTGS) and USD SSI (JP Morgan New York SWIFT).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Stages 6–7 animation: validation checks pass (credit limit green, docs green, product eligible); MarkitWire confirmation generated → Techsol operations team affirms → bilateral confirmation complete within 1 business day.</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6 Validation and Verification: all checks pass — credit limit within threshold, ISDA documentation confirmed, product within master agreement scope. Techsol's system records match HDFC's — UTI, notional, rate, dates all verified. Stage 7 Confirmation: MarkitWire generates the electronic confirmation incorporating ISDA 2006 Definitions (for the INR fixed leg conventions), ISDA 1998 FX Definitions (for exchange rate provisions), and ISDA 2021 Interest Rate Definitions (for SOFR). Techsol's operations team affirms within 3 hours. Confirmation complete.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Stages 8–11 animation: CSA margin calls (Techsol posts initial collateral), quarterly SOFR fixing → payment instruction → SWIFT MT202 sent → settlement confirmed; annual reconciliation (all 4 years of trade life shown compressed).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Stage 8 Ongoing TR Reporting: every SOFR rate reset, every payment, every collateral call is reported to CCIL TR. Stage 9 Settlement: quarterly, SOFR fixes via ISDA Benchmark Administrator. Operations calculates Techsol's USD payment, sends MT202 to JP Morgan New York. HDFC pays INR semi-annual via RTGS. CSA variation margin exchanged monthly. Stage 10 Reconciliation: monthly portfolio reconciliation confirms all terms match; annual compression check (no offsetting trades in this case). Stage 11 Maturity in May 2031: final exchange, collateral released, trade marked Expired in all systems and CCIL TR.</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F10.10-V1-S6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timeline: all 11 stages mapped to the Techsol trade; colour-coded by front-office, middle-office, back-office; key operations tasks at each stage; NAVY background.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This case study illustrates why OTC operations is complex. A single 5-year cross-currency swap generates: one CCIL TR report plus dozens of lifecycle reports, 20 SOFR fixings and payment instructions, 10 INR fixed payment calculations, 60 monthly CSA margin exchanges, 60 monthly reconciliation checks, and finally a maturity processing event. Multiply this by thousands of trades and you understand why operations teams invest heavily in automation, STP, and exception management. The TLC is not just academic — it's your daily work.</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Post-2008 OTC Market Reforms — Impact on Operations</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Crisis timeline: Sep 2008 Lehman collapse → Oct 2008 AIG bailout → Nov 2008 G20 emergency summit → 2009 Pittsburgh commitment → 2010–2012 legislation; dramatic graphics showing market stress.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2008 financial crisis was catalysed by OTC derivatives. Lehman Brothers had $35 trillion in OTC derivatives notional — when it failed, counterparties across the globe faced losses they couldn't quantify. AIG had sold $441 billion of CDS protection without adequate collateral — the US government paid $185 billion to prevent a cascade of defaults. These failures revealed three fundamental weaknesses in the OTC market: no transparency, no central risk management, and no mandatory margining.</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Three weaknesses graphic: 1) Opacity — bilateral OTC, no central view of exposure; 2) Concentration — systemic risk concentrated in too-big-to-fail dealers; 3) No Margin — AIG-style unhedged positions; solution arrows pointing to the three reform pillars.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G20 diagnosed three problems and prescribed three solutions. Problem 1 — Opacity: no one knew who owed what to whom. Solution: mandatory trade reporting to TRs. Problem 2 — Systemic concentration: bilateral chains meant one failure spread everywhere. Solution: mandatory central clearing through CCPs. Problem 3 — Inadequate margining: AIG had no margin agreement for its CDS book. Solution: mandatory bilateral margin under UMR. These three reforms — reporting, clearing, and margining — are now the foundation of OTC operations.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Dodd-Frank vs EMIR comparison table: rows — clearing mandate, reporting mandate, SEF/OTF requirement, margin rules, entity thresholds; columns US Dodd-Frank and EU EMIR; similarities and key differences highlighted.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reforms were implemented differently across jurisdictions — creating complexity for global operations teams. Dodd-Frank in the US mandated SEF trading and CFTC/SEC reporting. EMIR in Europe mandated ESMA-recognised CCP clearing and TR reporting. Both require bilateral margin for non-cleared derivatives. Key differences: Dodd-Frank has extraterritorial application — it applies to US persons globally. EMIR applies to EU-established entities. In practice, a UK-based dealer trading with a US hedge fund must comply with both — a 'dual-compliance' challenge that occupies significant operations resource.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 reforms timeline: 2013 RBI circular on IRS clearing mandate → CCIL CCP → 2015 SEBI mandate for exchange-traded equity derivatives → 2020 MIFOR reform (transition to MIBOR-OIS) → 2022 FRN market development; FIMMDA and CCIL logos.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India's reforms followed the G20 template but were calibrated for domestic market development. The RBI mandated CCIL clearing for Rupee IRS above ₹10 crore in 2013 — a targeted mandate covering the most systemically important instruments. India also underwent a benchmark reform: MIFOR, historically linked to USD LIBOR and FIMMDA fixing, transitioned to MIBOR-OIS-based benchmarks as LIBOR was discontinued globally in 2021. Operations teams in Indian banks had to manage MIFOR legacy book transition — repairing thousands of CSA and confirmation references to the new benchmark.</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IBOR transition graphic: LIBOR discontinuation Dec 2021 → transition rates (SOFR for USD, SONIA for GBP, €STR for EUR, MIBOR/MIFOR reform in India) → fallback protocol → ISDA 2020 IBOR Fallbacks Supplement and Protocol; operations workload bar chart showing millions of trades affected.</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IBOR transition was arguably the biggest operational challenge in OTC derivatives history. LIBOR — the rate used in hundreds of trillions of dollars of derivatives — was discontinued at end of 2021 for most currencies. The replacement: SOFR for USD, SONIA for GBP, €STR for EUR. The ISDA 2020 IBOR Fallbacks Supplement and Protocol provided the mechanism: legacy trades incorporating the Protocol automatically switch to the new benchmark plus a spread adjustment when LIBOR ceases. Operations teams spent 3 years remediating systems, confirmations, and CSAs — a monumental transformation effort.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F10.10-V2-S6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Future OTC market landscape: digital assets derivatives, tokenised collateral, distributed ledger settlement, AI-driven exception management; Imarticus brand graphic with 'The future of OTC operations'.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OTC derivatives market continues to evolve. Digital assets derivatives — BTC options, ETH swaps — are entering institutional markets with the same TLC stages but new settlement mechanisms. Tokenised collateral on blockchain platforms could replace traditional custodian models. DLT-based settlement could eliminate the T+1 settlement gap. AI-driven exception management is already reducing reconciliation break resolution times. But the fundamentals you've learned — ISDA framework, TLC stages, clearing, margining, reporting — remain the foundation. Whatever technology changes, the legal and operational logic of OTC derivatives stays the same.</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Module Wrap-Up — ISDA, OTC TLC, and Your Career</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F10.10-V3-S1</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Module map: F10.1–F10.10 shown as connected nodes; ISDA foundation (F10.1–F10.5) on left; OTC market and TLC (F10.6–F10.10) on right; central node 'ISDA &amp; OTC TLC Mastery'; GOLD design.</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You've completed Module F10 — ISDA and OTC Trade Life Cycle. Let's take stock of what you've learned. F10.1 introduced the OTC market and ISDA's role. F10.2 dissected the ISDA Master Agreement's five parts. F10.3 covered Events of Default, Termination Events, and close-out netting. F10.4 unpacked the Schedule's key elections. F10.5 explained the CSA — variation margin, initial margin, and UMR. F10.6 explored ISDA Definitions. F10.7 mapped OTC participants and execution channels. F10.8 and F10.9 walked through all 11 TLC stages. F10.10 integrated everything via case study and post-2008 reforms.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F10.10-V3-S2</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Career paths graphic: OTC Documentation (ISDA focus) → OTC Middle Office (validation, confirmation) → OTC Back Office (settlement, reconciliation) → Risk/Margin Management → Product Control → Compliance (reporting mandates); growth arrows.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This module prepares you for multiple career paths in banking operations. The ISDA documentation specialist — negotiating and maintaining ISDA agreements, managing credit support terms. The OTC middle office analyst — validation, verification, confirmation, exception management. The OTC settlements specialist — payment processing, fails management, SWIFT operations. The margin analyst — calculating variation and initial margin, managing disputes. Each path uses a subset of the F10 knowledge — but having the full picture makes you far more effective and promotable.</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F10.10-V3-S3</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ISDA Master Agreement one-page summary: five parts (Interpretation, Obligations, Representations, Agreements, Events of Default/Termination); supported by Schedule (elections), CSA (collateral), Definitions (vocabulary), Confirmation (trade specifics).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do a rapid ISDA recap. The Master Agreement has five parts: Part 1 — Interpretation. Part 2 — Obligations (payment netting, tax gross-up). Part 3 — Representations. Part 4 — Agreements (maintain authorisations, notify of merger). Part 5 — Default and Termination. The Schedule tailors it: elections for Automatic Early Termination, threshold amounts, termination currency. The CSA governs collateral: VM formula, IM under UMR, custodian segregation. Definitions provide vocabulary. Confirmations record each trade. The Single Agreement concept ties it all together — one legal relationship, all trades.</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F10.10-V3-S4</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OTC TLC 11-stage rapid-fire summary: Initiation → Execution → Reporting → Capture → Enrichment → Validation → Verification → Confirmation → Transaction Reporting → Settlement → Reconciliation; ops action at each stage in bullet form.</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OTC TLC rapid fire: Initiation — check docs and credit. Execution — STP deal ticket, assign UTI. Reporting — file TR report with LEI and UTI within deadline. Capture — book in Murex/Calypso, zero errors. Enrichment — load static data, generate schedules. Validation — check 4 layers: economic, static, regulatory, documentation. Verification — match with counterparty via MarkitWire or DTCC. Confirmation — issue within ISDA timeframe, electronic preferred. TR Reporting — report all lifecycle events. Settlement — calculate fixing, instruct payment, manage fails. Reconciliation — four-way match, resolve breaks, enable compression.</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F10.10-V3-S5</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Top 10 operations interview questions for OTC: list of ten questions with recommended answer frameworks; TEAL background with GOLD numbering.</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Before your interview, know these ten questions cold. One: what is the Single Agreement concept under ISDA? Two: what is close-out netting and why does it matter? Three: walk me through an IRS trade life cycle. Four: what is the difference between variation margin and initial margin? Five: what is a UTI and why is it important? Six: what is the role of a Trade Repository? Seven: explain the difference between cleared and non-cleared OTC settlement. Eight: what is IBOR transition and why did it matter operationally? Nine: what is TriOptima compression? Ten: what is the ISDA Determinations Committee? Prepare structured, concise answers for each.</w:t>
            </w:r>
          </w:p>
        </w:tc>
      </w:tr>
    </w:tbl>
    <w:p/>
    <w:tbl>
      <w:tblPr>
        <w:tblStyle w:val="TableGrid"/>
        <w:tblW w:type="auto" w:w="0"/>
        <w:jc w:val="center"/>
        <w:tblLook w:firstColumn="1" w:firstRow="1" w:lastColumn="0" w:lastRow="0" w:noHBand="0" w:noVBand="1" w:val="04A0"/>
      </w:tblPr>
      <w:tblGrid>
        <w:gridCol w:w="4986"/>
        <w:gridCol w:w="4986"/>
      </w:tblGrid>
      <w:tr>
        <w:tc>
          <w:tcPr>
            <w:tcW w:type="dxa" w:w="9972"/>
            <w:gridSpan w:val="2"/>
            <w:shd w:val="clear" w:color="auto" w:fill="007A87"/>
          </w:tcPr>
          <w:p>
            <w:pPr>
              <w:jc w:val="center"/>
            </w:pPr>
            <w:r>
              <w:rPr>
                <w:rFonts w:ascii="Calibri" w:hAnsi="Calibri"/>
                <w:b/>
                <w:i w:val="0"/>
                <w:color w:val="FFFFFF"/>
                <w:sz w:val="22"/>
              </w:rPr>
              <w:t>Scene F10.10-V3-S6</w:t>
            </w:r>
          </w:p>
        </w:tc>
      </w:tr>
      <w:tr>
        <w:tc>
          <w:tcPr>
            <w:tcW w:type="dxa" w:w="4986"/>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986"/>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9972"/>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Final slide: Module F10 complete graphic — ISDA documentation stack + OTC TLC pipeline; Imarticus CIBOP brand; student learning outcomes checklist; motivational message; NAVY background, GOLD accents.</w:t>
            </w:r>
          </w:p>
        </w:tc>
      </w:tr>
      <w:tr>
        <w:tc>
          <w:tcPr>
            <w:tcW w:type="dxa" w:w="9972"/>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Module F10 is complete. You now have a comprehensive understanding of ISDA documentation — the legal architecture that makes OTC trading possible — and the eleven-stage OTC Trade Life Cycle that takes a trade from inception to final reconciliation. This knowledge, combined with your exchange TLC and settlement modules, gives you the operational expertise to contribute meaningfully from day one in any financial institution. The OTC derivatives market is complex, consequential, and constantly evolving. You're now equipped to navigate it. Best of luck in your interviews and your career in investment banking operations.</w:t>
            </w:r>
          </w:p>
        </w:tc>
      </w:tr>
    </w:tbl>
    <w:p/>
    <w:p>
      <w:pPr>
        <w:jc w:val="center"/>
      </w:pPr>
      <w:r>
        <w:rPr>
          <w:rFonts w:ascii="Calibri" w:hAnsi="Calibri"/>
          <w:b/>
          <w:i w:val="0"/>
          <w:color w:val="007A87"/>
          <w:sz w:val="18"/>
        </w:rPr>
        <w:t>[END OF VIDEO]</w:t>
      </w:r>
    </w:p>
    <w:p/>
    <w:p>
      <w:pPr>
        <w:pBdr>
          <w:bottom w:val="single" w:sz="6" w:space="1" w:color="F0A800"/>
        </w:pBdr>
      </w:pPr>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