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360"/>
      </w:tblGrid>
      <w:tr>
        <w:tc>
          <w:tcPr>
            <w:tcW w:type="dxa" w:w="9360"/>
            <w:shd w:val="clear" w:color="auto" w:fill="101C4F"/>
          </w:tcPr>
          <w:p/>
          <w:p>
            <w:pPr>
              <w:jc w:val="center"/>
            </w:pPr>
            <w:r>
              <w:rPr>
                <w:rFonts w:ascii="Calibri" w:hAnsi="Calibri"/>
                <w:b w:val="0"/>
                <w:i w:val="0"/>
                <w:color w:val="F0A800"/>
                <w:sz w:val="26"/>
              </w:rPr>
              <w:t>CIBOP</w:t>
            </w:r>
          </w:p>
          <w:p>
            <w:pPr>
              <w:jc w:val="center"/>
            </w:pPr>
            <w:r>
              <w:rPr>
                <w:rFonts w:ascii="Calibri" w:hAnsi="Calibri"/>
                <w:b w:val="0"/>
                <w:i w:val="0"/>
                <w:color w:val="FFFFFF"/>
                <w:sz w:val="22"/>
              </w:rPr>
              <w:t>Certificate in Investment Banking Operations Programme</w:t>
            </w:r>
          </w:p>
          <w:p>
            <w:pPr>
              <w:jc w:val="center"/>
            </w:pPr>
            <w:r>
              <w:rPr>
                <w:rFonts w:ascii="Calibri" w:hAnsi="Calibri"/>
                <w:b w:val="0"/>
                <w:i w:val="0"/>
                <w:color w:val="FFFFFF"/>
                <w:sz w:val="16"/>
              </w:rPr>
            </w:r>
          </w:p>
          <w:p>
            <w:pPr>
              <w:jc w:val="center"/>
            </w:pPr>
            <w:r>
              <w:rPr>
                <w:rFonts w:ascii="Calibri" w:hAnsi="Calibri"/>
                <w:b/>
                <w:i w:val="0"/>
                <w:color w:val="FFFFFF"/>
                <w:sz w:val="40"/>
              </w:rPr>
              <w:t>MODULE H12</w:t>
            </w:r>
          </w:p>
          <w:p>
            <w:pPr>
              <w:jc w:val="center"/>
            </w:pPr>
            <w:r>
              <w:rPr>
                <w:rFonts w:ascii="Calibri" w:hAnsi="Calibri"/>
                <w:b/>
                <w:i w:val="0"/>
                <w:color w:val="F0A800"/>
                <w:sz w:val="32"/>
              </w:rPr>
              <w:t>Lending Operations</w:t>
            </w:r>
          </w:p>
          <w:p>
            <w:pPr>
              <w:jc w:val="center"/>
            </w:pPr>
            <w:r>
              <w:rPr>
                <w:rFonts w:ascii="Calibri" w:hAnsi="Calibri"/>
                <w:b w:val="0"/>
                <w:i w:val="0"/>
                <w:color w:val="FFFFFF"/>
                <w:sz w:val="16"/>
              </w:rPr>
            </w:r>
          </w:p>
          <w:p>
            <w:pPr>
              <w:jc w:val="center"/>
            </w:pPr>
            <w:r>
              <w:rPr>
                <w:rFonts w:ascii="Calibri" w:hAnsi="Calibri"/>
                <w:b/>
                <w:i w:val="0"/>
                <w:color w:val="FFFFFF"/>
                <w:sz w:val="26"/>
              </w:rPr>
              <w:t>ASSESSMENT BANK</w:t>
            </w:r>
          </w:p>
          <w:p>
            <w:pPr>
              <w:jc w:val="center"/>
            </w:pPr>
            <w:r>
              <w:rPr>
                <w:rFonts w:ascii="Calibri" w:hAnsi="Calibri"/>
                <w:b w:val="0"/>
                <w:i w:val="0"/>
                <w:color w:val="F5F6FA"/>
                <w:sz w:val="20"/>
              </w:rPr>
              <w:t>40 Multiple-Choice Questions  |  4 Questions per UOR</w:t>
            </w:r>
          </w:p>
        </w:tc>
      </w:tr>
    </w:tbl>
    <w:p/>
    <w:tbl>
      <w:tblPr>
        <w:tblStyle w:val="TableGrid"/>
        <w:tblW w:type="auto" w:w="0"/>
        <w:tblLook w:firstColumn="1" w:firstRow="1" w:lastColumn="0" w:lastRow="0" w:noHBand="0" w:noVBand="1" w:val="04A0"/>
      </w:tblPr>
      <w:tblGrid>
        <w:gridCol w:w="9360"/>
      </w:tblGrid>
      <w:tr>
        <w:tc>
          <w:tcPr>
            <w:tcW w:type="dxa" w:w="9360"/>
            <w:shd w:val="clear" w:color="auto" w:fill="007A87"/>
          </w:tcPr>
          <w:p/>
          <w:p>
            <w:pPr>
              <w:jc w:val="left"/>
            </w:pPr>
            <w:r>
              <w:rPr>
                <w:rFonts w:ascii="Calibri" w:hAnsi="Calibri"/>
                <w:b/>
                <w:i w:val="0"/>
                <w:color w:val="FFFFFF"/>
                <w:sz w:val="24"/>
              </w:rPr>
              <w:t>H12.1  |  Introduction to Lending Operations</w:t>
            </w:r>
          </w:p>
        </w:tc>
      </w:tr>
    </w:tbl>
    <w:p/>
    <w:p>
      <w:pPr>
        <w:spacing w:before="80"/>
      </w:pPr>
      <w:r>
        <w:rPr>
          <w:rFonts w:ascii="Calibri" w:hAnsi="Calibri"/>
          <w:b/>
          <w:i w:val="0"/>
          <w:color w:val="101C4F"/>
          <w:sz w:val="22"/>
        </w:rPr>
        <w:t xml:space="preserve">Q1.  </w:t>
      </w:r>
      <w:r>
        <w:rPr>
          <w:rFonts w:ascii="Calibri" w:hAnsi="Calibri"/>
          <w:b w:val="0"/>
          <w:i w:val="0"/>
          <w:color w:val="404040"/>
          <w:sz w:val="22"/>
        </w:rPr>
        <w:t>Which of the following best describes the primary economic function of bank lending?</w:t>
      </w:r>
    </w:p>
    <w:p>
      <w:pPr>
        <w:spacing w:before="20"/>
        <w:ind w:left="432"/>
      </w:pPr>
      <w:r>
        <w:rPr>
          <w:rFonts w:ascii="Calibri" w:hAnsi="Calibri"/>
          <w:b w:val="0"/>
          <w:i w:val="0"/>
          <w:color w:val="404040"/>
          <w:sz w:val="21"/>
        </w:rPr>
        <w:t>A. Enabling banks to earn fee income from arranging bond issuances</w:t>
      </w:r>
    </w:p>
    <w:p>
      <w:pPr>
        <w:spacing w:before="20"/>
        <w:ind w:left="432"/>
      </w:pPr>
      <w:r>
        <w:rPr>
          <w:rFonts w:ascii="Calibri" w:hAnsi="Calibri"/>
          <w:b w:val="0"/>
          <w:i w:val="0"/>
          <w:color w:val="404040"/>
          <w:sz w:val="21"/>
        </w:rPr>
        <w:t>B. Transferring capital from providers of funds to borrowers who need it, facilitating economic activity</w:t>
      </w:r>
    </w:p>
    <w:p>
      <w:pPr>
        <w:spacing w:before="20"/>
        <w:ind w:left="432"/>
      </w:pPr>
      <w:r>
        <w:rPr>
          <w:rFonts w:ascii="Calibri" w:hAnsi="Calibri"/>
          <w:b w:val="0"/>
          <w:i w:val="0"/>
          <w:color w:val="404040"/>
          <w:sz w:val="21"/>
        </w:rPr>
        <w:t>C. Allowing banks to hedge their interest rate risk using derivative instruments</w:t>
      </w:r>
    </w:p>
    <w:p>
      <w:pPr>
        <w:spacing w:before="20"/>
        <w:ind w:left="432"/>
      </w:pPr>
      <w:r>
        <w:rPr>
          <w:rFonts w:ascii="Calibri" w:hAnsi="Calibri"/>
          <w:b w:val="0"/>
          <w:i w:val="0"/>
          <w:color w:val="404040"/>
          <w:sz w:val="21"/>
        </w:rPr>
        <w:t>D. Providing regulatory capital to support the leverage ratio</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Bank lending intermediates capital: banks gather deposits and raise funding in capital markets, then deploy that capital as loans — channelling savings into productive economic activity.</w:t>
            </w:r>
          </w:p>
        </w:tc>
      </w:tr>
    </w:tbl>
    <w:p>
      <w:pPr>
        <w:spacing w:after="40"/>
      </w:pPr>
    </w:p>
    <w:p>
      <w:pPr>
        <w:spacing w:before="80"/>
      </w:pPr>
      <w:r>
        <w:rPr>
          <w:rFonts w:ascii="Calibri" w:hAnsi="Calibri"/>
          <w:b/>
          <w:i w:val="0"/>
          <w:color w:val="101C4F"/>
          <w:sz w:val="22"/>
        </w:rPr>
        <w:t xml:space="preserve">Q2.  </w:t>
      </w:r>
      <w:r>
        <w:rPr>
          <w:rFonts w:ascii="Calibri" w:hAnsi="Calibri"/>
          <w:b w:val="0"/>
          <w:i w:val="0"/>
          <w:color w:val="404040"/>
          <w:sz w:val="22"/>
        </w:rPr>
        <w:t>Which of the following is a key responsibility of the facility agent in a syndicated loan?</w:t>
      </w:r>
    </w:p>
    <w:p>
      <w:pPr>
        <w:spacing w:before="20"/>
        <w:ind w:left="432"/>
      </w:pPr>
      <w:r>
        <w:rPr>
          <w:rFonts w:ascii="Calibri" w:hAnsi="Calibri"/>
          <w:b w:val="0"/>
          <w:i w:val="0"/>
          <w:color w:val="404040"/>
          <w:sz w:val="21"/>
        </w:rPr>
        <w:t>A. Providing proprietary credit research on the borrower to all lenders</w:t>
      </w:r>
    </w:p>
    <w:p>
      <w:pPr>
        <w:spacing w:before="20"/>
        <w:ind w:left="432"/>
      </w:pPr>
      <w:r>
        <w:rPr>
          <w:rFonts w:ascii="Calibri" w:hAnsi="Calibri"/>
          <w:b w:val="0"/>
          <w:i w:val="0"/>
          <w:color w:val="404040"/>
          <w:sz w:val="21"/>
        </w:rPr>
        <w:t>B. Acting as the central administrator — processing payments, notices, and amendments between the borrower and the syndicate</w:t>
      </w:r>
    </w:p>
    <w:p>
      <w:pPr>
        <w:spacing w:before="20"/>
        <w:ind w:left="432"/>
      </w:pPr>
      <w:r>
        <w:rPr>
          <w:rFonts w:ascii="Calibri" w:hAnsi="Calibri"/>
          <w:b w:val="0"/>
          <w:i w:val="0"/>
          <w:color w:val="404040"/>
          <w:sz w:val="21"/>
        </w:rPr>
        <w:t>C. Underwriting the full loan amount and taking credit risk on the entire facility</w:t>
      </w:r>
    </w:p>
    <w:p>
      <w:pPr>
        <w:spacing w:before="20"/>
        <w:ind w:left="432"/>
      </w:pPr>
      <w:r>
        <w:rPr>
          <w:rFonts w:ascii="Calibri" w:hAnsi="Calibri"/>
          <w:b w:val="0"/>
          <w:i w:val="0"/>
          <w:color w:val="404040"/>
          <w:sz w:val="21"/>
        </w:rPr>
        <w:t>D. Executing the borrower's hedging transactions under the ISDA master agreement</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The facility agent is the operational hub of a syndicated loan — all drawdowns, interest payments, amendments, and notices pass through the agent, who distributes them to the syndicate.</w:t>
            </w:r>
          </w:p>
        </w:tc>
      </w:tr>
    </w:tbl>
    <w:p>
      <w:pPr>
        <w:spacing w:after="40"/>
      </w:pPr>
    </w:p>
    <w:p>
      <w:pPr>
        <w:spacing w:before="80"/>
      </w:pPr>
      <w:r>
        <w:rPr>
          <w:rFonts w:ascii="Calibri" w:hAnsi="Calibri"/>
          <w:b/>
          <w:i w:val="0"/>
          <w:color w:val="101C4F"/>
          <w:sz w:val="22"/>
        </w:rPr>
        <w:t xml:space="preserve">Q3.  </w:t>
      </w:r>
      <w:r>
        <w:rPr>
          <w:rFonts w:ascii="Calibri" w:hAnsi="Calibri"/>
          <w:b w:val="0"/>
          <w:i w:val="0"/>
          <w:color w:val="404040"/>
          <w:sz w:val="22"/>
        </w:rPr>
        <w:t>Under IFRS 9, why must banks provision for credit losses on loans from the day they are originated?</w:t>
      </w:r>
    </w:p>
    <w:p>
      <w:pPr>
        <w:spacing w:before="20"/>
        <w:ind w:left="432"/>
      </w:pPr>
      <w:r>
        <w:rPr>
          <w:rFonts w:ascii="Calibri" w:hAnsi="Calibri"/>
          <w:b w:val="0"/>
          <w:i w:val="0"/>
          <w:color w:val="404040"/>
          <w:sz w:val="21"/>
        </w:rPr>
        <w:t>A. To comply with Basel III minimum capital requirements on new loans</w:t>
      </w:r>
    </w:p>
    <w:p>
      <w:pPr>
        <w:spacing w:before="20"/>
        <w:ind w:left="432"/>
      </w:pPr>
      <w:r>
        <w:rPr>
          <w:rFonts w:ascii="Calibri" w:hAnsi="Calibri"/>
          <w:b w:val="0"/>
          <w:i w:val="0"/>
          <w:color w:val="404040"/>
          <w:sz w:val="21"/>
        </w:rPr>
        <w:t>B. Because IFRS 9 requires an 'expected credit loss' model — provisions reflect anticipated future losses, not just losses that have already occurred</w:t>
      </w:r>
    </w:p>
    <w:p>
      <w:pPr>
        <w:spacing w:before="20"/>
        <w:ind w:left="432"/>
      </w:pPr>
      <w:r>
        <w:rPr>
          <w:rFonts w:ascii="Calibri" w:hAnsi="Calibri"/>
          <w:b w:val="0"/>
          <w:i w:val="0"/>
          <w:color w:val="404040"/>
          <w:sz w:val="21"/>
        </w:rPr>
        <w:t>C. Because all new loans are automatically classified as Stage 3 at origination</w:t>
      </w:r>
    </w:p>
    <w:p>
      <w:pPr>
        <w:spacing w:before="20"/>
        <w:ind w:left="432"/>
      </w:pPr>
      <w:r>
        <w:rPr>
          <w:rFonts w:ascii="Calibri" w:hAnsi="Calibri"/>
          <w:b w:val="0"/>
          <w:i w:val="0"/>
          <w:color w:val="404040"/>
          <w:sz w:val="21"/>
        </w:rPr>
        <w:t>D. To ensure adequate liquidity coverage under the LCR requirement</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IFRS 9 replaced the 'incurred loss' model with an 'expected credit loss' model — from day one, banks must estimate and provision for losses they statistically expect to occur over the life of the loan.</w:t>
            </w:r>
          </w:p>
        </w:tc>
      </w:tr>
    </w:tbl>
    <w:p>
      <w:pPr>
        <w:spacing w:after="40"/>
      </w:pPr>
    </w:p>
    <w:p>
      <w:pPr>
        <w:spacing w:before="80"/>
      </w:pPr>
      <w:r>
        <w:rPr>
          <w:rFonts w:ascii="Calibri" w:hAnsi="Calibri"/>
          <w:b/>
          <w:i w:val="0"/>
          <w:color w:val="101C4F"/>
          <w:sz w:val="22"/>
        </w:rPr>
        <w:t xml:space="preserve">Q4.  </w:t>
      </w:r>
      <w:r>
        <w:rPr>
          <w:rFonts w:ascii="Calibri" w:hAnsi="Calibri"/>
          <w:b w:val="0"/>
          <w:i w:val="0"/>
          <w:color w:val="404040"/>
          <w:sz w:val="22"/>
        </w:rPr>
        <w:t>What distinguishes a Term Loan B (TLB) from a Term Loan A (TLA) in the leveraged lending market?</w:t>
      </w:r>
    </w:p>
    <w:p>
      <w:pPr>
        <w:spacing w:before="20"/>
        <w:ind w:left="432"/>
      </w:pPr>
      <w:r>
        <w:rPr>
          <w:rFonts w:ascii="Calibri" w:hAnsi="Calibri"/>
          <w:b w:val="0"/>
          <w:i w:val="0"/>
          <w:color w:val="404040"/>
          <w:sz w:val="21"/>
        </w:rPr>
        <w:t>A. TLBs are investment grade; TLAs are sub-investment grade</w:t>
      </w:r>
    </w:p>
    <w:p>
      <w:pPr>
        <w:spacing w:before="20"/>
        <w:ind w:left="432"/>
      </w:pPr>
      <w:r>
        <w:rPr>
          <w:rFonts w:ascii="Calibri" w:hAnsi="Calibri"/>
          <w:b w:val="0"/>
          <w:i w:val="0"/>
          <w:color w:val="404040"/>
          <w:sz w:val="21"/>
        </w:rPr>
        <w:t>B. TLBs have minimal scheduled amortisation and a bullet repayment at maturity, targeting institutional investors; TLAs amortise regularly and are held by banks</w:t>
      </w:r>
    </w:p>
    <w:p>
      <w:pPr>
        <w:spacing w:before="20"/>
        <w:ind w:left="432"/>
      </w:pPr>
      <w:r>
        <w:rPr>
          <w:rFonts w:ascii="Calibri" w:hAnsi="Calibri"/>
          <w:b w:val="0"/>
          <w:i w:val="0"/>
          <w:color w:val="404040"/>
          <w:sz w:val="21"/>
        </w:rPr>
        <w:t>C. TLBs are denominated in foreign currencies; TLAs are domestic currency only</w:t>
      </w:r>
    </w:p>
    <w:p>
      <w:pPr>
        <w:spacing w:before="20"/>
        <w:ind w:left="432"/>
      </w:pPr>
      <w:r>
        <w:rPr>
          <w:rFonts w:ascii="Calibri" w:hAnsi="Calibri"/>
          <w:b w:val="0"/>
          <w:i w:val="0"/>
          <w:color w:val="404040"/>
          <w:sz w:val="21"/>
        </w:rPr>
        <w:t>D. TLBs are revolving facilities; TLAs are term facilities</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TLBs are designed for institutional investors (CLOs, hedge funds): they typically amortise at just 1% per year with a large bullet repayment at maturity. TLAs amortise regularly and are typically held by relationship banks.</w:t>
            </w:r>
          </w:p>
        </w:tc>
      </w:tr>
    </w:tbl>
    <w:p>
      <w:pPr>
        <w:spacing w:after="40"/>
      </w:pPr>
    </w:p>
    <w:p>
      <w:pPr>
        <w:pBdr>
          <w:bottom w:val="single" w:sz="6" w:space="1" w:color="007A87"/>
        </w:pBdr>
        <w:spacing w:after="40"/>
      </w:pPr>
    </w:p>
    <w:tbl>
      <w:tblPr>
        <w:tblStyle w:val="TableGrid"/>
        <w:tblW w:type="auto" w:w="0"/>
        <w:tblLook w:firstColumn="1" w:firstRow="1" w:lastColumn="0" w:lastRow="0" w:noHBand="0" w:noVBand="1" w:val="04A0"/>
      </w:tblPr>
      <w:tblGrid>
        <w:gridCol w:w="9360"/>
      </w:tblGrid>
      <w:tr>
        <w:tc>
          <w:tcPr>
            <w:tcW w:type="dxa" w:w="9360"/>
            <w:shd w:val="clear" w:color="auto" w:fill="007A87"/>
          </w:tcPr>
          <w:p/>
          <w:p>
            <w:pPr>
              <w:jc w:val="left"/>
            </w:pPr>
            <w:r>
              <w:rPr>
                <w:rFonts w:ascii="Calibri" w:hAnsi="Calibri"/>
                <w:b/>
                <w:i w:val="0"/>
                <w:color w:val="FFFFFF"/>
                <w:sz w:val="24"/>
              </w:rPr>
              <w:t>H12.2  |  Types of Loans and Credit Facilities</w:t>
            </w:r>
          </w:p>
        </w:tc>
      </w:tr>
    </w:tbl>
    <w:p/>
    <w:p>
      <w:pPr>
        <w:spacing w:before="80"/>
      </w:pPr>
      <w:r>
        <w:rPr>
          <w:rFonts w:ascii="Calibri" w:hAnsi="Calibri"/>
          <w:b/>
          <w:i w:val="0"/>
          <w:color w:val="101C4F"/>
          <w:sz w:val="22"/>
        </w:rPr>
        <w:t xml:space="preserve">Q5.  </w:t>
      </w:r>
      <w:r>
        <w:rPr>
          <w:rFonts w:ascii="Calibri" w:hAnsi="Calibri"/>
          <w:b w:val="0"/>
          <w:i w:val="0"/>
          <w:color w:val="404040"/>
          <w:sz w:val="22"/>
        </w:rPr>
        <w:t>A revolving credit facility (RCF) differs from a term loan primarily in that:</w:t>
      </w:r>
    </w:p>
    <w:p>
      <w:pPr>
        <w:spacing w:before="20"/>
        <w:ind w:left="432"/>
      </w:pPr>
      <w:r>
        <w:rPr>
          <w:rFonts w:ascii="Calibri" w:hAnsi="Calibri"/>
          <w:b w:val="0"/>
          <w:i w:val="0"/>
          <w:color w:val="404040"/>
          <w:sz w:val="21"/>
        </w:rPr>
        <w:t>A. An RCF is always unsecured; a term loan is always secured</w:t>
      </w:r>
    </w:p>
    <w:p>
      <w:pPr>
        <w:spacing w:before="20"/>
        <w:ind w:left="432"/>
      </w:pPr>
      <w:r>
        <w:rPr>
          <w:rFonts w:ascii="Calibri" w:hAnsi="Calibri"/>
          <w:b w:val="0"/>
          <w:i w:val="0"/>
          <w:color w:val="404040"/>
          <w:sz w:val="21"/>
        </w:rPr>
        <w:t>B. An RCF allows the borrower to draw, repay, and redraw within the commitment limit; a term loan generally cannot be redrawn once repaid</w:t>
      </w:r>
    </w:p>
    <w:p>
      <w:pPr>
        <w:spacing w:before="20"/>
        <w:ind w:left="432"/>
      </w:pPr>
      <w:r>
        <w:rPr>
          <w:rFonts w:ascii="Calibri" w:hAnsi="Calibri"/>
          <w:b w:val="0"/>
          <w:i w:val="0"/>
          <w:color w:val="404040"/>
          <w:sz w:val="21"/>
        </w:rPr>
        <w:t>C. An RCF has a fixed interest rate; a term loan has a floating rate</w:t>
      </w:r>
    </w:p>
    <w:p>
      <w:pPr>
        <w:spacing w:before="20"/>
        <w:ind w:left="432"/>
      </w:pPr>
      <w:r>
        <w:rPr>
          <w:rFonts w:ascii="Calibri" w:hAnsi="Calibri"/>
          <w:b w:val="0"/>
          <w:i w:val="0"/>
          <w:color w:val="404040"/>
          <w:sz w:val="21"/>
        </w:rPr>
        <w:t>D. An RCF is used for acquisitions; a term loan is used for working capital</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The defining feature of an RCF is its revolving nature — funds can be drawn and repaid multiple times during the availability period. A term loan provides a fixed sum that reduces over time through scheduled repayments.</w:t>
            </w:r>
          </w:p>
        </w:tc>
      </w:tr>
    </w:tbl>
    <w:p>
      <w:pPr>
        <w:spacing w:after="40"/>
      </w:pPr>
    </w:p>
    <w:p>
      <w:pPr>
        <w:spacing w:before="80"/>
      </w:pPr>
      <w:r>
        <w:rPr>
          <w:rFonts w:ascii="Calibri" w:hAnsi="Calibri"/>
          <w:b/>
          <w:i w:val="0"/>
          <w:color w:val="101C4F"/>
          <w:sz w:val="22"/>
        </w:rPr>
        <w:t xml:space="preserve">Q6.  </w:t>
      </w:r>
      <w:r>
        <w:rPr>
          <w:rFonts w:ascii="Calibri" w:hAnsi="Calibri"/>
          <w:b w:val="0"/>
          <w:i w:val="0"/>
          <w:color w:val="404040"/>
          <w:sz w:val="22"/>
        </w:rPr>
        <w:t>What is the commitment fee in a revolving credit facility?</w:t>
      </w:r>
    </w:p>
    <w:p>
      <w:pPr>
        <w:spacing w:before="20"/>
        <w:ind w:left="432"/>
      </w:pPr>
      <w:r>
        <w:rPr>
          <w:rFonts w:ascii="Calibri" w:hAnsi="Calibri"/>
          <w:b w:val="0"/>
          <w:i w:val="0"/>
          <w:color w:val="404040"/>
          <w:sz w:val="21"/>
        </w:rPr>
        <w:t>A. The fee paid to the arranging bank for structuring the deal</w:t>
      </w:r>
    </w:p>
    <w:p>
      <w:pPr>
        <w:spacing w:before="20"/>
        <w:ind w:left="432"/>
      </w:pPr>
      <w:r>
        <w:rPr>
          <w:rFonts w:ascii="Calibri" w:hAnsi="Calibri"/>
          <w:b w:val="0"/>
          <w:i w:val="0"/>
          <w:color w:val="404040"/>
          <w:sz w:val="21"/>
        </w:rPr>
        <w:t>B. A fee paid on the undrawn portion of the facility to compensate lenders for maintaining the standby funding commitment</w:t>
      </w:r>
    </w:p>
    <w:p>
      <w:pPr>
        <w:spacing w:before="20"/>
        <w:ind w:left="432"/>
      </w:pPr>
      <w:r>
        <w:rPr>
          <w:rFonts w:ascii="Calibri" w:hAnsi="Calibri"/>
          <w:b w:val="0"/>
          <w:i w:val="0"/>
          <w:color w:val="404040"/>
          <w:sz w:val="21"/>
        </w:rPr>
        <w:t>C. A penalty paid when the borrower draws more than the agreed limit</w:t>
      </w:r>
    </w:p>
    <w:p>
      <w:pPr>
        <w:spacing w:before="20"/>
        <w:ind w:left="432"/>
      </w:pPr>
      <w:r>
        <w:rPr>
          <w:rFonts w:ascii="Calibri" w:hAnsi="Calibri"/>
          <w:b w:val="0"/>
          <w:i w:val="0"/>
          <w:color w:val="404040"/>
          <w:sz w:val="21"/>
        </w:rPr>
        <w:t>D. The fee paid when the facility is amended or extended</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The commitment fee compensates lenders for the obligation to fund on demand — even when the borrower has not drawn. It accrues on the undrawn portion at a rate defined in the facility agreement.</w:t>
            </w:r>
          </w:p>
        </w:tc>
      </w:tr>
    </w:tbl>
    <w:p>
      <w:pPr>
        <w:spacing w:after="40"/>
      </w:pPr>
    </w:p>
    <w:p>
      <w:pPr>
        <w:spacing w:before="80"/>
      </w:pPr>
      <w:r>
        <w:rPr>
          <w:rFonts w:ascii="Calibri" w:hAnsi="Calibri"/>
          <w:b/>
          <w:i w:val="0"/>
          <w:color w:val="101C4F"/>
          <w:sz w:val="22"/>
        </w:rPr>
        <w:t xml:space="preserve">Q7.  </w:t>
      </w:r>
      <w:r>
        <w:rPr>
          <w:rFonts w:ascii="Calibri" w:hAnsi="Calibri"/>
          <w:b w:val="0"/>
          <w:i w:val="0"/>
          <w:color w:val="404040"/>
          <w:sz w:val="22"/>
        </w:rPr>
        <w:t>A bridge loan is best described as:</w:t>
      </w:r>
    </w:p>
    <w:p>
      <w:pPr>
        <w:spacing w:before="20"/>
        <w:ind w:left="432"/>
      </w:pPr>
      <w:r>
        <w:rPr>
          <w:rFonts w:ascii="Calibri" w:hAnsi="Calibri"/>
          <w:b w:val="0"/>
          <w:i w:val="0"/>
          <w:color w:val="404040"/>
          <w:sz w:val="21"/>
        </w:rPr>
        <w:t>A. A long-term secured facility used to finance infrastructure projects</w:t>
      </w:r>
    </w:p>
    <w:p>
      <w:pPr>
        <w:spacing w:before="20"/>
        <w:ind w:left="432"/>
      </w:pPr>
      <w:r>
        <w:rPr>
          <w:rFonts w:ascii="Calibri" w:hAnsi="Calibri"/>
          <w:b w:val="0"/>
          <w:i w:val="0"/>
          <w:color w:val="404040"/>
          <w:sz w:val="21"/>
        </w:rPr>
        <w:t>B. Short-term financing that provides interim funding until a permanent source (e.g., bond issuance or long-term bank facility) is arranged</w:t>
      </w:r>
    </w:p>
    <w:p>
      <w:pPr>
        <w:spacing w:before="20"/>
        <w:ind w:left="432"/>
      </w:pPr>
      <w:r>
        <w:rPr>
          <w:rFonts w:ascii="Calibri" w:hAnsi="Calibri"/>
          <w:b w:val="0"/>
          <w:i w:val="0"/>
          <w:color w:val="404040"/>
          <w:sz w:val="21"/>
        </w:rPr>
        <w:t>C. A subordinated mezzanine instrument sitting below senior debt in the capital structure</w:t>
      </w:r>
    </w:p>
    <w:p>
      <w:pPr>
        <w:spacing w:before="20"/>
        <w:ind w:left="432"/>
      </w:pPr>
      <w:r>
        <w:rPr>
          <w:rFonts w:ascii="Calibri" w:hAnsi="Calibri"/>
          <w:b w:val="0"/>
          <w:i w:val="0"/>
          <w:color w:val="404040"/>
          <w:sz w:val="21"/>
        </w:rPr>
        <w:t>D. A guarantee facility used for performance bonds in construction contracts</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Bridge loans are temporary — typically 6–18 months — providing funding to bridge a gap until permanent financing is in place. They carry higher margins and mandatory prepayment provisions tied to the permanent financing.</w:t>
            </w:r>
          </w:p>
        </w:tc>
      </w:tr>
    </w:tbl>
    <w:p>
      <w:pPr>
        <w:spacing w:after="40"/>
      </w:pPr>
    </w:p>
    <w:p>
      <w:pPr>
        <w:spacing w:before="80"/>
      </w:pPr>
      <w:r>
        <w:rPr>
          <w:rFonts w:ascii="Calibri" w:hAnsi="Calibri"/>
          <w:b/>
          <w:i w:val="0"/>
          <w:color w:val="101C4F"/>
          <w:sz w:val="22"/>
        </w:rPr>
        <w:t xml:space="preserve">Q8.  </w:t>
      </w:r>
      <w:r>
        <w:rPr>
          <w:rFonts w:ascii="Calibri" w:hAnsi="Calibri"/>
          <w:b w:val="0"/>
          <w:i w:val="0"/>
          <w:color w:val="404040"/>
          <w:sz w:val="22"/>
        </w:rPr>
        <w:t>In asset-based lending (ABL), the borrowing base is calculated based on:</w:t>
      </w:r>
    </w:p>
    <w:p>
      <w:pPr>
        <w:spacing w:before="20"/>
        <w:ind w:left="432"/>
      </w:pPr>
      <w:r>
        <w:rPr>
          <w:rFonts w:ascii="Calibri" w:hAnsi="Calibri"/>
          <w:b w:val="0"/>
          <w:i w:val="0"/>
          <w:color w:val="404040"/>
          <w:sz w:val="21"/>
        </w:rPr>
        <w:t>A. The EBITDA multiple agreed with the borrower's auditors</w:t>
      </w:r>
    </w:p>
    <w:p>
      <w:pPr>
        <w:spacing w:before="20"/>
        <w:ind w:left="432"/>
      </w:pPr>
      <w:r>
        <w:rPr>
          <w:rFonts w:ascii="Calibri" w:hAnsi="Calibri"/>
          <w:b w:val="0"/>
          <w:i w:val="0"/>
          <w:color w:val="404040"/>
          <w:sz w:val="21"/>
        </w:rPr>
        <w:t>B. The net book value of the borrower's fixed assets and goodwill</w:t>
      </w:r>
    </w:p>
    <w:p>
      <w:pPr>
        <w:spacing w:before="20"/>
        <w:ind w:left="432"/>
      </w:pPr>
      <w:r>
        <w:rPr>
          <w:rFonts w:ascii="Calibri" w:hAnsi="Calibri"/>
          <w:b w:val="0"/>
          <w:i w:val="0"/>
          <w:color w:val="404040"/>
          <w:sz w:val="21"/>
        </w:rPr>
        <w:t>C. The value of eligible receivables and inventory after applying agreed advance rates</w:t>
      </w:r>
    </w:p>
    <w:p>
      <w:pPr>
        <w:spacing w:before="20"/>
        <w:ind w:left="432"/>
      </w:pPr>
      <w:r>
        <w:rPr>
          <w:rFonts w:ascii="Calibri" w:hAnsi="Calibri"/>
          <w:b w:val="0"/>
          <w:i w:val="0"/>
          <w:color w:val="404040"/>
          <w:sz w:val="21"/>
        </w:rPr>
        <w:t>D. The borrower's market capitalisation at the most recent quarter end</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C</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The ABL borrowing base is a dynamic calculation: eligible receivables × advance rate + eligible inventory × advance rate. It fluctuates with the underlying asset pool, which is the distinguishing feature of asset-based lending.</w:t>
            </w:r>
          </w:p>
        </w:tc>
      </w:tr>
    </w:tbl>
    <w:p>
      <w:pPr>
        <w:spacing w:after="40"/>
      </w:pPr>
    </w:p>
    <w:p>
      <w:pPr>
        <w:pBdr>
          <w:bottom w:val="single" w:sz="6" w:space="1" w:color="007A87"/>
        </w:pBdr>
        <w:spacing w:after="40"/>
      </w:pPr>
    </w:p>
    <w:tbl>
      <w:tblPr>
        <w:tblStyle w:val="TableGrid"/>
        <w:tblW w:type="auto" w:w="0"/>
        <w:tblLook w:firstColumn="1" w:firstRow="1" w:lastColumn="0" w:lastRow="0" w:noHBand="0" w:noVBand="1" w:val="04A0"/>
      </w:tblPr>
      <w:tblGrid>
        <w:gridCol w:w="9360"/>
      </w:tblGrid>
      <w:tr>
        <w:tc>
          <w:tcPr>
            <w:tcW w:type="dxa" w:w="9360"/>
            <w:shd w:val="clear" w:color="auto" w:fill="007A87"/>
          </w:tcPr>
          <w:p/>
          <w:p>
            <w:pPr>
              <w:jc w:val="left"/>
            </w:pPr>
            <w:r>
              <w:rPr>
                <w:rFonts w:ascii="Calibri" w:hAnsi="Calibri"/>
                <w:b/>
                <w:i w:val="0"/>
                <w:color w:val="FFFFFF"/>
                <w:sz w:val="24"/>
              </w:rPr>
              <w:t>H12.3  |  Loan Origination and Credit Assessment</w:t>
            </w:r>
          </w:p>
        </w:tc>
      </w:tr>
    </w:tbl>
    <w:p/>
    <w:p>
      <w:pPr>
        <w:spacing w:before="80"/>
      </w:pPr>
      <w:r>
        <w:rPr>
          <w:rFonts w:ascii="Calibri" w:hAnsi="Calibri"/>
          <w:b/>
          <w:i w:val="0"/>
          <w:color w:val="101C4F"/>
          <w:sz w:val="22"/>
        </w:rPr>
        <w:t xml:space="preserve">Q9.  </w:t>
      </w:r>
      <w:r>
        <w:rPr>
          <w:rFonts w:ascii="Calibri" w:hAnsi="Calibri"/>
          <w:b w:val="0"/>
          <w:i w:val="0"/>
          <w:color w:val="404040"/>
          <w:sz w:val="22"/>
        </w:rPr>
        <w:t>In the '5 Cs of Credit' framework, what does 'Capacity' refer to?</w:t>
      </w:r>
    </w:p>
    <w:p>
      <w:pPr>
        <w:spacing w:before="20"/>
        <w:ind w:left="432"/>
      </w:pPr>
      <w:r>
        <w:rPr>
          <w:rFonts w:ascii="Calibri" w:hAnsi="Calibri"/>
          <w:b w:val="0"/>
          <w:i w:val="0"/>
          <w:color w:val="404040"/>
          <w:sz w:val="21"/>
        </w:rPr>
        <w:t>A. The physical capacity of the borrower's manufacturing facilities</w:t>
      </w:r>
    </w:p>
    <w:p>
      <w:pPr>
        <w:spacing w:before="20"/>
        <w:ind w:left="432"/>
      </w:pPr>
      <w:r>
        <w:rPr>
          <w:rFonts w:ascii="Calibri" w:hAnsi="Calibri"/>
          <w:b w:val="0"/>
          <w:i w:val="0"/>
          <w:color w:val="404040"/>
          <w:sz w:val="21"/>
        </w:rPr>
        <w:t>B. The borrower's ability to repay — typically assessed through cash flow generation, EBITDA, and debt service coverage metrics</w:t>
      </w:r>
    </w:p>
    <w:p>
      <w:pPr>
        <w:spacing w:before="20"/>
        <w:ind w:left="432"/>
      </w:pPr>
      <w:r>
        <w:rPr>
          <w:rFonts w:ascii="Calibri" w:hAnsi="Calibri"/>
          <w:b w:val="0"/>
          <w:i w:val="0"/>
          <w:color w:val="404040"/>
          <w:sz w:val="21"/>
        </w:rPr>
        <w:t>C. The amount of equity capital contributed by the borrower's shareholders</w:t>
      </w:r>
    </w:p>
    <w:p>
      <w:pPr>
        <w:spacing w:before="20"/>
        <w:ind w:left="432"/>
      </w:pPr>
      <w:r>
        <w:rPr>
          <w:rFonts w:ascii="Calibri" w:hAnsi="Calibri"/>
          <w:b w:val="0"/>
          <w:i w:val="0"/>
          <w:color w:val="404040"/>
          <w:sz w:val="21"/>
        </w:rPr>
        <w:t>D. The collateral available to secure the loan</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'Capacity' assesses whether the borrower generates sufficient cash flow to service and repay the debt. Key metrics include EBITDA, free cash flow, interest coverage ratio, and debt service coverage ratio.</w:t>
            </w:r>
          </w:p>
        </w:tc>
      </w:tr>
    </w:tbl>
    <w:p>
      <w:pPr>
        <w:spacing w:after="40"/>
      </w:pPr>
    </w:p>
    <w:p>
      <w:pPr>
        <w:spacing w:before="80"/>
      </w:pPr>
      <w:r>
        <w:rPr>
          <w:rFonts w:ascii="Calibri" w:hAnsi="Calibri"/>
          <w:b/>
          <w:i w:val="0"/>
          <w:color w:val="101C4F"/>
          <w:sz w:val="22"/>
        </w:rPr>
        <w:t xml:space="preserve">Q10.  </w:t>
      </w:r>
      <w:r>
        <w:rPr>
          <w:rFonts w:ascii="Calibri" w:hAnsi="Calibri"/>
          <w:b w:val="0"/>
          <w:i w:val="0"/>
          <w:color w:val="404040"/>
          <w:sz w:val="22"/>
        </w:rPr>
        <w:t>A pricing grid in a leveraged loan agreement typically works by:</w:t>
      </w:r>
    </w:p>
    <w:p>
      <w:pPr>
        <w:spacing w:before="20"/>
        <w:ind w:left="432"/>
      </w:pPr>
      <w:r>
        <w:rPr>
          <w:rFonts w:ascii="Calibri" w:hAnsi="Calibri"/>
          <w:b w:val="0"/>
          <w:i w:val="0"/>
          <w:color w:val="404040"/>
          <w:sz w:val="21"/>
        </w:rPr>
        <w:t>A. Fixing the interest rate for the full term of the loan to provide borrower certainty</w:t>
      </w:r>
    </w:p>
    <w:p>
      <w:pPr>
        <w:spacing w:before="20"/>
        <w:ind w:left="432"/>
      </w:pPr>
      <w:r>
        <w:rPr>
          <w:rFonts w:ascii="Calibri" w:hAnsi="Calibri"/>
          <w:b w:val="0"/>
          <w:i w:val="0"/>
          <w:color w:val="404040"/>
          <w:sz w:val="21"/>
        </w:rPr>
        <w:t>B. Adjusting the credit margin up or down based on the borrower's leverage ratio at each testing date</w:t>
      </w:r>
    </w:p>
    <w:p>
      <w:pPr>
        <w:spacing w:before="20"/>
        <w:ind w:left="432"/>
      </w:pPr>
      <w:r>
        <w:rPr>
          <w:rFonts w:ascii="Calibri" w:hAnsi="Calibri"/>
          <w:b w:val="0"/>
          <w:i w:val="0"/>
          <w:color w:val="404040"/>
          <w:sz w:val="21"/>
        </w:rPr>
        <w:t>C. Linking the margin to the bank's own cost of funds, which changes monthly</w:t>
      </w:r>
    </w:p>
    <w:p>
      <w:pPr>
        <w:spacing w:before="20"/>
        <w:ind w:left="432"/>
      </w:pPr>
      <w:r>
        <w:rPr>
          <w:rFonts w:ascii="Calibri" w:hAnsi="Calibri"/>
          <w:b w:val="0"/>
          <w:i w:val="0"/>
          <w:color w:val="404040"/>
          <w:sz w:val="21"/>
        </w:rPr>
        <w:t>D. Setting different margins for different tranches based on their seniority</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A pricing grid creates dynamic pricing: if the borrower's leverage improves (e.g., Net Debt/EBITDA falls below a threshold), the margin steps down. If leverage deteriorates, the margin steps up, reflecting changing credit risk.</w:t>
            </w:r>
          </w:p>
        </w:tc>
      </w:tr>
    </w:tbl>
    <w:p>
      <w:pPr>
        <w:spacing w:after="40"/>
      </w:pPr>
    </w:p>
    <w:p>
      <w:pPr>
        <w:spacing w:before="80"/>
      </w:pPr>
      <w:r>
        <w:rPr>
          <w:rFonts w:ascii="Calibri" w:hAnsi="Calibri"/>
          <w:b/>
          <w:i w:val="0"/>
          <w:color w:val="101C4F"/>
          <w:sz w:val="22"/>
        </w:rPr>
        <w:t xml:space="preserve">Q11.  </w:t>
      </w:r>
      <w:r>
        <w:rPr>
          <w:rFonts w:ascii="Calibri" w:hAnsi="Calibri"/>
          <w:b w:val="0"/>
          <w:i w:val="0"/>
          <w:color w:val="404040"/>
          <w:sz w:val="22"/>
        </w:rPr>
        <w:t>Risk-Adjusted Return on Capital (RAROC) is used by banks to evaluate loans because:</w:t>
      </w:r>
    </w:p>
    <w:p>
      <w:pPr>
        <w:spacing w:before="20"/>
        <w:ind w:left="432"/>
      </w:pPr>
      <w:r>
        <w:rPr>
          <w:rFonts w:ascii="Calibri" w:hAnsi="Calibri"/>
          <w:b w:val="0"/>
          <w:i w:val="0"/>
          <w:color w:val="404040"/>
          <w:sz w:val="21"/>
        </w:rPr>
        <w:t>A. It measures the absolute interest income generated over the life of the loan</w:t>
      </w:r>
    </w:p>
    <w:p>
      <w:pPr>
        <w:spacing w:before="20"/>
        <w:ind w:left="432"/>
      </w:pPr>
      <w:r>
        <w:rPr>
          <w:rFonts w:ascii="Calibri" w:hAnsi="Calibri"/>
          <w:b w:val="0"/>
          <w:i w:val="0"/>
          <w:color w:val="404040"/>
          <w:sz w:val="21"/>
        </w:rPr>
        <w:t>B. It ensures the loan generates a return above the bank's cost of capital after accounting for expected losses and regulatory capital consumption</w:t>
      </w:r>
    </w:p>
    <w:p>
      <w:pPr>
        <w:spacing w:before="20"/>
        <w:ind w:left="432"/>
      </w:pPr>
      <w:r>
        <w:rPr>
          <w:rFonts w:ascii="Calibri" w:hAnsi="Calibri"/>
          <w:b w:val="0"/>
          <w:i w:val="0"/>
          <w:color w:val="404040"/>
          <w:sz w:val="21"/>
        </w:rPr>
        <w:t>C. It calculates the probability of default under stressed macroeconomic scenarios</w:t>
      </w:r>
    </w:p>
    <w:p>
      <w:pPr>
        <w:spacing w:before="20"/>
        <w:ind w:left="432"/>
      </w:pPr>
      <w:r>
        <w:rPr>
          <w:rFonts w:ascii="Calibri" w:hAnsi="Calibri"/>
          <w:b w:val="0"/>
          <w:i w:val="0"/>
          <w:color w:val="404040"/>
          <w:sz w:val="21"/>
        </w:rPr>
        <w:t>D. It determines the appropriate level of IFRS 9 provisioning for the loan</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RAROC = (Revenue − Expected Loss − Operating Costs) / Regulatory Capital. A loan with an adequate RAROC exceeds the bank's hurdle rate; one below may not justify the capital consumption despite appearing profitable on a gross margin basis.</w:t>
            </w:r>
          </w:p>
        </w:tc>
      </w:tr>
    </w:tbl>
    <w:p>
      <w:pPr>
        <w:spacing w:after="40"/>
      </w:pPr>
    </w:p>
    <w:p>
      <w:pPr>
        <w:spacing w:before="80"/>
      </w:pPr>
      <w:r>
        <w:rPr>
          <w:rFonts w:ascii="Calibri" w:hAnsi="Calibri"/>
          <w:b/>
          <w:i w:val="0"/>
          <w:color w:val="101C4F"/>
          <w:sz w:val="22"/>
        </w:rPr>
        <w:t xml:space="preserve">Q12.  </w:t>
      </w:r>
      <w:r>
        <w:rPr>
          <w:rFonts w:ascii="Calibri" w:hAnsi="Calibri"/>
          <w:b w:val="0"/>
          <w:i w:val="0"/>
          <w:color w:val="404040"/>
          <w:sz w:val="22"/>
        </w:rPr>
        <w:t>The transition from LIBOR to risk-free rates (RFRs) such as SOFR and SONIA required changes in loan operations because:</w:t>
      </w:r>
    </w:p>
    <w:p>
      <w:pPr>
        <w:spacing w:before="20"/>
        <w:ind w:left="432"/>
      </w:pPr>
      <w:r>
        <w:rPr>
          <w:rFonts w:ascii="Calibri" w:hAnsi="Calibri"/>
          <w:b w:val="0"/>
          <w:i w:val="0"/>
          <w:color w:val="404040"/>
          <w:sz w:val="21"/>
        </w:rPr>
        <w:t>A. LIBOR was a government-administered rate; SOFR is a private sector rate</w:t>
      </w:r>
    </w:p>
    <w:p>
      <w:pPr>
        <w:spacing w:before="20"/>
        <w:ind w:left="432"/>
      </w:pPr>
      <w:r>
        <w:rPr>
          <w:rFonts w:ascii="Calibri" w:hAnsi="Calibri"/>
          <w:b w:val="0"/>
          <w:i w:val="0"/>
          <w:color w:val="404040"/>
          <w:sz w:val="21"/>
        </w:rPr>
        <w:t>B. RFRs are overnight rates requiring daily compounding calculations, replacing the simple forward-looking LIBOR term rates previously used for interest period calculations</w:t>
      </w:r>
    </w:p>
    <w:p>
      <w:pPr>
        <w:spacing w:before="20"/>
        <w:ind w:left="432"/>
      </w:pPr>
      <w:r>
        <w:rPr>
          <w:rFonts w:ascii="Calibri" w:hAnsi="Calibri"/>
          <w:b w:val="0"/>
          <w:i w:val="0"/>
          <w:color w:val="404040"/>
          <w:sz w:val="21"/>
        </w:rPr>
        <w:t>C. SOFR is denominated in euros; SONIA applies to US dollar loans</w:t>
      </w:r>
    </w:p>
    <w:p>
      <w:pPr>
        <w:spacing w:before="20"/>
        <w:ind w:left="432"/>
      </w:pPr>
      <w:r>
        <w:rPr>
          <w:rFonts w:ascii="Calibri" w:hAnsi="Calibri"/>
          <w:b w:val="0"/>
          <w:i w:val="0"/>
          <w:color w:val="404040"/>
          <w:sz w:val="21"/>
        </w:rPr>
        <w:t>D. RFRs eliminate the credit spread component, making loan pricing cheaper</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Unlike LIBOR (a forward-looking term rate fixed at the start of an interest period), SOFR and SONIA are overnight rates that must be compounded daily over the interest period — requiring LMS upgrades and new interest calculation methodologies.</w:t>
            </w:r>
          </w:p>
        </w:tc>
      </w:tr>
    </w:tbl>
    <w:p>
      <w:pPr>
        <w:spacing w:after="40"/>
      </w:pPr>
    </w:p>
    <w:p>
      <w:pPr>
        <w:pBdr>
          <w:bottom w:val="single" w:sz="6" w:space="1" w:color="007A87"/>
        </w:pBdr>
        <w:spacing w:after="40"/>
      </w:pPr>
    </w:p>
    <w:tbl>
      <w:tblPr>
        <w:tblStyle w:val="TableGrid"/>
        <w:tblW w:type="auto" w:w="0"/>
        <w:tblLook w:firstColumn="1" w:firstRow="1" w:lastColumn="0" w:lastRow="0" w:noHBand="0" w:noVBand="1" w:val="04A0"/>
      </w:tblPr>
      <w:tblGrid>
        <w:gridCol w:w="9360"/>
      </w:tblGrid>
      <w:tr>
        <w:tc>
          <w:tcPr>
            <w:tcW w:type="dxa" w:w="9360"/>
            <w:shd w:val="clear" w:color="auto" w:fill="007A87"/>
          </w:tcPr>
          <w:p/>
          <w:p>
            <w:pPr>
              <w:jc w:val="left"/>
            </w:pPr>
            <w:r>
              <w:rPr>
                <w:rFonts w:ascii="Calibri" w:hAnsi="Calibri"/>
                <w:b/>
                <w:i w:val="0"/>
                <w:color w:val="FFFFFF"/>
                <w:sz w:val="24"/>
              </w:rPr>
              <w:t>H12.4  |  Loan Documentation and Legal Framework</w:t>
            </w:r>
          </w:p>
        </w:tc>
      </w:tr>
    </w:tbl>
    <w:p/>
    <w:p>
      <w:pPr>
        <w:spacing w:before="80"/>
      </w:pPr>
      <w:r>
        <w:rPr>
          <w:rFonts w:ascii="Calibri" w:hAnsi="Calibri"/>
          <w:b/>
          <w:i w:val="0"/>
          <w:color w:val="101C4F"/>
          <w:sz w:val="22"/>
        </w:rPr>
        <w:t xml:space="preserve">Q13.  </w:t>
      </w:r>
      <w:r>
        <w:rPr>
          <w:rFonts w:ascii="Calibri" w:hAnsi="Calibri"/>
          <w:b w:val="0"/>
          <w:i w:val="0"/>
          <w:color w:val="404040"/>
          <w:sz w:val="22"/>
        </w:rPr>
        <w:t>What is the purpose of 'conditions precedent' (CPs) in a loan agreement?</w:t>
      </w:r>
    </w:p>
    <w:p>
      <w:pPr>
        <w:spacing w:before="20"/>
        <w:ind w:left="432"/>
      </w:pPr>
      <w:r>
        <w:rPr>
          <w:rFonts w:ascii="Calibri" w:hAnsi="Calibri"/>
          <w:b w:val="0"/>
          <w:i w:val="0"/>
          <w:color w:val="404040"/>
          <w:sz w:val="21"/>
        </w:rPr>
        <w:t>A. They define the events that allow lenders to accelerate repayment of the loan</w:t>
      </w:r>
    </w:p>
    <w:p>
      <w:pPr>
        <w:spacing w:before="20"/>
        <w:ind w:left="432"/>
      </w:pPr>
      <w:r>
        <w:rPr>
          <w:rFonts w:ascii="Calibri" w:hAnsi="Calibri"/>
          <w:b w:val="0"/>
          <w:i w:val="0"/>
          <w:color w:val="404040"/>
          <w:sz w:val="21"/>
        </w:rPr>
        <w:t>B. They are a checklist of requirements that must be satisfied by the borrower before the agent can permit the first drawdown</w:t>
      </w:r>
    </w:p>
    <w:p>
      <w:pPr>
        <w:spacing w:before="20"/>
        <w:ind w:left="432"/>
      </w:pPr>
      <w:r>
        <w:rPr>
          <w:rFonts w:ascii="Calibri" w:hAnsi="Calibri"/>
          <w:b w:val="0"/>
          <w:i w:val="0"/>
          <w:color w:val="404040"/>
          <w:sz w:val="21"/>
        </w:rPr>
        <w:t>C. They are the financial ratios the borrower must maintain throughout the life of the loan</w:t>
      </w:r>
    </w:p>
    <w:p>
      <w:pPr>
        <w:spacing w:before="20"/>
        <w:ind w:left="432"/>
      </w:pPr>
      <w:r>
        <w:rPr>
          <w:rFonts w:ascii="Calibri" w:hAnsi="Calibri"/>
          <w:b w:val="0"/>
          <w:i w:val="0"/>
          <w:color w:val="404040"/>
          <w:sz w:val="21"/>
        </w:rPr>
        <w:t>D. They define the permitted uses of proceeds from the loan</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CPs are pre-funding requirements: legal opinions, constitutional documents, evidence of authority, executed security documents, and KYC completion must all be confirmed by the agent before any money is disbursed.</w:t>
            </w:r>
          </w:p>
        </w:tc>
      </w:tr>
    </w:tbl>
    <w:p>
      <w:pPr>
        <w:spacing w:after="40"/>
      </w:pPr>
    </w:p>
    <w:p>
      <w:pPr>
        <w:spacing w:before="80"/>
      </w:pPr>
      <w:r>
        <w:rPr>
          <w:rFonts w:ascii="Calibri" w:hAnsi="Calibri"/>
          <w:b/>
          <w:i w:val="0"/>
          <w:color w:val="101C4F"/>
          <w:sz w:val="22"/>
        </w:rPr>
        <w:t xml:space="preserve">Q14.  </w:t>
      </w:r>
      <w:r>
        <w:rPr>
          <w:rFonts w:ascii="Calibri" w:hAnsi="Calibri"/>
          <w:b w:val="0"/>
          <w:i w:val="0"/>
          <w:color w:val="404040"/>
          <w:sz w:val="22"/>
        </w:rPr>
        <w:t>Which type of covenant allows lenders to call an event of default if a financial ratio is breached at a regular test date?</w:t>
      </w:r>
    </w:p>
    <w:p>
      <w:pPr>
        <w:spacing w:before="20"/>
        <w:ind w:left="432"/>
      </w:pPr>
      <w:r>
        <w:rPr>
          <w:rFonts w:ascii="Calibri" w:hAnsi="Calibri"/>
          <w:b w:val="0"/>
          <w:i w:val="0"/>
          <w:color w:val="404040"/>
          <w:sz w:val="21"/>
        </w:rPr>
        <w:t>A. Negative covenant (undertaking)</w:t>
      </w:r>
    </w:p>
    <w:p>
      <w:pPr>
        <w:spacing w:before="20"/>
        <w:ind w:left="432"/>
      </w:pPr>
      <w:r>
        <w:rPr>
          <w:rFonts w:ascii="Calibri" w:hAnsi="Calibri"/>
          <w:b w:val="0"/>
          <w:i w:val="0"/>
          <w:color w:val="404040"/>
          <w:sz w:val="21"/>
        </w:rPr>
        <w:t>B. Information covenant</w:t>
      </w:r>
    </w:p>
    <w:p>
      <w:pPr>
        <w:spacing w:before="20"/>
        <w:ind w:left="432"/>
      </w:pPr>
      <w:r>
        <w:rPr>
          <w:rFonts w:ascii="Calibri" w:hAnsi="Calibri"/>
          <w:b w:val="0"/>
          <w:i w:val="0"/>
          <w:color w:val="404040"/>
          <w:sz w:val="21"/>
        </w:rPr>
        <w:t>C. Financial maintenance covenant</w:t>
      </w:r>
    </w:p>
    <w:p>
      <w:pPr>
        <w:spacing w:before="20"/>
        <w:ind w:left="432"/>
      </w:pPr>
      <w:r>
        <w:rPr>
          <w:rFonts w:ascii="Calibri" w:hAnsi="Calibri"/>
          <w:b w:val="0"/>
          <w:i w:val="0"/>
          <w:color w:val="404040"/>
          <w:sz w:val="21"/>
        </w:rPr>
        <w:t>D. Incurrence covenant</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C</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Financial maintenance covenants are tested periodically (quarterly or semi-annually) against the borrower's financial statements. A breach gives lenders the right to declare an event of default unless a waiver is obtained.</w:t>
            </w:r>
          </w:p>
        </w:tc>
      </w:tr>
    </w:tbl>
    <w:p>
      <w:pPr>
        <w:spacing w:after="40"/>
      </w:pPr>
    </w:p>
    <w:p>
      <w:pPr>
        <w:spacing w:before="80"/>
      </w:pPr>
      <w:r>
        <w:rPr>
          <w:rFonts w:ascii="Calibri" w:hAnsi="Calibri"/>
          <w:b/>
          <w:i w:val="0"/>
          <w:color w:val="101C4F"/>
          <w:sz w:val="22"/>
        </w:rPr>
        <w:t xml:space="preserve">Q15.  </w:t>
      </w:r>
      <w:r>
        <w:rPr>
          <w:rFonts w:ascii="Calibri" w:hAnsi="Calibri"/>
          <w:b w:val="0"/>
          <w:i w:val="0"/>
          <w:color w:val="404040"/>
          <w:sz w:val="22"/>
        </w:rPr>
        <w:t>In a syndicated loan, which document governs the rights and obligations between senior and junior lenders in the capital structure?</w:t>
      </w:r>
    </w:p>
    <w:p>
      <w:pPr>
        <w:spacing w:before="20"/>
        <w:ind w:left="432"/>
      </w:pPr>
      <w:r>
        <w:rPr>
          <w:rFonts w:ascii="Calibri" w:hAnsi="Calibri"/>
          <w:b w:val="0"/>
          <w:i w:val="0"/>
          <w:color w:val="404040"/>
          <w:sz w:val="21"/>
        </w:rPr>
        <w:t>A. The facility agreement</w:t>
      </w:r>
    </w:p>
    <w:p>
      <w:pPr>
        <w:spacing w:before="20"/>
        <w:ind w:left="432"/>
      </w:pPr>
      <w:r>
        <w:rPr>
          <w:rFonts w:ascii="Calibri" w:hAnsi="Calibri"/>
          <w:b w:val="0"/>
          <w:i w:val="0"/>
          <w:color w:val="404040"/>
          <w:sz w:val="21"/>
        </w:rPr>
        <w:t>B. The intercreditor agreement</w:t>
      </w:r>
    </w:p>
    <w:p>
      <w:pPr>
        <w:spacing w:before="20"/>
        <w:ind w:left="432"/>
      </w:pPr>
      <w:r>
        <w:rPr>
          <w:rFonts w:ascii="Calibri" w:hAnsi="Calibri"/>
          <w:b w:val="0"/>
          <w:i w:val="0"/>
          <w:color w:val="404040"/>
          <w:sz w:val="21"/>
        </w:rPr>
        <w:t>C. The security trust deed</w:t>
      </w:r>
    </w:p>
    <w:p>
      <w:pPr>
        <w:spacing w:before="20"/>
        <w:ind w:left="432"/>
      </w:pPr>
      <w:r>
        <w:rPr>
          <w:rFonts w:ascii="Calibri" w:hAnsi="Calibri"/>
          <w:b w:val="0"/>
          <w:i w:val="0"/>
          <w:color w:val="404040"/>
          <w:sz w:val="21"/>
        </w:rPr>
        <w:t>D. The compliance certificate</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The intercreditor agreement defines the waterfall of payments in normal and distressed scenarios, enforcement rights, standstill obligations, and permitted payments — governing the relationship between different creditor classes.</w:t>
            </w:r>
          </w:p>
        </w:tc>
      </w:tr>
    </w:tbl>
    <w:p>
      <w:pPr>
        <w:spacing w:after="40"/>
      </w:pPr>
    </w:p>
    <w:p>
      <w:pPr>
        <w:spacing w:before="80"/>
      </w:pPr>
      <w:r>
        <w:rPr>
          <w:rFonts w:ascii="Calibri" w:hAnsi="Calibri"/>
          <w:b/>
          <w:i w:val="0"/>
          <w:color w:val="101C4F"/>
          <w:sz w:val="22"/>
        </w:rPr>
        <w:t xml:space="preserve">Q16.  </w:t>
      </w:r>
      <w:r>
        <w:rPr>
          <w:rFonts w:ascii="Calibri" w:hAnsi="Calibri"/>
          <w:b w:val="0"/>
          <w:i w:val="0"/>
          <w:color w:val="404040"/>
          <w:sz w:val="22"/>
        </w:rPr>
        <w:t>What is the significance of a 'cross-default' event of default provision?</w:t>
      </w:r>
    </w:p>
    <w:p>
      <w:pPr>
        <w:spacing w:before="20"/>
        <w:ind w:left="432"/>
      </w:pPr>
      <w:r>
        <w:rPr>
          <w:rFonts w:ascii="Calibri" w:hAnsi="Calibri"/>
          <w:b w:val="0"/>
          <w:i w:val="0"/>
          <w:color w:val="404040"/>
          <w:sz w:val="21"/>
        </w:rPr>
        <w:t>A. It allows the borrower to default on a junior facility without triggering a senior default</w:t>
      </w:r>
    </w:p>
    <w:p>
      <w:pPr>
        <w:spacing w:before="20"/>
        <w:ind w:left="432"/>
      </w:pPr>
      <w:r>
        <w:rPr>
          <w:rFonts w:ascii="Calibri" w:hAnsi="Calibri"/>
          <w:b w:val="0"/>
          <w:i w:val="0"/>
          <w:color w:val="404040"/>
          <w:sz w:val="21"/>
        </w:rPr>
        <w:t>B. It triggers a default under this loan agreement if the borrower defaults on any other material debt obligation above a specified threshold</w:t>
      </w:r>
    </w:p>
    <w:p>
      <w:pPr>
        <w:spacing w:before="20"/>
        <w:ind w:left="432"/>
      </w:pPr>
      <w:r>
        <w:rPr>
          <w:rFonts w:ascii="Calibri" w:hAnsi="Calibri"/>
          <w:b w:val="0"/>
          <w:i w:val="0"/>
          <w:color w:val="404040"/>
          <w:sz w:val="21"/>
        </w:rPr>
        <w:t>C. It requires all lenders to vote unanimously before a default can be declared</w:t>
      </w:r>
    </w:p>
    <w:p>
      <w:pPr>
        <w:spacing w:before="20"/>
        <w:ind w:left="432"/>
      </w:pPr>
      <w:r>
        <w:rPr>
          <w:rFonts w:ascii="Calibri" w:hAnsi="Calibri"/>
          <w:b w:val="0"/>
          <w:i w:val="0"/>
          <w:color w:val="404040"/>
          <w:sz w:val="21"/>
        </w:rPr>
        <w:t>D. It automatically accelerates the loan on the date the borrower files for administration</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Cross-default prevents a borrower from selectively defaulting on specific facilities while continuing to service others. If the borrower fails to pay any other debt above the threshold, it triggers a default under this agreement as well.</w:t>
            </w:r>
          </w:p>
        </w:tc>
      </w:tr>
    </w:tbl>
    <w:p>
      <w:pPr>
        <w:spacing w:after="40"/>
      </w:pPr>
    </w:p>
    <w:p>
      <w:pPr>
        <w:pBdr>
          <w:bottom w:val="single" w:sz="6" w:space="1" w:color="007A87"/>
        </w:pBdr>
        <w:spacing w:after="40"/>
      </w:pPr>
    </w:p>
    <w:tbl>
      <w:tblPr>
        <w:tblStyle w:val="TableGrid"/>
        <w:tblW w:type="auto" w:w="0"/>
        <w:tblLook w:firstColumn="1" w:firstRow="1" w:lastColumn="0" w:lastRow="0" w:noHBand="0" w:noVBand="1" w:val="04A0"/>
      </w:tblPr>
      <w:tblGrid>
        <w:gridCol w:w="9360"/>
      </w:tblGrid>
      <w:tr>
        <w:tc>
          <w:tcPr>
            <w:tcW w:type="dxa" w:w="9360"/>
            <w:shd w:val="clear" w:color="auto" w:fill="007A87"/>
          </w:tcPr>
          <w:p/>
          <w:p>
            <w:pPr>
              <w:jc w:val="left"/>
            </w:pPr>
            <w:r>
              <w:rPr>
                <w:rFonts w:ascii="Calibri" w:hAnsi="Calibri"/>
                <w:b/>
                <w:i w:val="0"/>
                <w:color w:val="FFFFFF"/>
                <w:sz w:val="24"/>
              </w:rPr>
              <w:t>H12.5  |  Syndicated Lending</w:t>
            </w:r>
          </w:p>
        </w:tc>
      </w:tr>
    </w:tbl>
    <w:p/>
    <w:p>
      <w:pPr>
        <w:spacing w:before="80"/>
      </w:pPr>
      <w:r>
        <w:rPr>
          <w:rFonts w:ascii="Calibri" w:hAnsi="Calibri"/>
          <w:b/>
          <w:i w:val="0"/>
          <w:color w:val="101C4F"/>
          <w:sz w:val="22"/>
        </w:rPr>
        <w:t xml:space="preserve">Q17.  </w:t>
      </w:r>
      <w:r>
        <w:rPr>
          <w:rFonts w:ascii="Calibri" w:hAnsi="Calibri"/>
          <w:b w:val="0"/>
          <w:i w:val="0"/>
          <w:color w:val="404040"/>
          <w:sz w:val="22"/>
        </w:rPr>
        <w:t>What is the primary reason banks syndicate loans rather than lending the full amount bilaterally?</w:t>
      </w:r>
    </w:p>
    <w:p>
      <w:pPr>
        <w:spacing w:before="20"/>
        <w:ind w:left="432"/>
      </w:pPr>
      <w:r>
        <w:rPr>
          <w:rFonts w:ascii="Calibri" w:hAnsi="Calibri"/>
          <w:b w:val="0"/>
          <w:i w:val="0"/>
          <w:color w:val="404040"/>
          <w:sz w:val="21"/>
        </w:rPr>
        <w:t>A. To reduce the interest rate offered to the borrower</w:t>
      </w:r>
    </w:p>
    <w:p>
      <w:pPr>
        <w:spacing w:before="20"/>
        <w:ind w:left="432"/>
      </w:pPr>
      <w:r>
        <w:rPr>
          <w:rFonts w:ascii="Calibri" w:hAnsi="Calibri"/>
          <w:b w:val="0"/>
          <w:i w:val="0"/>
          <w:color w:val="404040"/>
          <w:sz w:val="21"/>
        </w:rPr>
        <w:t>B. To distribute credit risk across multiple lenders and enable transactions exceeding a single bank's appetite or regulatory concentration limits</w:t>
      </w:r>
    </w:p>
    <w:p>
      <w:pPr>
        <w:spacing w:before="20"/>
        <w:ind w:left="432"/>
      </w:pPr>
      <w:r>
        <w:rPr>
          <w:rFonts w:ascii="Calibri" w:hAnsi="Calibri"/>
          <w:b w:val="0"/>
          <w:i w:val="0"/>
          <w:color w:val="404040"/>
          <w:sz w:val="21"/>
        </w:rPr>
        <w:t>C. To avoid the need to prepare a credit application for the credit committee</w:t>
      </w:r>
    </w:p>
    <w:p>
      <w:pPr>
        <w:spacing w:before="20"/>
        <w:ind w:left="432"/>
      </w:pPr>
      <w:r>
        <w:rPr>
          <w:rFonts w:ascii="Calibri" w:hAnsi="Calibri"/>
          <w:b w:val="0"/>
          <w:i w:val="0"/>
          <w:color w:val="404040"/>
          <w:sz w:val="21"/>
        </w:rPr>
        <w:t>D. To ensure the loan is listed on a public exchange</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Syndication allows large deals that exceed a single bank's capital, risk appetite, or regulatory single-counterparty concentration limits. It also earns the arranging bank fees and allows risk distribution to institutional investors.</w:t>
            </w:r>
          </w:p>
        </w:tc>
      </w:tr>
    </w:tbl>
    <w:p>
      <w:pPr>
        <w:spacing w:after="40"/>
      </w:pPr>
    </w:p>
    <w:p>
      <w:pPr>
        <w:spacing w:before="80"/>
      </w:pPr>
      <w:r>
        <w:rPr>
          <w:rFonts w:ascii="Calibri" w:hAnsi="Calibri"/>
          <w:b/>
          <w:i w:val="0"/>
          <w:color w:val="101C4F"/>
          <w:sz w:val="22"/>
        </w:rPr>
        <w:t xml:space="preserve">Q18.  </w:t>
      </w:r>
      <w:r>
        <w:rPr>
          <w:rFonts w:ascii="Calibri" w:hAnsi="Calibri"/>
          <w:b w:val="0"/>
          <w:i w:val="0"/>
          <w:color w:val="404040"/>
          <w:sz w:val="22"/>
        </w:rPr>
        <w:t>What is the difference between an assignment and a participation in the secondary loan market?</w:t>
      </w:r>
    </w:p>
    <w:p>
      <w:pPr>
        <w:spacing w:before="20"/>
        <w:ind w:left="432"/>
      </w:pPr>
      <w:r>
        <w:rPr>
          <w:rFonts w:ascii="Calibri" w:hAnsi="Calibri"/>
          <w:b w:val="0"/>
          <w:i w:val="0"/>
          <w:color w:val="404040"/>
          <w:sz w:val="21"/>
        </w:rPr>
        <w:t>A. An assignment is used for investment grade loans; a participation for leveraged loans</w:t>
      </w:r>
    </w:p>
    <w:p>
      <w:pPr>
        <w:spacing w:before="20"/>
        <w:ind w:left="432"/>
      </w:pPr>
      <w:r>
        <w:rPr>
          <w:rFonts w:ascii="Calibri" w:hAnsi="Calibri"/>
          <w:b w:val="0"/>
          <w:i w:val="0"/>
          <w:color w:val="404040"/>
          <w:sz w:val="21"/>
        </w:rPr>
        <w:t>B. An assignment transfers full legal and beneficial title to the buyer; a participation leaves the original lender in place, creating a sub-participation where the buyer has no direct relationship with the borrower</w:t>
      </w:r>
    </w:p>
    <w:p>
      <w:pPr>
        <w:spacing w:before="20"/>
        <w:ind w:left="432"/>
      </w:pPr>
      <w:r>
        <w:rPr>
          <w:rFonts w:ascii="Calibri" w:hAnsi="Calibri"/>
          <w:b w:val="0"/>
          <w:i w:val="0"/>
          <w:color w:val="404040"/>
          <w:sz w:val="21"/>
        </w:rPr>
        <w:t>C. An assignment requires borrower consent; a participation can always be done without borrower consent</w:t>
      </w:r>
    </w:p>
    <w:p>
      <w:pPr>
        <w:spacing w:before="20"/>
        <w:ind w:left="432"/>
      </w:pPr>
      <w:r>
        <w:rPr>
          <w:rFonts w:ascii="Calibri" w:hAnsi="Calibri"/>
          <w:b w:val="0"/>
          <w:i w:val="0"/>
          <w:color w:val="404040"/>
          <w:sz w:val="21"/>
        </w:rPr>
        <w:t>D. A participation involves payment of a transfer fee; an assignment does not</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In an assignment, the buyer steps into the shoes of the selling lender directly. In a participation, the buyer takes an economic interest via the seller — they receive a share of cash flows but have no direct contractual relationship with the borrower or the agent.</w:t>
            </w:r>
          </w:p>
        </w:tc>
      </w:tr>
    </w:tbl>
    <w:p>
      <w:pPr>
        <w:spacing w:after="40"/>
      </w:pPr>
    </w:p>
    <w:p>
      <w:pPr>
        <w:spacing w:before="80"/>
      </w:pPr>
      <w:r>
        <w:rPr>
          <w:rFonts w:ascii="Calibri" w:hAnsi="Calibri"/>
          <w:b/>
          <w:i w:val="0"/>
          <w:color w:val="101C4F"/>
          <w:sz w:val="22"/>
        </w:rPr>
        <w:t xml:space="preserve">Q19.  </w:t>
      </w:r>
      <w:r>
        <w:rPr>
          <w:rFonts w:ascii="Calibri" w:hAnsi="Calibri"/>
          <w:b w:val="0"/>
          <w:i w:val="0"/>
          <w:color w:val="404040"/>
          <w:sz w:val="22"/>
        </w:rPr>
        <w:t>Which entity is the dominant buyer of Term Loan B (TLB) in the leveraged loan market?</w:t>
      </w:r>
    </w:p>
    <w:p>
      <w:pPr>
        <w:spacing w:before="20"/>
        <w:ind w:left="432"/>
      </w:pPr>
      <w:r>
        <w:rPr>
          <w:rFonts w:ascii="Calibri" w:hAnsi="Calibri"/>
          <w:b w:val="0"/>
          <w:i w:val="0"/>
          <w:color w:val="404040"/>
          <w:sz w:val="21"/>
        </w:rPr>
        <w:t>A. Retail banks funding from customer deposits</w:t>
      </w:r>
    </w:p>
    <w:p>
      <w:pPr>
        <w:spacing w:before="20"/>
        <w:ind w:left="432"/>
      </w:pPr>
      <w:r>
        <w:rPr>
          <w:rFonts w:ascii="Calibri" w:hAnsi="Calibri"/>
          <w:b w:val="0"/>
          <w:i w:val="0"/>
          <w:color w:val="404040"/>
          <w:sz w:val="21"/>
        </w:rPr>
        <w:t>B. Collateralised Loan Obligations (CLOs)</w:t>
      </w:r>
    </w:p>
    <w:p>
      <w:pPr>
        <w:spacing w:before="20"/>
        <w:ind w:left="432"/>
      </w:pPr>
      <w:r>
        <w:rPr>
          <w:rFonts w:ascii="Calibri" w:hAnsi="Calibri"/>
          <w:b w:val="0"/>
          <w:i w:val="0"/>
          <w:color w:val="404040"/>
          <w:sz w:val="21"/>
        </w:rPr>
        <w:t>C. Central banks managing reserve portfolios</w:t>
      </w:r>
    </w:p>
    <w:p>
      <w:pPr>
        <w:spacing w:before="20"/>
        <w:ind w:left="432"/>
      </w:pPr>
      <w:r>
        <w:rPr>
          <w:rFonts w:ascii="Calibri" w:hAnsi="Calibri"/>
          <w:b w:val="0"/>
          <w:i w:val="0"/>
          <w:color w:val="404040"/>
          <w:sz w:val="21"/>
        </w:rPr>
        <w:t>D. Investment grade bond mutual funds</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CLOs are the dominant buyers of TLBs, purchasing the majority of new issuance. CLOs pool leveraged loans and issue tranched securities; their structural need to hold loans drives both primary syndication and secondary market pricing.</w:t>
            </w:r>
          </w:p>
        </w:tc>
      </w:tr>
    </w:tbl>
    <w:p>
      <w:pPr>
        <w:spacing w:after="40"/>
      </w:pPr>
    </w:p>
    <w:p>
      <w:pPr>
        <w:spacing w:before="80"/>
      </w:pPr>
      <w:r>
        <w:rPr>
          <w:rFonts w:ascii="Calibri" w:hAnsi="Calibri"/>
          <w:b/>
          <w:i w:val="0"/>
          <w:color w:val="101C4F"/>
          <w:sz w:val="22"/>
        </w:rPr>
        <w:t xml:space="preserve">Q20.  </w:t>
      </w:r>
      <w:r>
        <w:rPr>
          <w:rFonts w:ascii="Calibri" w:hAnsi="Calibri"/>
          <w:b w:val="0"/>
          <w:i w:val="0"/>
          <w:color w:val="404040"/>
          <w:sz w:val="22"/>
        </w:rPr>
        <w:t>The LMA standard settlement period for a secondary loan trade in Europe is approximately:</w:t>
      </w:r>
    </w:p>
    <w:p>
      <w:pPr>
        <w:spacing w:before="20"/>
        <w:ind w:left="432"/>
      </w:pPr>
      <w:r>
        <w:rPr>
          <w:rFonts w:ascii="Calibri" w:hAnsi="Calibri"/>
          <w:b w:val="0"/>
          <w:i w:val="0"/>
          <w:color w:val="404040"/>
          <w:sz w:val="21"/>
        </w:rPr>
        <w:t>A. T+2 (same as equities)</w:t>
      </w:r>
    </w:p>
    <w:p>
      <w:pPr>
        <w:spacing w:before="20"/>
        <w:ind w:left="432"/>
      </w:pPr>
      <w:r>
        <w:rPr>
          <w:rFonts w:ascii="Calibri" w:hAnsi="Calibri"/>
          <w:b w:val="0"/>
          <w:i w:val="0"/>
          <w:color w:val="404040"/>
          <w:sz w:val="21"/>
        </w:rPr>
        <w:t>B. T+7 to T+10 business days</w:t>
      </w:r>
    </w:p>
    <w:p>
      <w:pPr>
        <w:spacing w:before="20"/>
        <w:ind w:left="432"/>
      </w:pPr>
      <w:r>
        <w:rPr>
          <w:rFonts w:ascii="Calibri" w:hAnsi="Calibri"/>
          <w:b w:val="0"/>
          <w:i w:val="0"/>
          <w:color w:val="404040"/>
          <w:sz w:val="21"/>
        </w:rPr>
        <w:t>C. T+30 calendar days</w:t>
      </w:r>
    </w:p>
    <w:p>
      <w:pPr>
        <w:spacing w:before="20"/>
        <w:ind w:left="432"/>
      </w:pPr>
      <w:r>
        <w:rPr>
          <w:rFonts w:ascii="Calibri" w:hAnsi="Calibri"/>
          <w:b w:val="0"/>
          <w:i w:val="0"/>
          <w:color w:val="404040"/>
          <w:sz w:val="21"/>
        </w:rPr>
        <w:t>D. T+1 (next business day)</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Unlike securities which settle T+1 or T+2, loan transfers involve legal documentation execution, agent notification, and register update — the LMA standard is T+10, though the market aspires to T+7 or faster with electronic processing.</w:t>
            </w:r>
          </w:p>
        </w:tc>
      </w:tr>
    </w:tbl>
    <w:p>
      <w:pPr>
        <w:spacing w:after="40"/>
      </w:pPr>
    </w:p>
    <w:p>
      <w:pPr>
        <w:pBdr>
          <w:bottom w:val="single" w:sz="6" w:space="1" w:color="007A87"/>
        </w:pBdr>
        <w:spacing w:after="40"/>
      </w:pPr>
    </w:p>
    <w:tbl>
      <w:tblPr>
        <w:tblStyle w:val="TableGrid"/>
        <w:tblW w:type="auto" w:w="0"/>
        <w:tblLook w:firstColumn="1" w:firstRow="1" w:lastColumn="0" w:lastRow="0" w:noHBand="0" w:noVBand="1" w:val="04A0"/>
      </w:tblPr>
      <w:tblGrid>
        <w:gridCol w:w="9360"/>
      </w:tblGrid>
      <w:tr>
        <w:tc>
          <w:tcPr>
            <w:tcW w:type="dxa" w:w="9360"/>
            <w:shd w:val="clear" w:color="auto" w:fill="007A87"/>
          </w:tcPr>
          <w:p/>
          <w:p>
            <w:pPr>
              <w:jc w:val="left"/>
            </w:pPr>
            <w:r>
              <w:rPr>
                <w:rFonts w:ascii="Calibri" w:hAnsi="Calibri"/>
                <w:b/>
                <w:i w:val="0"/>
                <w:color w:val="FFFFFF"/>
                <w:sz w:val="24"/>
              </w:rPr>
              <w:t>H12.6  |  Loan Administration and Servicing</w:t>
            </w:r>
          </w:p>
        </w:tc>
      </w:tr>
    </w:tbl>
    <w:p/>
    <w:p>
      <w:pPr>
        <w:spacing w:before="80"/>
      </w:pPr>
      <w:r>
        <w:rPr>
          <w:rFonts w:ascii="Calibri" w:hAnsi="Calibri"/>
          <w:b/>
          <w:i w:val="0"/>
          <w:color w:val="101C4F"/>
          <w:sz w:val="22"/>
        </w:rPr>
        <w:t xml:space="preserve">Q21.  </w:t>
      </w:r>
      <w:r>
        <w:rPr>
          <w:rFonts w:ascii="Calibri" w:hAnsi="Calibri"/>
          <w:b w:val="0"/>
          <w:i w:val="0"/>
          <w:color w:val="404040"/>
          <w:sz w:val="22"/>
        </w:rPr>
        <w:t>In loan interest calculations, the Actual/360 day count convention means:</w:t>
      </w:r>
    </w:p>
    <w:p>
      <w:pPr>
        <w:spacing w:before="20"/>
        <w:ind w:left="432"/>
      </w:pPr>
      <w:r>
        <w:rPr>
          <w:rFonts w:ascii="Calibri" w:hAnsi="Calibri"/>
          <w:b w:val="0"/>
          <w:i w:val="0"/>
          <w:color w:val="404040"/>
          <w:sz w:val="21"/>
        </w:rPr>
        <w:t>A. Interest is calculated on the assumption that each month has 30 days</w:t>
      </w:r>
    </w:p>
    <w:p>
      <w:pPr>
        <w:spacing w:before="20"/>
        <w:ind w:left="432"/>
      </w:pPr>
      <w:r>
        <w:rPr>
          <w:rFonts w:ascii="Calibri" w:hAnsi="Calibri"/>
          <w:b w:val="0"/>
          <w:i w:val="0"/>
          <w:color w:val="404040"/>
          <w:sz w:val="21"/>
        </w:rPr>
        <w:t>B. Interest is calculated using the actual number of days in the interest period divided by 360</w:t>
      </w:r>
    </w:p>
    <w:p>
      <w:pPr>
        <w:spacing w:before="20"/>
        <w:ind w:left="432"/>
      </w:pPr>
      <w:r>
        <w:rPr>
          <w:rFonts w:ascii="Calibri" w:hAnsi="Calibri"/>
          <w:b w:val="0"/>
          <w:i w:val="0"/>
          <w:color w:val="404040"/>
          <w:sz w:val="21"/>
        </w:rPr>
        <w:t>C. Interest accrues on 360 out of every 365 calendar days</w:t>
      </w:r>
    </w:p>
    <w:p>
      <w:pPr>
        <w:spacing w:before="20"/>
        <w:ind w:left="432"/>
      </w:pPr>
      <w:r>
        <w:rPr>
          <w:rFonts w:ascii="Calibri" w:hAnsi="Calibri"/>
          <w:b w:val="0"/>
          <w:i w:val="0"/>
          <w:color w:val="404040"/>
          <w:sz w:val="21"/>
        </w:rPr>
        <w:t>D. Interest is paid on the 360th day of each year regardless of the interest period</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Actual/360 is common in USD loans: the actual number of calendar days in the interest period is divided by 360 (not 365) to compute the day count fraction, meaning interest slightly exceeds the stated annual rate when annualised over 365 days.</w:t>
            </w:r>
          </w:p>
        </w:tc>
      </w:tr>
    </w:tbl>
    <w:p>
      <w:pPr>
        <w:spacing w:after="40"/>
      </w:pPr>
    </w:p>
    <w:p>
      <w:pPr>
        <w:spacing w:before="80"/>
      </w:pPr>
      <w:r>
        <w:rPr>
          <w:rFonts w:ascii="Calibri" w:hAnsi="Calibri"/>
          <w:b/>
          <w:i w:val="0"/>
          <w:color w:val="101C4F"/>
          <w:sz w:val="22"/>
        </w:rPr>
        <w:t xml:space="preserve">Q22.  </w:t>
      </w:r>
      <w:r>
        <w:rPr>
          <w:rFonts w:ascii="Calibri" w:hAnsi="Calibri"/>
          <w:b w:val="0"/>
          <w:i w:val="0"/>
          <w:color w:val="404040"/>
          <w:sz w:val="22"/>
        </w:rPr>
        <w:t>When processing a drawdown under a syndicated revolving credit facility, what is the correct sequence of agent bank actions?</w:t>
      </w:r>
    </w:p>
    <w:p>
      <w:pPr>
        <w:spacing w:before="20"/>
        <w:ind w:left="432"/>
      </w:pPr>
      <w:r>
        <w:rPr>
          <w:rFonts w:ascii="Calibri" w:hAnsi="Calibri"/>
          <w:b w:val="0"/>
          <w:i w:val="0"/>
          <w:color w:val="404040"/>
          <w:sz w:val="21"/>
        </w:rPr>
        <w:t>A. Distribute funds to lenders → receive utilisation request → verify terms → collect from borrower</w:t>
      </w:r>
    </w:p>
    <w:p>
      <w:pPr>
        <w:spacing w:before="20"/>
        <w:ind w:left="432"/>
      </w:pPr>
      <w:r>
        <w:rPr>
          <w:rFonts w:ascii="Calibri" w:hAnsi="Calibri"/>
          <w:b w:val="0"/>
          <w:i w:val="0"/>
          <w:color w:val="404040"/>
          <w:sz w:val="21"/>
        </w:rPr>
        <w:t>B. Receive utilisation request → verify against facility agreement → issue funding confirmations to lenders → collect lender funds → disburse to borrower</w:t>
      </w:r>
    </w:p>
    <w:p>
      <w:pPr>
        <w:spacing w:before="20"/>
        <w:ind w:left="432"/>
      </w:pPr>
      <w:r>
        <w:rPr>
          <w:rFonts w:ascii="Calibri" w:hAnsi="Calibri"/>
          <w:b w:val="0"/>
          <w:i w:val="0"/>
          <w:color w:val="404040"/>
          <w:sz w:val="21"/>
        </w:rPr>
        <w:t>C. Issue funding confirmation to borrower → collect from all lenders → update LMS → send agent fee invoice</w:t>
      </w:r>
    </w:p>
    <w:p>
      <w:pPr>
        <w:spacing w:before="20"/>
        <w:ind w:left="432"/>
      </w:pPr>
      <w:r>
        <w:rPr>
          <w:rFonts w:ascii="Calibri" w:hAnsi="Calibri"/>
          <w:b w:val="0"/>
          <w:i w:val="0"/>
          <w:color w:val="404040"/>
          <w:sz w:val="21"/>
        </w:rPr>
        <w:t>D. Verify KYC → collect funds → distribute to borrower → notify credit committee</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The agent acts as a conduit: receives and verifies the utilisation request, confirms funding obligations to each lender, collects lender contributions in the agent's nostro account, and then disburses to the borrower — typically same-day or next-day.</w:t>
            </w:r>
          </w:p>
        </w:tc>
      </w:tr>
    </w:tbl>
    <w:p>
      <w:pPr>
        <w:spacing w:after="40"/>
      </w:pPr>
    </w:p>
    <w:p>
      <w:pPr>
        <w:spacing w:before="80"/>
      </w:pPr>
      <w:r>
        <w:rPr>
          <w:rFonts w:ascii="Calibri" w:hAnsi="Calibri"/>
          <w:b/>
          <w:i w:val="0"/>
          <w:color w:val="101C4F"/>
          <w:sz w:val="22"/>
        </w:rPr>
        <w:t xml:space="preserve">Q23.  </w:t>
      </w:r>
      <w:r>
        <w:rPr>
          <w:rFonts w:ascii="Calibri" w:hAnsi="Calibri"/>
          <w:b w:val="0"/>
          <w:i w:val="0"/>
          <w:color w:val="404040"/>
          <w:sz w:val="22"/>
        </w:rPr>
        <w:t>What vote threshold is typically required for a 'reserved matter' amendment (e.g., reducing the interest rate or extending maturity) under LMA documentation?</w:t>
      </w:r>
    </w:p>
    <w:p>
      <w:pPr>
        <w:spacing w:before="20"/>
        <w:ind w:left="432"/>
      </w:pPr>
      <w:r>
        <w:rPr>
          <w:rFonts w:ascii="Calibri" w:hAnsi="Calibri"/>
          <w:b w:val="0"/>
          <w:i w:val="0"/>
          <w:color w:val="404040"/>
          <w:sz w:val="21"/>
        </w:rPr>
        <w:t>A. Simple majority (&gt;50%)</w:t>
      </w:r>
    </w:p>
    <w:p>
      <w:pPr>
        <w:spacing w:before="20"/>
        <w:ind w:left="432"/>
      </w:pPr>
      <w:r>
        <w:rPr>
          <w:rFonts w:ascii="Calibri" w:hAnsi="Calibri"/>
          <w:b w:val="0"/>
          <w:i w:val="0"/>
          <w:color w:val="404040"/>
          <w:sz w:val="21"/>
        </w:rPr>
        <w:t>B. Supermajority (66.67% by commitment)</w:t>
      </w:r>
    </w:p>
    <w:p>
      <w:pPr>
        <w:spacing w:before="20"/>
        <w:ind w:left="432"/>
      </w:pPr>
      <w:r>
        <w:rPr>
          <w:rFonts w:ascii="Calibri" w:hAnsi="Calibri"/>
          <w:b w:val="0"/>
          <w:i w:val="0"/>
          <w:color w:val="404040"/>
          <w:sz w:val="21"/>
        </w:rPr>
        <w:t>C. Unanimous lender consent</w:t>
      </w:r>
    </w:p>
    <w:p>
      <w:pPr>
        <w:spacing w:before="20"/>
        <w:ind w:left="432"/>
      </w:pPr>
      <w:r>
        <w:rPr>
          <w:rFonts w:ascii="Calibri" w:hAnsi="Calibri"/>
          <w:b w:val="0"/>
          <w:i w:val="0"/>
          <w:color w:val="404040"/>
          <w:sz w:val="21"/>
        </w:rPr>
        <w:t>D. Borrower consent alone is sufficient</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C</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Reserved matters — changes that fundamentally affect lenders' economic position (e.g., rate reduction, maturity extension, security release) — require unanimous consent from all lenders, not just majority, under LMA documentation.</w:t>
            </w:r>
          </w:p>
        </w:tc>
      </w:tr>
    </w:tbl>
    <w:p>
      <w:pPr>
        <w:spacing w:after="40"/>
      </w:pPr>
    </w:p>
    <w:p>
      <w:pPr>
        <w:spacing w:before="80"/>
      </w:pPr>
      <w:r>
        <w:rPr>
          <w:rFonts w:ascii="Calibri" w:hAnsi="Calibri"/>
          <w:b/>
          <w:i w:val="0"/>
          <w:color w:val="101C4F"/>
          <w:sz w:val="22"/>
        </w:rPr>
        <w:t xml:space="preserve">Q24.  </w:t>
      </w:r>
      <w:r>
        <w:rPr>
          <w:rFonts w:ascii="Calibri" w:hAnsi="Calibri"/>
          <w:b w:val="0"/>
          <w:i w:val="0"/>
          <w:color w:val="404040"/>
          <w:sz w:val="22"/>
        </w:rPr>
        <w:t>PIK (Payment in Kind) interest differs from cash-pay interest in that:</w:t>
      </w:r>
    </w:p>
    <w:p>
      <w:pPr>
        <w:spacing w:before="20"/>
        <w:ind w:left="432"/>
      </w:pPr>
      <w:r>
        <w:rPr>
          <w:rFonts w:ascii="Calibri" w:hAnsi="Calibri"/>
          <w:b w:val="0"/>
          <w:i w:val="0"/>
          <w:color w:val="404040"/>
          <w:sz w:val="21"/>
        </w:rPr>
        <w:t>A. PIK interest is tax-deductible; cash-pay interest is not</w:t>
      </w:r>
    </w:p>
    <w:p>
      <w:pPr>
        <w:spacing w:before="20"/>
        <w:ind w:left="432"/>
      </w:pPr>
      <w:r>
        <w:rPr>
          <w:rFonts w:ascii="Calibri" w:hAnsi="Calibri"/>
          <w:b w:val="0"/>
          <w:i w:val="0"/>
          <w:color w:val="404040"/>
          <w:sz w:val="21"/>
        </w:rPr>
        <w:t>B. PIK interest is added to the outstanding principal balance rather than paid in cash, compounding the borrower's indebtedness</w:t>
      </w:r>
    </w:p>
    <w:p>
      <w:pPr>
        <w:spacing w:before="20"/>
        <w:ind w:left="432"/>
      </w:pPr>
      <w:r>
        <w:rPr>
          <w:rFonts w:ascii="Calibri" w:hAnsi="Calibri"/>
          <w:b w:val="0"/>
          <w:i w:val="0"/>
          <w:color w:val="404040"/>
          <w:sz w:val="21"/>
        </w:rPr>
        <w:t>C. PIK interest is a fixed amount; cash-pay interest is floating</w:t>
      </w:r>
    </w:p>
    <w:p>
      <w:pPr>
        <w:spacing w:before="20"/>
        <w:ind w:left="432"/>
      </w:pPr>
      <w:r>
        <w:rPr>
          <w:rFonts w:ascii="Calibri" w:hAnsi="Calibri"/>
          <w:b w:val="0"/>
          <w:i w:val="0"/>
          <w:color w:val="404040"/>
          <w:sz w:val="21"/>
        </w:rPr>
        <w:t>D. PIK interest is only available on investment grade loans</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PIK instruments allow borrowers to 'roll up' interest into the principal — preserving cash for operational use. This increases total indebtedness over time and is common in mezzanine debt and high-yield structures for high-growth or pre-cash-flow businesses.</w:t>
            </w:r>
          </w:p>
        </w:tc>
      </w:tr>
    </w:tbl>
    <w:p>
      <w:pPr>
        <w:spacing w:after="40"/>
      </w:pPr>
    </w:p>
    <w:p>
      <w:pPr>
        <w:pBdr>
          <w:bottom w:val="single" w:sz="6" w:space="1" w:color="007A87"/>
        </w:pBdr>
        <w:spacing w:after="40"/>
      </w:pPr>
    </w:p>
    <w:tbl>
      <w:tblPr>
        <w:tblStyle w:val="TableGrid"/>
        <w:tblW w:type="auto" w:w="0"/>
        <w:tblLook w:firstColumn="1" w:firstRow="1" w:lastColumn="0" w:lastRow="0" w:noHBand="0" w:noVBand="1" w:val="04A0"/>
      </w:tblPr>
      <w:tblGrid>
        <w:gridCol w:w="9360"/>
      </w:tblGrid>
      <w:tr>
        <w:tc>
          <w:tcPr>
            <w:tcW w:type="dxa" w:w="9360"/>
            <w:shd w:val="clear" w:color="auto" w:fill="007A87"/>
          </w:tcPr>
          <w:p/>
          <w:p>
            <w:pPr>
              <w:jc w:val="left"/>
            </w:pPr>
            <w:r>
              <w:rPr>
                <w:rFonts w:ascii="Calibri" w:hAnsi="Calibri"/>
                <w:b/>
                <w:i w:val="0"/>
                <w:color w:val="FFFFFF"/>
                <w:sz w:val="24"/>
              </w:rPr>
              <w:t>H12.7  |  Collateral Management in Lending</w:t>
            </w:r>
          </w:p>
        </w:tc>
      </w:tr>
    </w:tbl>
    <w:p/>
    <w:p>
      <w:pPr>
        <w:spacing w:before="80"/>
      </w:pPr>
      <w:r>
        <w:rPr>
          <w:rFonts w:ascii="Calibri" w:hAnsi="Calibri"/>
          <w:b/>
          <w:i w:val="0"/>
          <w:color w:val="101C4F"/>
          <w:sz w:val="22"/>
        </w:rPr>
        <w:t xml:space="preserve">Q25.  </w:t>
      </w:r>
      <w:r>
        <w:rPr>
          <w:rFonts w:ascii="Calibri" w:hAnsi="Calibri"/>
          <w:b w:val="0"/>
          <w:i w:val="0"/>
          <w:color w:val="404040"/>
          <w:sz w:val="22"/>
        </w:rPr>
        <w:t>In English law, why must a charge over a company's assets be registered at Companies House within 21 days of creation?</w:t>
      </w:r>
    </w:p>
    <w:p>
      <w:pPr>
        <w:spacing w:before="20"/>
        <w:ind w:left="432"/>
      </w:pPr>
      <w:r>
        <w:rPr>
          <w:rFonts w:ascii="Calibri" w:hAnsi="Calibri"/>
          <w:b w:val="0"/>
          <w:i w:val="0"/>
          <w:color w:val="404040"/>
          <w:sz w:val="21"/>
        </w:rPr>
        <w:t>A. To obtain the bank's internal approval from the credit committee</w:t>
      </w:r>
    </w:p>
    <w:p>
      <w:pPr>
        <w:spacing w:before="20"/>
        <w:ind w:left="432"/>
      </w:pPr>
      <w:r>
        <w:rPr>
          <w:rFonts w:ascii="Calibri" w:hAnsi="Calibri"/>
          <w:b w:val="0"/>
          <w:i w:val="0"/>
          <w:color w:val="404040"/>
          <w:sz w:val="21"/>
        </w:rPr>
        <w:t>B. To perfect the security — an unregistered charge is void against a liquidator and other creditors of the company</w:t>
      </w:r>
    </w:p>
    <w:p>
      <w:pPr>
        <w:spacing w:before="20"/>
        <w:ind w:left="432"/>
      </w:pPr>
      <w:r>
        <w:rPr>
          <w:rFonts w:ascii="Calibri" w:hAnsi="Calibri"/>
          <w:b w:val="0"/>
          <w:i w:val="0"/>
          <w:color w:val="404040"/>
          <w:sz w:val="21"/>
        </w:rPr>
        <w:t>C. To satisfy the borrower's reporting obligations under the facility agreement</w:t>
      </w:r>
    </w:p>
    <w:p>
      <w:pPr>
        <w:spacing w:before="20"/>
        <w:ind w:left="432"/>
      </w:pPr>
      <w:r>
        <w:rPr>
          <w:rFonts w:ascii="Calibri" w:hAnsi="Calibri"/>
          <w:b w:val="0"/>
          <w:i w:val="0"/>
          <w:color w:val="404040"/>
          <w:sz w:val="21"/>
        </w:rPr>
        <w:t>D. To trigger the security trustee's appointment under the intercreditor agreement</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Under the Companies Act 2006, failure to register a charge within 21 days renders it void (unenforceable) against the borrower's liquidator and any creditor of the company — effectively wiping out the lender's security in an insolvency.</w:t>
            </w:r>
          </w:p>
        </w:tc>
      </w:tr>
    </w:tbl>
    <w:p>
      <w:pPr>
        <w:spacing w:after="40"/>
      </w:pPr>
    </w:p>
    <w:p>
      <w:pPr>
        <w:spacing w:before="80"/>
      </w:pPr>
      <w:r>
        <w:rPr>
          <w:rFonts w:ascii="Calibri" w:hAnsi="Calibri"/>
          <w:b/>
          <w:i w:val="0"/>
          <w:color w:val="101C4F"/>
          <w:sz w:val="22"/>
        </w:rPr>
        <w:t xml:space="preserve">Q26.  </w:t>
      </w:r>
      <w:r>
        <w:rPr>
          <w:rFonts w:ascii="Calibri" w:hAnsi="Calibri"/>
          <w:b w:val="0"/>
          <w:i w:val="0"/>
          <w:color w:val="404040"/>
          <w:sz w:val="22"/>
        </w:rPr>
        <w:t>What is a 'negative pledge' covenant?</w:t>
      </w:r>
    </w:p>
    <w:p>
      <w:pPr>
        <w:spacing w:before="20"/>
        <w:ind w:left="432"/>
      </w:pPr>
      <w:r>
        <w:rPr>
          <w:rFonts w:ascii="Calibri" w:hAnsi="Calibri"/>
          <w:b w:val="0"/>
          <w:i w:val="0"/>
          <w:color w:val="404040"/>
          <w:sz w:val="21"/>
        </w:rPr>
        <w:t>A. A pledge of assets with a negative market value</w:t>
      </w:r>
    </w:p>
    <w:p>
      <w:pPr>
        <w:spacing w:before="20"/>
        <w:ind w:left="432"/>
      </w:pPr>
      <w:r>
        <w:rPr>
          <w:rFonts w:ascii="Calibri" w:hAnsi="Calibri"/>
          <w:b w:val="0"/>
          <w:i w:val="0"/>
          <w:color w:val="404040"/>
          <w:sz w:val="21"/>
        </w:rPr>
        <w:t>B. A contractual restriction preventing the borrower from granting security to other creditors without the consent of the existing lenders</w:t>
      </w:r>
    </w:p>
    <w:p>
      <w:pPr>
        <w:spacing w:before="20"/>
        <w:ind w:left="432"/>
      </w:pPr>
      <w:r>
        <w:rPr>
          <w:rFonts w:ascii="Calibri" w:hAnsi="Calibri"/>
          <w:b w:val="0"/>
          <w:i w:val="0"/>
          <w:color w:val="404040"/>
          <w:sz w:val="21"/>
        </w:rPr>
        <w:t>C. A borrower's obligation to maintain a minimum LTV ratio on secured property</w:t>
      </w:r>
    </w:p>
    <w:p>
      <w:pPr>
        <w:spacing w:before="20"/>
        <w:ind w:left="432"/>
      </w:pPr>
      <w:r>
        <w:rPr>
          <w:rFonts w:ascii="Calibri" w:hAnsi="Calibri"/>
          <w:b w:val="0"/>
          <w:i w:val="0"/>
          <w:color w:val="404040"/>
          <w:sz w:val="21"/>
        </w:rPr>
        <w:t>D. A lender's obligation not to sell its loan position in the secondary market</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A negative pledge protects lenders' priority by preventing the borrower from diluting the existing lenders' position by pledging the same assets (or other assets) to new or junior creditors without consent.</w:t>
            </w:r>
          </w:p>
        </w:tc>
      </w:tr>
    </w:tbl>
    <w:p>
      <w:pPr>
        <w:spacing w:after="40"/>
      </w:pPr>
    </w:p>
    <w:p>
      <w:pPr>
        <w:spacing w:before="80"/>
      </w:pPr>
      <w:r>
        <w:rPr>
          <w:rFonts w:ascii="Calibri" w:hAnsi="Calibri"/>
          <w:b/>
          <w:i w:val="0"/>
          <w:color w:val="101C4F"/>
          <w:sz w:val="22"/>
        </w:rPr>
        <w:t xml:space="preserve">Q27.  </w:t>
      </w:r>
      <w:r>
        <w:rPr>
          <w:rFonts w:ascii="Calibri" w:hAnsi="Calibri"/>
          <w:b w:val="0"/>
          <w:i w:val="0"/>
          <w:color w:val="404040"/>
          <w:sz w:val="22"/>
        </w:rPr>
        <w:t>In an asset-based lending (ABL) facility, what happens if the drawn amount exceeds the borrowing base?</w:t>
      </w:r>
    </w:p>
    <w:p>
      <w:pPr>
        <w:spacing w:before="20"/>
        <w:ind w:left="432"/>
      </w:pPr>
      <w:r>
        <w:rPr>
          <w:rFonts w:ascii="Calibri" w:hAnsi="Calibri"/>
          <w:b w:val="0"/>
          <w:i w:val="0"/>
          <w:color w:val="404040"/>
          <w:sz w:val="21"/>
        </w:rPr>
        <w:t>A. The facility automatically converts to a term loan</w:t>
      </w:r>
    </w:p>
    <w:p>
      <w:pPr>
        <w:spacing w:before="20"/>
        <w:ind w:left="432"/>
      </w:pPr>
      <w:r>
        <w:rPr>
          <w:rFonts w:ascii="Calibri" w:hAnsi="Calibri"/>
          <w:b w:val="0"/>
          <w:i w:val="0"/>
          <w:color w:val="404040"/>
          <w:sz w:val="21"/>
        </w:rPr>
        <w:t>B. The borrower is in an 'over-advance' position and must immediately repay the shortfall</w:t>
      </w:r>
    </w:p>
    <w:p>
      <w:pPr>
        <w:spacing w:before="20"/>
        <w:ind w:left="432"/>
      </w:pPr>
      <w:r>
        <w:rPr>
          <w:rFonts w:ascii="Calibri" w:hAnsi="Calibri"/>
          <w:b w:val="0"/>
          <w:i w:val="0"/>
          <w:color w:val="404040"/>
          <w:sz w:val="21"/>
        </w:rPr>
        <w:t>C. The bank increases the advance rate to restore the borrowing base</w:t>
      </w:r>
    </w:p>
    <w:p>
      <w:pPr>
        <w:spacing w:before="20"/>
        <w:ind w:left="432"/>
      </w:pPr>
      <w:r>
        <w:rPr>
          <w:rFonts w:ascii="Calibri" w:hAnsi="Calibri"/>
          <w:b w:val="0"/>
          <w:i w:val="0"/>
          <w:color w:val="404040"/>
          <w:sz w:val="21"/>
        </w:rPr>
        <w:t>D. The lenders can elect to reduce their commitment to match the new borrowing base</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An over-advance is a technical default. The borrower's drawn amount exceeds the eligible collateral base, and the lender is undercollateralised. Immediate repayment of the over-advance is required under the facility agreement.</w:t>
            </w:r>
          </w:p>
        </w:tc>
      </w:tr>
    </w:tbl>
    <w:p>
      <w:pPr>
        <w:spacing w:after="40"/>
      </w:pPr>
    </w:p>
    <w:p>
      <w:pPr>
        <w:spacing w:before="80"/>
      </w:pPr>
      <w:r>
        <w:rPr>
          <w:rFonts w:ascii="Calibri" w:hAnsi="Calibri"/>
          <w:b/>
          <w:i w:val="0"/>
          <w:color w:val="101C4F"/>
          <w:sz w:val="22"/>
        </w:rPr>
        <w:t xml:space="preserve">Q28.  </w:t>
      </w:r>
      <w:r>
        <w:rPr>
          <w:rFonts w:ascii="Calibri" w:hAnsi="Calibri"/>
          <w:b w:val="0"/>
          <w:i w:val="0"/>
          <w:color w:val="404040"/>
          <w:sz w:val="22"/>
        </w:rPr>
        <w:t>What is the role of the security trustee in a syndicated secured loan?</w:t>
      </w:r>
    </w:p>
    <w:p>
      <w:pPr>
        <w:spacing w:before="20"/>
        <w:ind w:left="432"/>
      </w:pPr>
      <w:r>
        <w:rPr>
          <w:rFonts w:ascii="Calibri" w:hAnsi="Calibri"/>
          <w:b w:val="0"/>
          <w:i w:val="0"/>
          <w:color w:val="404040"/>
          <w:sz w:val="21"/>
        </w:rPr>
        <w:t>A. To arrange and underwrite the loan on behalf of the lender group</w:t>
      </w:r>
    </w:p>
    <w:p>
      <w:pPr>
        <w:spacing w:before="20"/>
        <w:ind w:left="432"/>
      </w:pPr>
      <w:r>
        <w:rPr>
          <w:rFonts w:ascii="Calibri" w:hAnsi="Calibri"/>
          <w:b w:val="0"/>
          <w:i w:val="0"/>
          <w:color w:val="404040"/>
          <w:sz w:val="21"/>
        </w:rPr>
        <w:t>B. To hold all security on behalf of all syndicate lenders, avoiding the need to re-register security each time a lender transfers their commitment</w:t>
      </w:r>
    </w:p>
    <w:p>
      <w:pPr>
        <w:spacing w:before="20"/>
        <w:ind w:left="432"/>
      </w:pPr>
      <w:r>
        <w:rPr>
          <w:rFonts w:ascii="Calibri" w:hAnsi="Calibri"/>
          <w:b w:val="0"/>
          <w:i w:val="0"/>
          <w:color w:val="404040"/>
          <w:sz w:val="21"/>
        </w:rPr>
        <w:t>C. To calculate and verify the interest calculations on behalf of all lenders</w:t>
      </w:r>
    </w:p>
    <w:p>
      <w:pPr>
        <w:spacing w:before="20"/>
        <w:ind w:left="432"/>
      </w:pPr>
      <w:r>
        <w:rPr>
          <w:rFonts w:ascii="Calibri" w:hAnsi="Calibri"/>
          <w:b w:val="0"/>
          <w:i w:val="0"/>
          <w:color w:val="404040"/>
          <w:sz w:val="21"/>
        </w:rPr>
        <w:t>D. To act as the borrower's representative in any restructuring negotiations</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The security trustee holds security on behalf of the syndicate as a whole. This structure is efficient — when lenders assign their commitments in the secondary market, security ownership does not need to be re-registered for each transfer.</w:t>
            </w:r>
          </w:p>
        </w:tc>
      </w:tr>
    </w:tbl>
    <w:p>
      <w:pPr>
        <w:spacing w:after="40"/>
      </w:pPr>
    </w:p>
    <w:p>
      <w:pPr>
        <w:pBdr>
          <w:bottom w:val="single" w:sz="6" w:space="1" w:color="007A87"/>
        </w:pBdr>
        <w:spacing w:after="40"/>
      </w:pPr>
    </w:p>
    <w:tbl>
      <w:tblPr>
        <w:tblStyle w:val="TableGrid"/>
        <w:tblW w:type="auto" w:w="0"/>
        <w:tblLook w:firstColumn="1" w:firstRow="1" w:lastColumn="0" w:lastRow="0" w:noHBand="0" w:noVBand="1" w:val="04A0"/>
      </w:tblPr>
      <w:tblGrid>
        <w:gridCol w:w="9360"/>
      </w:tblGrid>
      <w:tr>
        <w:tc>
          <w:tcPr>
            <w:tcW w:type="dxa" w:w="9360"/>
            <w:shd w:val="clear" w:color="auto" w:fill="007A87"/>
          </w:tcPr>
          <w:p/>
          <w:p>
            <w:pPr>
              <w:jc w:val="left"/>
            </w:pPr>
            <w:r>
              <w:rPr>
                <w:rFonts w:ascii="Calibri" w:hAnsi="Calibri"/>
                <w:b/>
                <w:i w:val="0"/>
                <w:color w:val="FFFFFF"/>
                <w:sz w:val="24"/>
              </w:rPr>
              <w:t>H12.8  |  Distressed Debt and Loan Workouts</w:t>
            </w:r>
          </w:p>
        </w:tc>
      </w:tr>
    </w:tbl>
    <w:p/>
    <w:p>
      <w:pPr>
        <w:spacing w:before="80"/>
      </w:pPr>
      <w:r>
        <w:rPr>
          <w:rFonts w:ascii="Calibri" w:hAnsi="Calibri"/>
          <w:b/>
          <w:i w:val="0"/>
          <w:color w:val="101C4F"/>
          <w:sz w:val="22"/>
        </w:rPr>
        <w:t xml:space="preserve">Q29.  </w:t>
      </w:r>
      <w:r>
        <w:rPr>
          <w:rFonts w:ascii="Calibri" w:hAnsi="Calibri"/>
          <w:b w:val="0"/>
          <w:i w:val="0"/>
          <w:color w:val="404040"/>
          <w:sz w:val="22"/>
        </w:rPr>
        <w:t>Under IFRS 9, when is a loan classified as Stage 3?</w:t>
      </w:r>
    </w:p>
    <w:p>
      <w:pPr>
        <w:spacing w:before="20"/>
        <w:ind w:left="432"/>
      </w:pPr>
      <w:r>
        <w:rPr>
          <w:rFonts w:ascii="Calibri" w:hAnsi="Calibri"/>
          <w:b w:val="0"/>
          <w:i w:val="0"/>
          <w:color w:val="404040"/>
          <w:sz w:val="21"/>
        </w:rPr>
        <w:t>A. When the borrower's credit rating is downgraded by one notch by an external rating agency</w:t>
      </w:r>
    </w:p>
    <w:p>
      <w:pPr>
        <w:spacing w:before="20"/>
        <w:ind w:left="432"/>
      </w:pPr>
      <w:r>
        <w:rPr>
          <w:rFonts w:ascii="Calibri" w:hAnsi="Calibri"/>
          <w:b w:val="0"/>
          <w:i w:val="0"/>
          <w:color w:val="404040"/>
          <w:sz w:val="21"/>
        </w:rPr>
        <w:t>B. When the loan is credit-impaired — the borrower is 90+ days past due or assessed as unlikely to repay without enforcement</w:t>
      </w:r>
    </w:p>
    <w:p>
      <w:pPr>
        <w:spacing w:before="20"/>
        <w:ind w:left="432"/>
      </w:pPr>
      <w:r>
        <w:rPr>
          <w:rFonts w:ascii="Calibri" w:hAnsi="Calibri"/>
          <w:b w:val="0"/>
          <w:i w:val="0"/>
          <w:color w:val="404040"/>
          <w:sz w:val="21"/>
        </w:rPr>
        <w:t>C. When the bank elects to classify a loan as high-risk for management reporting purposes</w:t>
      </w:r>
    </w:p>
    <w:p>
      <w:pPr>
        <w:spacing w:before="20"/>
        <w:ind w:left="432"/>
      </w:pPr>
      <w:r>
        <w:rPr>
          <w:rFonts w:ascii="Calibri" w:hAnsi="Calibri"/>
          <w:b w:val="0"/>
          <w:i w:val="0"/>
          <w:color w:val="404040"/>
          <w:sz w:val="21"/>
        </w:rPr>
        <w:t>D. When the loan's interest rate is below the current market rate</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Stage 3 (credit-impaired) is triggered when objective evidence of impairment exists — typically 90+ days past due on material amounts, or when the borrower is assessed as 'unlikely to pay' without recourse to collateral or guarantees.</w:t>
            </w:r>
          </w:p>
        </w:tc>
      </w:tr>
    </w:tbl>
    <w:p>
      <w:pPr>
        <w:spacing w:after="40"/>
      </w:pPr>
    </w:p>
    <w:p>
      <w:pPr>
        <w:spacing w:before="80"/>
      </w:pPr>
      <w:r>
        <w:rPr>
          <w:rFonts w:ascii="Calibri" w:hAnsi="Calibri"/>
          <w:b/>
          <w:i w:val="0"/>
          <w:color w:val="101C4F"/>
          <w:sz w:val="22"/>
        </w:rPr>
        <w:t xml:space="preserve">Q30.  </w:t>
      </w:r>
      <w:r>
        <w:rPr>
          <w:rFonts w:ascii="Calibri" w:hAnsi="Calibri"/>
          <w:b w:val="0"/>
          <w:i w:val="0"/>
          <w:color w:val="404040"/>
          <w:sz w:val="22"/>
        </w:rPr>
        <w:t>What is a standstill agreement in the context of a loan workout?</w:t>
      </w:r>
    </w:p>
    <w:p>
      <w:pPr>
        <w:spacing w:before="20"/>
        <w:ind w:left="432"/>
      </w:pPr>
      <w:r>
        <w:rPr>
          <w:rFonts w:ascii="Calibri" w:hAnsi="Calibri"/>
          <w:b w:val="0"/>
          <w:i w:val="0"/>
          <w:color w:val="404040"/>
          <w:sz w:val="21"/>
        </w:rPr>
        <w:t>A. A formal instruction to stop all trading activity under the loan during a restructuring</w:t>
      </w:r>
    </w:p>
    <w:p>
      <w:pPr>
        <w:spacing w:before="20"/>
        <w:ind w:left="432"/>
      </w:pPr>
      <w:r>
        <w:rPr>
          <w:rFonts w:ascii="Calibri" w:hAnsi="Calibri"/>
          <w:b w:val="0"/>
          <w:i w:val="0"/>
          <w:color w:val="404040"/>
          <w:sz w:val="21"/>
        </w:rPr>
        <w:t>B. An agreement where lenders commit not to accelerate or enforce their security for a defined period while a restructuring is negotiated</w:t>
      </w:r>
    </w:p>
    <w:p>
      <w:pPr>
        <w:spacing w:before="20"/>
        <w:ind w:left="432"/>
      </w:pPr>
      <w:r>
        <w:rPr>
          <w:rFonts w:ascii="Calibri" w:hAnsi="Calibri"/>
          <w:b w:val="0"/>
          <w:i w:val="0"/>
          <w:color w:val="404040"/>
          <w:sz w:val="21"/>
        </w:rPr>
        <w:t>C. A regulatory requirement to freeze a borrower's assets during an investigation</w:t>
      </w:r>
    </w:p>
    <w:p>
      <w:pPr>
        <w:spacing w:before="20"/>
        <w:ind w:left="432"/>
      </w:pPr>
      <w:r>
        <w:rPr>
          <w:rFonts w:ascii="Calibri" w:hAnsi="Calibri"/>
          <w:b w:val="0"/>
          <w:i w:val="0"/>
          <w:color w:val="404040"/>
          <w:sz w:val="21"/>
        </w:rPr>
        <w:t>D. An amendment freezing the loan's interest rate during a period of rate volatility</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A standstill is a short-term ceasefire — lenders agree to withhold enforcement action to allow time for constructive restructuring discussions. It requires lender coordination and is typically governed by a standstill agreement with defined terms and expiry.</w:t>
            </w:r>
          </w:p>
        </w:tc>
      </w:tr>
    </w:tbl>
    <w:p>
      <w:pPr>
        <w:spacing w:after="40"/>
      </w:pPr>
    </w:p>
    <w:p>
      <w:pPr>
        <w:spacing w:before="80"/>
      </w:pPr>
      <w:r>
        <w:rPr>
          <w:rFonts w:ascii="Calibri" w:hAnsi="Calibri"/>
          <w:b/>
          <w:i w:val="0"/>
          <w:color w:val="101C4F"/>
          <w:sz w:val="22"/>
        </w:rPr>
        <w:t xml:space="preserve">Q31.  </w:t>
      </w:r>
      <w:r>
        <w:rPr>
          <w:rFonts w:ascii="Calibri" w:hAnsi="Calibri"/>
          <w:b w:val="0"/>
          <w:i w:val="0"/>
          <w:color w:val="404040"/>
          <w:sz w:val="22"/>
        </w:rPr>
        <w:t>In a UK Restructuring Plan (introduced under the Corporate Insolvency and Governance Act 2020), what is 'cram-down'?</w:t>
      </w:r>
    </w:p>
    <w:p>
      <w:pPr>
        <w:spacing w:before="20"/>
        <w:ind w:left="432"/>
      </w:pPr>
      <w:r>
        <w:rPr>
          <w:rFonts w:ascii="Calibri" w:hAnsi="Calibri"/>
          <w:b w:val="0"/>
          <w:i w:val="0"/>
          <w:color w:val="404040"/>
          <w:sz w:val="21"/>
        </w:rPr>
        <w:t>A. Forcing a borrower to accept higher interest rates against their will</w:t>
      </w:r>
    </w:p>
    <w:p>
      <w:pPr>
        <w:spacing w:before="20"/>
        <w:ind w:left="432"/>
      </w:pPr>
      <w:r>
        <w:rPr>
          <w:rFonts w:ascii="Calibri" w:hAnsi="Calibri"/>
          <w:b w:val="0"/>
          <w:i w:val="0"/>
          <w:color w:val="404040"/>
          <w:sz w:val="21"/>
        </w:rPr>
        <w:t>B. The court's power to sanction a restructuring plan that binds dissenting creditor classes, provided certain conditions are met</w:t>
      </w:r>
    </w:p>
    <w:p>
      <w:pPr>
        <w:spacing w:before="20"/>
        <w:ind w:left="432"/>
      </w:pPr>
      <w:r>
        <w:rPr>
          <w:rFonts w:ascii="Calibri" w:hAnsi="Calibri"/>
          <w:b w:val="0"/>
          <w:i w:val="0"/>
          <w:color w:val="404040"/>
          <w:sz w:val="21"/>
        </w:rPr>
        <w:t>C. A provision requiring the borrower to repay 100% of debt before restructuring can proceed</w:t>
      </w:r>
    </w:p>
    <w:p>
      <w:pPr>
        <w:spacing w:before="20"/>
        <w:ind w:left="432"/>
      </w:pPr>
      <w:r>
        <w:rPr>
          <w:rFonts w:ascii="Calibri" w:hAnsi="Calibri"/>
          <w:b w:val="0"/>
          <w:i w:val="0"/>
          <w:color w:val="404040"/>
          <w:sz w:val="21"/>
        </w:rPr>
        <w:t>D. An HMRC power to recover tax arrears ahead of secured creditors</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Cram-down allows a court-sanctioned restructuring plan to be imposed on dissenting classes of creditors (including those that voted against it), provided the plan does not leave them worse off than in the most likely alternative outcome.</w:t>
            </w:r>
          </w:p>
        </w:tc>
      </w:tr>
    </w:tbl>
    <w:p>
      <w:pPr>
        <w:spacing w:after="40"/>
      </w:pPr>
    </w:p>
    <w:p>
      <w:pPr>
        <w:spacing w:before="80"/>
      </w:pPr>
      <w:r>
        <w:rPr>
          <w:rFonts w:ascii="Calibri" w:hAnsi="Calibri"/>
          <w:b/>
          <w:i w:val="0"/>
          <w:color w:val="101C4F"/>
          <w:sz w:val="22"/>
        </w:rPr>
        <w:t xml:space="preserve">Q32.  </w:t>
      </w:r>
      <w:r>
        <w:rPr>
          <w:rFonts w:ascii="Calibri" w:hAnsi="Calibri"/>
          <w:b w:val="0"/>
          <w:i w:val="0"/>
          <w:color w:val="404040"/>
          <w:sz w:val="22"/>
        </w:rPr>
        <w:t>When a bank sells a non-performing loan portfolio to a distressed debt fund, the sale price is typically:</w:t>
      </w:r>
    </w:p>
    <w:p>
      <w:pPr>
        <w:spacing w:before="20"/>
        <w:ind w:left="432"/>
      </w:pPr>
      <w:r>
        <w:rPr>
          <w:rFonts w:ascii="Calibri" w:hAnsi="Calibri"/>
          <w:b w:val="0"/>
          <w:i w:val="0"/>
          <w:color w:val="404040"/>
          <w:sz w:val="21"/>
        </w:rPr>
        <w:t>A. At par (100% of face value) as required by regulatory rules</w:t>
      </w:r>
    </w:p>
    <w:p>
      <w:pPr>
        <w:spacing w:before="20"/>
        <w:ind w:left="432"/>
      </w:pPr>
      <w:r>
        <w:rPr>
          <w:rFonts w:ascii="Calibri" w:hAnsi="Calibri"/>
          <w:b w:val="0"/>
          <w:i w:val="0"/>
          <w:color w:val="404040"/>
          <w:sz w:val="21"/>
        </w:rPr>
        <w:t>B. At a significant discount to face value, reflecting the credit risk, recovery uncertainty, and illiquidity premium demanded by the buyer</w:t>
      </w:r>
    </w:p>
    <w:p>
      <w:pPr>
        <w:spacing w:before="20"/>
        <w:ind w:left="432"/>
      </w:pPr>
      <w:r>
        <w:rPr>
          <w:rFonts w:ascii="Calibri" w:hAnsi="Calibri"/>
          <w:b w:val="0"/>
          <w:i w:val="0"/>
          <w:color w:val="404040"/>
          <w:sz w:val="21"/>
        </w:rPr>
        <w:t>C. At a premium above face value to compensate the bank for the regulatory capital released</w:t>
      </w:r>
    </w:p>
    <w:p>
      <w:pPr>
        <w:spacing w:before="20"/>
        <w:ind w:left="432"/>
      </w:pPr>
      <w:r>
        <w:rPr>
          <w:rFonts w:ascii="Calibri" w:hAnsi="Calibri"/>
          <w:b w:val="0"/>
          <w:i w:val="0"/>
          <w:color w:val="404040"/>
          <w:sz w:val="21"/>
        </w:rPr>
        <w:t>D. Based on the book value per the bank's IFRS 9 carrying amount without any discount</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NPL portfolio sales are transacted at deep discounts — the buyer (a distressed fund) prices in uncertain recovery, legal and enforcement costs, and the time value of money. The bank crystallises a loss but frees capital and reduces risk-weighted assets.</w:t>
            </w:r>
          </w:p>
        </w:tc>
      </w:tr>
    </w:tbl>
    <w:p>
      <w:pPr>
        <w:spacing w:after="40"/>
      </w:pPr>
    </w:p>
    <w:p>
      <w:pPr>
        <w:pBdr>
          <w:bottom w:val="single" w:sz="6" w:space="1" w:color="007A87"/>
        </w:pBdr>
        <w:spacing w:after="40"/>
      </w:pPr>
    </w:p>
    <w:tbl>
      <w:tblPr>
        <w:tblStyle w:val="TableGrid"/>
        <w:tblW w:type="auto" w:w="0"/>
        <w:tblLook w:firstColumn="1" w:firstRow="1" w:lastColumn="0" w:lastRow="0" w:noHBand="0" w:noVBand="1" w:val="04A0"/>
      </w:tblPr>
      <w:tblGrid>
        <w:gridCol w:w="9360"/>
      </w:tblGrid>
      <w:tr>
        <w:tc>
          <w:tcPr>
            <w:tcW w:type="dxa" w:w="9360"/>
            <w:shd w:val="clear" w:color="auto" w:fill="007A87"/>
          </w:tcPr>
          <w:p/>
          <w:p>
            <w:pPr>
              <w:jc w:val="left"/>
            </w:pPr>
            <w:r>
              <w:rPr>
                <w:rFonts w:ascii="Calibri" w:hAnsi="Calibri"/>
                <w:b/>
                <w:i w:val="0"/>
                <w:color w:val="FFFFFF"/>
                <w:sz w:val="24"/>
              </w:rPr>
              <w:t>H12.9  |  Regulatory Framework for Lending</w:t>
            </w:r>
          </w:p>
        </w:tc>
      </w:tr>
    </w:tbl>
    <w:p/>
    <w:p>
      <w:pPr>
        <w:spacing w:before="80"/>
      </w:pPr>
      <w:r>
        <w:rPr>
          <w:rFonts w:ascii="Calibri" w:hAnsi="Calibri"/>
          <w:b/>
          <w:i w:val="0"/>
          <w:color w:val="101C4F"/>
          <w:sz w:val="22"/>
        </w:rPr>
        <w:t xml:space="preserve">Q33.  </w:t>
      </w:r>
      <w:r>
        <w:rPr>
          <w:rFonts w:ascii="Calibri" w:hAnsi="Calibri"/>
          <w:b w:val="0"/>
          <w:i w:val="0"/>
          <w:color w:val="404040"/>
          <w:sz w:val="22"/>
        </w:rPr>
        <w:t>Under the Basel III standardised approach, which type of loan exposure typically attracts the highest risk weight?</w:t>
      </w:r>
    </w:p>
    <w:p>
      <w:pPr>
        <w:spacing w:before="20"/>
        <w:ind w:left="432"/>
      </w:pPr>
      <w:r>
        <w:rPr>
          <w:rFonts w:ascii="Calibri" w:hAnsi="Calibri"/>
          <w:b w:val="0"/>
          <w:i w:val="0"/>
          <w:color w:val="404040"/>
          <w:sz w:val="21"/>
        </w:rPr>
        <w:t>A. A loan to a sovereign government rated AAA</w:t>
      </w:r>
    </w:p>
    <w:p>
      <w:pPr>
        <w:spacing w:before="20"/>
        <w:ind w:left="432"/>
      </w:pPr>
      <w:r>
        <w:rPr>
          <w:rFonts w:ascii="Calibri" w:hAnsi="Calibri"/>
          <w:b w:val="0"/>
          <w:i w:val="0"/>
          <w:color w:val="404040"/>
          <w:sz w:val="21"/>
        </w:rPr>
        <w:t>B. A secured residential mortgage at 60% LTV</w:t>
      </w:r>
    </w:p>
    <w:p>
      <w:pPr>
        <w:spacing w:before="20"/>
        <w:ind w:left="432"/>
      </w:pPr>
      <w:r>
        <w:rPr>
          <w:rFonts w:ascii="Calibri" w:hAnsi="Calibri"/>
          <w:b w:val="0"/>
          <w:i w:val="0"/>
          <w:color w:val="404040"/>
          <w:sz w:val="21"/>
        </w:rPr>
        <w:t>C. An unsecured loan to a sub-investment grade corporate borrower</w:t>
      </w:r>
    </w:p>
    <w:p>
      <w:pPr>
        <w:spacing w:before="20"/>
        <w:ind w:left="432"/>
      </w:pPr>
      <w:r>
        <w:rPr>
          <w:rFonts w:ascii="Calibri" w:hAnsi="Calibri"/>
          <w:b w:val="0"/>
          <w:i w:val="0"/>
          <w:color w:val="404040"/>
          <w:sz w:val="21"/>
        </w:rPr>
        <w:t>D. A short-term interbank loan to another investment grade bank</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C</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Risk weights increase with credit risk. Unsecured sub-investment grade corporate loans attract risk weights of 100–150%+. AAA sovereigns may attract 0%; residential mortgages at low LTV attract 35%; interbank short-term exposures attract 20–50%.</w:t>
            </w:r>
          </w:p>
        </w:tc>
      </w:tr>
    </w:tbl>
    <w:p>
      <w:pPr>
        <w:spacing w:after="40"/>
      </w:pPr>
    </w:p>
    <w:p>
      <w:pPr>
        <w:spacing w:before="80"/>
      </w:pPr>
      <w:r>
        <w:rPr>
          <w:rFonts w:ascii="Calibri" w:hAnsi="Calibri"/>
          <w:b/>
          <w:i w:val="0"/>
          <w:color w:val="101C4F"/>
          <w:sz w:val="22"/>
        </w:rPr>
        <w:t xml:space="preserve">Q34.  </w:t>
      </w:r>
      <w:r>
        <w:rPr>
          <w:rFonts w:ascii="Calibri" w:hAnsi="Calibri"/>
          <w:b w:val="0"/>
          <w:i w:val="0"/>
          <w:color w:val="404040"/>
          <w:sz w:val="22"/>
        </w:rPr>
        <w:t>The ECL formula under IFRS 9 is expressed as ECL = PD × LGD × EAD. What does LGD represent?</w:t>
      </w:r>
    </w:p>
    <w:p>
      <w:pPr>
        <w:spacing w:before="20"/>
        <w:ind w:left="432"/>
      </w:pPr>
      <w:r>
        <w:rPr>
          <w:rFonts w:ascii="Calibri" w:hAnsi="Calibri"/>
          <w:b w:val="0"/>
          <w:i w:val="0"/>
          <w:color w:val="404040"/>
          <w:sz w:val="21"/>
        </w:rPr>
        <w:t>A. Loan Growth Discount — the reduction in loan volume due to pricing increases</w:t>
      </w:r>
    </w:p>
    <w:p>
      <w:pPr>
        <w:spacing w:before="20"/>
        <w:ind w:left="432"/>
      </w:pPr>
      <w:r>
        <w:rPr>
          <w:rFonts w:ascii="Calibri" w:hAnsi="Calibri"/>
          <w:b w:val="0"/>
          <w:i w:val="0"/>
          <w:color w:val="404040"/>
          <w:sz w:val="21"/>
        </w:rPr>
        <w:t>B. Loss Given Default — the proportion of the exposure that the bank expects to lose if the borrower defaults, net of recoveries</w:t>
      </w:r>
    </w:p>
    <w:p>
      <w:pPr>
        <w:spacing w:before="20"/>
        <w:ind w:left="432"/>
      </w:pPr>
      <w:r>
        <w:rPr>
          <w:rFonts w:ascii="Calibri" w:hAnsi="Calibri"/>
          <w:b w:val="0"/>
          <w:i w:val="0"/>
          <w:color w:val="404040"/>
          <w:sz w:val="21"/>
        </w:rPr>
        <w:t>C. Leverage Growth Driver — a metric for monitoring borrower leverage growth</w:t>
      </w:r>
    </w:p>
    <w:p>
      <w:pPr>
        <w:spacing w:before="20"/>
        <w:ind w:left="432"/>
      </w:pPr>
      <w:r>
        <w:rPr>
          <w:rFonts w:ascii="Calibri" w:hAnsi="Calibri"/>
          <w:b w:val="0"/>
          <w:i w:val="0"/>
          <w:color w:val="404040"/>
          <w:sz w:val="21"/>
        </w:rPr>
        <w:t>D. Loan Guarantee Disclosure — the regulatory document disclosing guarantee arrangements</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LGD is the fraction of the exposure expected to be permanently lost in a default scenario, after accounting for recoveries from collateral enforcement, guarantees, and insolvency proceedings. Higher collateral quality reduces LGD.</w:t>
            </w:r>
          </w:p>
        </w:tc>
      </w:tr>
    </w:tbl>
    <w:p>
      <w:pPr>
        <w:spacing w:after="40"/>
      </w:pPr>
    </w:p>
    <w:p>
      <w:pPr>
        <w:spacing w:before="80"/>
      </w:pPr>
      <w:r>
        <w:rPr>
          <w:rFonts w:ascii="Calibri" w:hAnsi="Calibri"/>
          <w:b/>
          <w:i w:val="0"/>
          <w:color w:val="101C4F"/>
          <w:sz w:val="22"/>
        </w:rPr>
        <w:t xml:space="preserve">Q35.  </w:t>
      </w:r>
      <w:r>
        <w:rPr>
          <w:rFonts w:ascii="Calibri" w:hAnsi="Calibri"/>
          <w:b w:val="0"/>
          <w:i w:val="0"/>
          <w:color w:val="404040"/>
          <w:sz w:val="22"/>
        </w:rPr>
        <w:t>Under AML regulations, what is 'Ultimate Beneficial Owner' (UBO) identification?</w:t>
      </w:r>
    </w:p>
    <w:p>
      <w:pPr>
        <w:spacing w:before="20"/>
        <w:ind w:left="432"/>
      </w:pPr>
      <w:r>
        <w:rPr>
          <w:rFonts w:ascii="Calibri" w:hAnsi="Calibri"/>
          <w:b w:val="0"/>
          <w:i w:val="0"/>
          <w:color w:val="404040"/>
          <w:sz w:val="21"/>
        </w:rPr>
        <w:t>A. Identifying which bank will ultimately fund the loan</w:t>
      </w:r>
    </w:p>
    <w:p>
      <w:pPr>
        <w:spacing w:before="20"/>
        <w:ind w:left="432"/>
      </w:pPr>
      <w:r>
        <w:rPr>
          <w:rFonts w:ascii="Calibri" w:hAnsi="Calibri"/>
          <w:b w:val="0"/>
          <w:i w:val="0"/>
          <w:color w:val="404040"/>
          <w:sz w:val="21"/>
        </w:rPr>
        <w:t>B. Identifying the natural persons who ultimately own or control more than 25% of the borrowing entity, or who otherwise exercise effective control</w:t>
      </w:r>
    </w:p>
    <w:p>
      <w:pPr>
        <w:spacing w:before="20"/>
        <w:ind w:left="432"/>
      </w:pPr>
      <w:r>
        <w:rPr>
          <w:rFonts w:ascii="Calibri" w:hAnsi="Calibri"/>
          <w:b w:val="0"/>
          <w:i w:val="0"/>
          <w:color w:val="404040"/>
          <w:sz w:val="21"/>
        </w:rPr>
        <w:t>C. Determining which legal entity in a corporate group will receive the loan proceeds</w:t>
      </w:r>
    </w:p>
    <w:p>
      <w:pPr>
        <w:spacing w:before="20"/>
        <w:ind w:left="432"/>
      </w:pPr>
      <w:r>
        <w:rPr>
          <w:rFonts w:ascii="Calibri" w:hAnsi="Calibri"/>
          <w:b w:val="0"/>
          <w:i w:val="0"/>
          <w:color w:val="404040"/>
          <w:sz w:val="21"/>
        </w:rPr>
        <w:t>D. Identifying the beneficial owner of the collateral pledged to secure the loan</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UBO identification is a core AML requirement — lenders must look through corporate structures to identify the real human beings who own or control the borrower. Thresholds vary by jurisdiction (typically 25% ownership or control).</w:t>
            </w:r>
          </w:p>
        </w:tc>
      </w:tr>
    </w:tbl>
    <w:p>
      <w:pPr>
        <w:spacing w:after="40"/>
      </w:pPr>
    </w:p>
    <w:p>
      <w:pPr>
        <w:spacing w:before="80"/>
      </w:pPr>
      <w:r>
        <w:rPr>
          <w:rFonts w:ascii="Calibri" w:hAnsi="Calibri"/>
          <w:b/>
          <w:i w:val="0"/>
          <w:color w:val="101C4F"/>
          <w:sz w:val="22"/>
        </w:rPr>
        <w:t xml:space="preserve">Q36.  </w:t>
      </w:r>
      <w:r>
        <w:rPr>
          <w:rFonts w:ascii="Calibri" w:hAnsi="Calibri"/>
          <w:b w:val="0"/>
          <w:i w:val="0"/>
          <w:color w:val="404040"/>
          <w:sz w:val="22"/>
        </w:rPr>
        <w:t>The leverage ratio under Basel III is defined as:</w:t>
      </w:r>
    </w:p>
    <w:p>
      <w:pPr>
        <w:spacing w:before="20"/>
        <w:ind w:left="432"/>
      </w:pPr>
      <w:r>
        <w:rPr>
          <w:rFonts w:ascii="Calibri" w:hAnsi="Calibri"/>
          <w:b w:val="0"/>
          <w:i w:val="0"/>
          <w:color w:val="404040"/>
          <w:sz w:val="21"/>
        </w:rPr>
        <w:t>A. Tier 1 capital divided by risk-weighted assets, expressed as a percentage</w:t>
      </w:r>
    </w:p>
    <w:p>
      <w:pPr>
        <w:spacing w:before="20"/>
        <w:ind w:left="432"/>
      </w:pPr>
      <w:r>
        <w:rPr>
          <w:rFonts w:ascii="Calibri" w:hAnsi="Calibri"/>
          <w:b w:val="0"/>
          <w:i w:val="0"/>
          <w:color w:val="404040"/>
          <w:sz w:val="21"/>
        </w:rPr>
        <w:t>B. Total assets divided by total equity on the balance sheet</w:t>
      </w:r>
    </w:p>
    <w:p>
      <w:pPr>
        <w:spacing w:before="20"/>
        <w:ind w:left="432"/>
      </w:pPr>
      <w:r>
        <w:rPr>
          <w:rFonts w:ascii="Calibri" w:hAnsi="Calibri"/>
          <w:b w:val="0"/>
          <w:i w:val="0"/>
          <w:color w:val="404040"/>
          <w:sz w:val="21"/>
        </w:rPr>
        <w:t>C. Tier 1 capital divided by total on- and off-balance-sheet exposures (not risk-weighted), expressed as a percentage</w:t>
      </w:r>
    </w:p>
    <w:p>
      <w:pPr>
        <w:spacing w:before="20"/>
        <w:ind w:left="432"/>
      </w:pPr>
      <w:r>
        <w:rPr>
          <w:rFonts w:ascii="Calibri" w:hAnsi="Calibri"/>
          <w:b w:val="0"/>
          <w:i w:val="0"/>
          <w:color w:val="404040"/>
          <w:sz w:val="21"/>
        </w:rPr>
        <w:t>D. Net Debt divided by EBITDA, as reported in the credit agreement</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C</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The Basel III leverage ratio is a non-risk-based backstop measure: Tier 1 capital / total exposure (including off-balance-sheet items like undrawn RCF commitments, without risk weighting). Minimum requirement is 3% (higher for G-SIBs).</w:t>
            </w:r>
          </w:p>
        </w:tc>
      </w:tr>
    </w:tbl>
    <w:p>
      <w:pPr>
        <w:spacing w:after="40"/>
      </w:pPr>
    </w:p>
    <w:p>
      <w:pPr>
        <w:pBdr>
          <w:bottom w:val="single" w:sz="6" w:space="1" w:color="007A87"/>
        </w:pBdr>
        <w:spacing w:after="40"/>
      </w:pPr>
    </w:p>
    <w:tbl>
      <w:tblPr>
        <w:tblStyle w:val="TableGrid"/>
        <w:tblW w:type="auto" w:w="0"/>
        <w:tblLook w:firstColumn="1" w:firstRow="1" w:lastColumn="0" w:lastRow="0" w:noHBand="0" w:noVBand="1" w:val="04A0"/>
      </w:tblPr>
      <w:tblGrid>
        <w:gridCol w:w="9360"/>
      </w:tblGrid>
      <w:tr>
        <w:tc>
          <w:tcPr>
            <w:tcW w:type="dxa" w:w="9360"/>
            <w:shd w:val="clear" w:color="auto" w:fill="007A87"/>
          </w:tcPr>
          <w:p/>
          <w:p>
            <w:pPr>
              <w:jc w:val="left"/>
            </w:pPr>
            <w:r>
              <w:rPr>
                <w:rFonts w:ascii="Calibri" w:hAnsi="Calibri"/>
                <w:b/>
                <w:i w:val="0"/>
                <w:color w:val="FFFFFF"/>
                <w:sz w:val="24"/>
              </w:rPr>
              <w:t>H12.10  |  Technology in Lending Operations</w:t>
            </w:r>
          </w:p>
        </w:tc>
      </w:tr>
    </w:tbl>
    <w:p/>
    <w:p>
      <w:pPr>
        <w:spacing w:before="80"/>
      </w:pPr>
      <w:r>
        <w:rPr>
          <w:rFonts w:ascii="Calibri" w:hAnsi="Calibri"/>
          <w:b/>
          <w:i w:val="0"/>
          <w:color w:val="101C4F"/>
          <w:sz w:val="22"/>
        </w:rPr>
        <w:t xml:space="preserve">Q37.  </w:t>
      </w:r>
      <w:r>
        <w:rPr>
          <w:rFonts w:ascii="Calibri" w:hAnsi="Calibri"/>
          <w:b w:val="0"/>
          <w:i w:val="0"/>
          <w:color w:val="404040"/>
          <w:sz w:val="22"/>
        </w:rPr>
        <w:t>Which loan management system is the dominant platform for syndicated loan administration globally?</w:t>
      </w:r>
    </w:p>
    <w:p>
      <w:pPr>
        <w:spacing w:before="20"/>
        <w:ind w:left="432"/>
      </w:pPr>
      <w:r>
        <w:rPr>
          <w:rFonts w:ascii="Calibri" w:hAnsi="Calibri"/>
          <w:b w:val="0"/>
          <w:i w:val="0"/>
          <w:color w:val="404040"/>
          <w:sz w:val="21"/>
        </w:rPr>
        <w:t>A. Finastra Fusion Loan IQ</w:t>
      </w:r>
    </w:p>
    <w:p>
      <w:pPr>
        <w:spacing w:before="20"/>
        <w:ind w:left="432"/>
      </w:pPr>
      <w:r>
        <w:rPr>
          <w:rFonts w:ascii="Calibri" w:hAnsi="Calibri"/>
          <w:b w:val="0"/>
          <w:i w:val="0"/>
          <w:color w:val="404040"/>
          <w:sz w:val="21"/>
        </w:rPr>
        <w:t>B. Bloomberg Terminal</w:t>
      </w:r>
    </w:p>
    <w:p>
      <w:pPr>
        <w:spacing w:before="20"/>
        <w:ind w:left="432"/>
      </w:pPr>
      <w:r>
        <w:rPr>
          <w:rFonts w:ascii="Calibri" w:hAnsi="Calibri"/>
          <w:b w:val="0"/>
          <w:i w:val="0"/>
          <w:color w:val="404040"/>
          <w:sz w:val="21"/>
        </w:rPr>
        <w:t>C. Murex MX.3</w:t>
      </w:r>
    </w:p>
    <w:p>
      <w:pPr>
        <w:spacing w:before="20"/>
        <w:ind w:left="432"/>
      </w:pPr>
      <w:r>
        <w:rPr>
          <w:rFonts w:ascii="Calibri" w:hAnsi="Calibri"/>
          <w:b w:val="0"/>
          <w:i w:val="0"/>
          <w:color w:val="404040"/>
          <w:sz w:val="21"/>
        </w:rPr>
        <w:t>D. Calypso</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A</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Finastra's Fusion Loan IQ (formerly Wall Street Office) is the market-leading LMS for syndicated loan operations globally, supporting complex multi-tranche, multi-currency facilities, SOFR compounding, secondary market transfers, and DTCC Loan/SERV integration.</w:t>
            </w:r>
          </w:p>
        </w:tc>
      </w:tr>
    </w:tbl>
    <w:p>
      <w:pPr>
        <w:spacing w:after="40"/>
      </w:pPr>
    </w:p>
    <w:p>
      <w:pPr>
        <w:spacing w:before="80"/>
      </w:pPr>
      <w:r>
        <w:rPr>
          <w:rFonts w:ascii="Calibri" w:hAnsi="Calibri"/>
          <w:b/>
          <w:i w:val="0"/>
          <w:color w:val="101C4F"/>
          <w:sz w:val="22"/>
        </w:rPr>
        <w:t xml:space="preserve">Q38.  </w:t>
      </w:r>
      <w:r>
        <w:rPr>
          <w:rFonts w:ascii="Calibri" w:hAnsi="Calibri"/>
          <w:b w:val="0"/>
          <w:i w:val="0"/>
          <w:color w:val="404040"/>
          <w:sz w:val="22"/>
        </w:rPr>
        <w:t>What does DTCC Loan/SERV provide to syndicated loan market participants?</w:t>
      </w:r>
    </w:p>
    <w:p>
      <w:pPr>
        <w:spacing w:before="20"/>
        <w:ind w:left="432"/>
      </w:pPr>
      <w:r>
        <w:rPr>
          <w:rFonts w:ascii="Calibri" w:hAnsi="Calibri"/>
          <w:b w:val="0"/>
          <w:i w:val="0"/>
          <w:color w:val="404040"/>
          <w:sz w:val="21"/>
        </w:rPr>
        <w:t>A. Credit ratings for syndicated loan borrowers</w:t>
      </w:r>
    </w:p>
    <w:p>
      <w:pPr>
        <w:spacing w:before="20"/>
        <w:ind w:left="432"/>
      </w:pPr>
      <w:r>
        <w:rPr>
          <w:rFonts w:ascii="Calibri" w:hAnsi="Calibri"/>
          <w:b w:val="0"/>
          <w:i w:val="0"/>
          <w:color w:val="404040"/>
          <w:sz w:val="21"/>
        </w:rPr>
        <w:t>B. Automated payment notification and matching between agent banks and lenders, reducing manual reconciliation in syndicated loan operations</w:t>
      </w:r>
    </w:p>
    <w:p>
      <w:pPr>
        <w:spacing w:before="20"/>
        <w:ind w:left="432"/>
      </w:pPr>
      <w:r>
        <w:rPr>
          <w:rFonts w:ascii="Calibri" w:hAnsi="Calibri"/>
          <w:b w:val="0"/>
          <w:i w:val="0"/>
          <w:color w:val="404040"/>
          <w:sz w:val="21"/>
        </w:rPr>
        <w:t>C. Legal documentation templates for LMA-standard facility agreements</w:t>
      </w:r>
    </w:p>
    <w:p>
      <w:pPr>
        <w:spacing w:before="20"/>
        <w:ind w:left="432"/>
      </w:pPr>
      <w:r>
        <w:rPr>
          <w:rFonts w:ascii="Calibri" w:hAnsi="Calibri"/>
          <w:b w:val="0"/>
          <w:i w:val="0"/>
          <w:color w:val="404040"/>
          <w:sz w:val="21"/>
        </w:rPr>
        <w:t>D. Secondary market price discovery and loan trading execution</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DTCC Loan/SERV automates the communication and matching of payment notices between the agent bank and all syndicate lenders — reducing manual processing, accelerating confirmation, and minimising reconciliation breaks.</w:t>
            </w:r>
          </w:p>
        </w:tc>
      </w:tr>
    </w:tbl>
    <w:p>
      <w:pPr>
        <w:spacing w:after="40"/>
      </w:pPr>
    </w:p>
    <w:p>
      <w:pPr>
        <w:spacing w:before="80"/>
      </w:pPr>
      <w:r>
        <w:rPr>
          <w:rFonts w:ascii="Calibri" w:hAnsi="Calibri"/>
          <w:b/>
          <w:i w:val="0"/>
          <w:color w:val="101C4F"/>
          <w:sz w:val="22"/>
        </w:rPr>
        <w:t xml:space="preserve">Q39.  </w:t>
      </w:r>
      <w:r>
        <w:rPr>
          <w:rFonts w:ascii="Calibri" w:hAnsi="Calibri"/>
          <w:b w:val="0"/>
          <w:i w:val="0"/>
          <w:color w:val="404040"/>
          <w:sz w:val="22"/>
        </w:rPr>
        <w:t>A sustainability-linked loan (SLL) differs from a green loan primarily in that:</w:t>
      </w:r>
    </w:p>
    <w:p>
      <w:pPr>
        <w:spacing w:before="20"/>
        <w:ind w:left="432"/>
      </w:pPr>
      <w:r>
        <w:rPr>
          <w:rFonts w:ascii="Calibri" w:hAnsi="Calibri"/>
          <w:b w:val="0"/>
          <w:i w:val="0"/>
          <w:color w:val="404040"/>
          <w:sz w:val="21"/>
        </w:rPr>
        <w:t>A. Green loans are available to any borrower; SLLs can only be accessed by environmental companies</w:t>
      </w:r>
    </w:p>
    <w:p>
      <w:pPr>
        <w:spacing w:before="20"/>
        <w:ind w:left="432"/>
      </w:pPr>
      <w:r>
        <w:rPr>
          <w:rFonts w:ascii="Calibri" w:hAnsi="Calibri"/>
          <w:b w:val="0"/>
          <w:i w:val="0"/>
          <w:color w:val="404040"/>
          <w:sz w:val="21"/>
        </w:rPr>
        <w:t>B. An SLL ties the interest margin to the borrower's performance against agreed ESG KPIs (not limited to a specific green use of proceeds), while a green loan requires proceeds to be used for defined environmental purposes</w:t>
      </w:r>
    </w:p>
    <w:p>
      <w:pPr>
        <w:spacing w:before="20"/>
        <w:ind w:left="432"/>
      </w:pPr>
      <w:r>
        <w:rPr>
          <w:rFonts w:ascii="Calibri" w:hAnsi="Calibri"/>
          <w:b w:val="0"/>
          <w:i w:val="0"/>
          <w:color w:val="404040"/>
          <w:sz w:val="21"/>
        </w:rPr>
        <w:t>C. Green loans are regulated by the ECB; SLLs are governed by the FCA</w:t>
      </w:r>
    </w:p>
    <w:p>
      <w:pPr>
        <w:spacing w:before="20"/>
        <w:ind w:left="432"/>
      </w:pPr>
      <w:r>
        <w:rPr>
          <w:rFonts w:ascii="Calibri" w:hAnsi="Calibri"/>
          <w:b w:val="0"/>
          <w:i w:val="0"/>
          <w:color w:val="404040"/>
          <w:sz w:val="21"/>
        </w:rPr>
        <w:t>D. SLLs carry a fixed interest rate; green loans carry a floating rate</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Green loans require proceeds to be used for specific green projects (aligned with Green Loan Principles). SLLs are more flexible — any company can use an SLL, but the margin adjusts based on ESG performance targets regardless of use of proceeds.</w:t>
            </w:r>
          </w:p>
        </w:tc>
      </w:tr>
    </w:tbl>
    <w:p>
      <w:pPr>
        <w:spacing w:after="40"/>
      </w:pPr>
    </w:p>
    <w:p>
      <w:pPr>
        <w:spacing w:before="80"/>
      </w:pPr>
      <w:r>
        <w:rPr>
          <w:rFonts w:ascii="Calibri" w:hAnsi="Calibri"/>
          <w:b/>
          <w:i w:val="0"/>
          <w:color w:val="101C4F"/>
          <w:sz w:val="22"/>
        </w:rPr>
        <w:t xml:space="preserve">Q40.  </w:t>
      </w:r>
      <w:r>
        <w:rPr>
          <w:rFonts w:ascii="Calibri" w:hAnsi="Calibri"/>
          <w:b w:val="0"/>
          <w:i w:val="0"/>
          <w:color w:val="404040"/>
          <w:sz w:val="22"/>
        </w:rPr>
        <w:t>What is the primary challenge that has limited straight-through processing (STP) rates in loan operations compared to securities processing?</w:t>
      </w:r>
    </w:p>
    <w:p>
      <w:pPr>
        <w:spacing w:before="20"/>
        <w:ind w:left="432"/>
      </w:pPr>
      <w:r>
        <w:rPr>
          <w:rFonts w:ascii="Calibri" w:hAnsi="Calibri"/>
          <w:b w:val="0"/>
          <w:i w:val="0"/>
          <w:color w:val="404040"/>
          <w:sz w:val="21"/>
        </w:rPr>
        <w:t>A. Loan management systems are older and less reliable than securities settlement platforms</w:t>
      </w:r>
    </w:p>
    <w:p>
      <w:pPr>
        <w:spacing w:before="20"/>
        <w:ind w:left="432"/>
      </w:pPr>
      <w:r>
        <w:rPr>
          <w:rFonts w:ascii="Calibri" w:hAnsi="Calibri"/>
          <w:b w:val="0"/>
          <w:i w:val="0"/>
          <w:color w:val="404040"/>
          <w:sz w:val="21"/>
        </w:rPr>
        <w:t>B. The bespoke, consent-intensive nature of loan documentation and the complexity of multi-party syndicate structures limit automation compared to standardised securities transactions</w:t>
      </w:r>
    </w:p>
    <w:p>
      <w:pPr>
        <w:spacing w:before="20"/>
        <w:ind w:left="432"/>
      </w:pPr>
      <w:r>
        <w:rPr>
          <w:rFonts w:ascii="Calibri" w:hAnsi="Calibri"/>
          <w:b w:val="0"/>
          <w:i w:val="0"/>
          <w:color w:val="404040"/>
          <w:sz w:val="21"/>
        </w:rPr>
        <w:t>C. Regulatory rules prohibit automated loan processing without manual sign-off</w:t>
      </w:r>
    </w:p>
    <w:p>
      <w:pPr>
        <w:spacing w:before="20"/>
        <w:ind w:left="432"/>
      </w:pPr>
      <w:r>
        <w:rPr>
          <w:rFonts w:ascii="Calibri" w:hAnsi="Calibri"/>
          <w:b w:val="0"/>
          <w:i w:val="0"/>
          <w:color w:val="404040"/>
          <w:sz w:val="21"/>
        </w:rPr>
        <w:t>D. There is no financial incentive for banks to invest in loan automation</w:t>
      </w:r>
    </w:p>
    <w:tbl>
      <w:tblPr>
        <w:tblStyle w:val="TableGrid"/>
        <w:tblW w:type="auto" w:w="0"/>
        <w:tblLook w:firstColumn="1" w:firstRow="1" w:lastColumn="0" w:lastRow="0" w:noHBand="0" w:noVBand="1" w:val="04A0"/>
      </w:tblPr>
      <w:tblGrid>
        <w:gridCol w:w="4680"/>
        <w:gridCol w:w="4680"/>
      </w:tblGrid>
      <w:tr>
        <w:tc>
          <w:tcPr>
            <w:tcW w:type="dxa" w:w="1584"/>
            <w:shd w:val="clear" w:color="auto" w:fill="F0A800"/>
          </w:tcPr>
          <w:p/>
          <w:p>
            <w:pPr>
              <w:jc w:val="center"/>
            </w:pPr>
            <w:r>
              <w:rPr>
                <w:rFonts w:ascii="Calibri" w:hAnsi="Calibri"/>
                <w:b/>
                <w:i w:val="0"/>
                <w:color w:val="101C4F"/>
                <w:sz w:val="18"/>
              </w:rPr>
              <w:t>Answer</w:t>
            </w:r>
          </w:p>
          <w:p>
            <w:pPr>
              <w:jc w:val="center"/>
            </w:pPr>
            <w:r>
              <w:rPr>
                <w:rFonts w:ascii="Calibri" w:hAnsi="Calibri"/>
                <w:b/>
                <w:i w:val="0"/>
                <w:color w:val="101C4F"/>
                <w:sz w:val="28"/>
              </w:rPr>
              <w:t>B</w:t>
            </w:r>
          </w:p>
        </w:tc>
        <w:tc>
          <w:tcPr>
            <w:tcW w:type="dxa" w:w="7776"/>
            <w:shd w:val="clear" w:color="auto" w:fill="F5F6FA"/>
          </w:tcPr>
          <w:p/>
          <w:p>
            <w:r>
              <w:rPr>
                <w:rFonts w:ascii="Calibri" w:hAnsi="Calibri"/>
                <w:b/>
                <w:i w:val="0"/>
                <w:color w:val="007A87"/>
                <w:sz w:val="18"/>
              </w:rPr>
              <w:t xml:space="preserve">Explanation:  </w:t>
            </w:r>
            <w:r>
              <w:rPr>
                <w:rFonts w:ascii="Calibri" w:hAnsi="Calibri"/>
                <w:b w:val="0"/>
                <w:i w:val="0"/>
                <w:color w:val="404040"/>
                <w:sz w:val="18"/>
              </w:rPr>
              <w:t>Loans are highly customised — each facility has unique terms, consent requirements, amendment processes, and party structures. This bespoke nature resists automation compared to standardised securities (equities, bonds) where STP rates exceed 99%.</w:t>
            </w:r>
          </w:p>
        </w:tc>
      </w:tr>
    </w:tbl>
    <w:p>
      <w:pPr>
        <w:spacing w:after="40"/>
      </w:pPr>
    </w:p>
    <w:p>
      <w:pPr>
        <w:pBdr>
          <w:bottom w:val="single" w:sz="6" w:space="1" w:color="007A87"/>
        </w:pBdr>
        <w:spacing w:after="40"/>
      </w:pPr>
    </w:p>
    <w:p/>
    <w:p>
      <w:r>
        <w:rPr>
          <w:rFonts w:ascii="Calibri" w:hAnsi="Calibri"/>
          <w:b/>
          <w:i w:val="0"/>
          <w:color w:val="101C4F"/>
          <w:sz w:val="26"/>
        </w:rPr>
        <w:t>Assessment Summary</w:t>
      </w:r>
    </w:p>
    <w:p>
      <w:pPr>
        <w:pBdr>
          <w:bottom w:val="single" w:sz="6" w:space="1" w:color="101C4F"/>
        </w:pBdr>
        <w:spacing w:after="40"/>
      </w:pP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01C4F"/>
          </w:tcPr>
          <w:p/>
          <w:p>
            <w:pPr>
              <w:jc w:val="center"/>
            </w:pPr>
            <w:r>
              <w:rPr>
                <w:rFonts w:ascii="Calibri" w:hAnsi="Calibri"/>
                <w:b/>
                <w:i w:val="0"/>
                <w:color w:val="FFFFFF"/>
                <w:sz w:val="20"/>
              </w:rPr>
              <w:t>UOR</w:t>
            </w:r>
          </w:p>
        </w:tc>
        <w:tc>
          <w:tcPr>
            <w:tcW w:type="dxa" w:w="3120"/>
            <w:shd w:val="clear" w:color="auto" w:fill="101C4F"/>
          </w:tcPr>
          <w:p/>
          <w:p>
            <w:pPr>
              <w:jc w:val="center"/>
            </w:pPr>
            <w:r>
              <w:rPr>
                <w:rFonts w:ascii="Calibri" w:hAnsi="Calibri"/>
                <w:b/>
                <w:i w:val="0"/>
                <w:color w:val="FFFFFF"/>
                <w:sz w:val="20"/>
              </w:rPr>
              <w:t>Topic</w:t>
            </w:r>
          </w:p>
        </w:tc>
        <w:tc>
          <w:tcPr>
            <w:tcW w:type="dxa" w:w="3120"/>
            <w:shd w:val="clear" w:color="auto" w:fill="101C4F"/>
          </w:tcPr>
          <w:p/>
          <w:p>
            <w:pPr>
              <w:jc w:val="center"/>
            </w:pPr>
            <w:r>
              <w:rPr>
                <w:rFonts w:ascii="Calibri" w:hAnsi="Calibri"/>
                <w:b/>
                <w:i w:val="0"/>
                <w:color w:val="FFFFFF"/>
                <w:sz w:val="20"/>
              </w:rPr>
              <w:t>Questions</w:t>
            </w:r>
          </w:p>
        </w:tc>
      </w:tr>
      <w:tr>
        <w:tc>
          <w:tcPr>
            <w:tcW w:type="dxa" w:w="3120"/>
            <w:shd w:val="clear" w:color="auto" w:fill="F5F6FA"/>
          </w:tcPr>
          <w:p/>
          <w:p>
            <w:pPr>
              <w:jc w:val="left"/>
            </w:pPr>
            <w:r>
              <w:rPr>
                <w:rFonts w:ascii="Calibri" w:hAnsi="Calibri"/>
                <w:b w:val="0"/>
                <w:i w:val="0"/>
                <w:color w:val="404040"/>
                <w:sz w:val="20"/>
              </w:rPr>
              <w:t>H12.1</w:t>
            </w:r>
          </w:p>
        </w:tc>
        <w:tc>
          <w:tcPr>
            <w:tcW w:type="dxa" w:w="3120"/>
            <w:shd w:val="clear" w:color="auto" w:fill="F5F6FA"/>
          </w:tcPr>
          <w:p/>
          <w:p>
            <w:pPr>
              <w:jc w:val="left"/>
            </w:pPr>
            <w:r>
              <w:rPr>
                <w:rFonts w:ascii="Calibri" w:hAnsi="Calibri"/>
                <w:b w:val="0"/>
                <w:i w:val="0"/>
                <w:color w:val="404040"/>
                <w:sz w:val="20"/>
              </w:rPr>
              <w:t>Introduction to Lending Operations</w:t>
            </w:r>
          </w:p>
        </w:tc>
        <w:tc>
          <w:tcPr>
            <w:tcW w:type="dxa" w:w="3120"/>
            <w:shd w:val="clear" w:color="auto" w:fill="F5F6FA"/>
          </w:tcPr>
          <w:p/>
          <w:p>
            <w:pPr>
              <w:jc w:val="center"/>
            </w:pPr>
            <w:r>
              <w:rPr>
                <w:rFonts w:ascii="Calibri" w:hAnsi="Calibri"/>
                <w:b w:val="0"/>
                <w:i w:val="0"/>
                <w:color w:val="404040"/>
                <w:sz w:val="20"/>
              </w:rPr>
              <w:t>4</w:t>
            </w:r>
          </w:p>
        </w:tc>
      </w:tr>
      <w:tr>
        <w:tc>
          <w:tcPr>
            <w:tcW w:type="dxa" w:w="3120"/>
            <w:shd w:val="clear" w:color="auto" w:fill="FFFFFF"/>
          </w:tcPr>
          <w:p/>
          <w:p>
            <w:pPr>
              <w:jc w:val="left"/>
            </w:pPr>
            <w:r>
              <w:rPr>
                <w:rFonts w:ascii="Calibri" w:hAnsi="Calibri"/>
                <w:b w:val="0"/>
                <w:i w:val="0"/>
                <w:color w:val="404040"/>
                <w:sz w:val="20"/>
              </w:rPr>
              <w:t>H12.2</w:t>
            </w:r>
          </w:p>
        </w:tc>
        <w:tc>
          <w:tcPr>
            <w:tcW w:type="dxa" w:w="3120"/>
            <w:shd w:val="clear" w:color="auto" w:fill="FFFFFF"/>
          </w:tcPr>
          <w:p/>
          <w:p>
            <w:pPr>
              <w:jc w:val="left"/>
            </w:pPr>
            <w:r>
              <w:rPr>
                <w:rFonts w:ascii="Calibri" w:hAnsi="Calibri"/>
                <w:b w:val="0"/>
                <w:i w:val="0"/>
                <w:color w:val="404040"/>
                <w:sz w:val="20"/>
              </w:rPr>
              <w:t>Types of Loans and Credit Facilities</w:t>
            </w:r>
          </w:p>
        </w:tc>
        <w:tc>
          <w:tcPr>
            <w:tcW w:type="dxa" w:w="3120"/>
            <w:shd w:val="clear" w:color="auto" w:fill="FFFFFF"/>
          </w:tcPr>
          <w:p/>
          <w:p>
            <w:pPr>
              <w:jc w:val="center"/>
            </w:pPr>
            <w:r>
              <w:rPr>
                <w:rFonts w:ascii="Calibri" w:hAnsi="Calibri"/>
                <w:b w:val="0"/>
                <w:i w:val="0"/>
                <w:color w:val="404040"/>
                <w:sz w:val="20"/>
              </w:rPr>
              <w:t>4</w:t>
            </w:r>
          </w:p>
        </w:tc>
      </w:tr>
      <w:tr>
        <w:tc>
          <w:tcPr>
            <w:tcW w:type="dxa" w:w="3120"/>
            <w:shd w:val="clear" w:color="auto" w:fill="F5F6FA"/>
          </w:tcPr>
          <w:p/>
          <w:p>
            <w:pPr>
              <w:jc w:val="left"/>
            </w:pPr>
            <w:r>
              <w:rPr>
                <w:rFonts w:ascii="Calibri" w:hAnsi="Calibri"/>
                <w:b w:val="0"/>
                <w:i w:val="0"/>
                <w:color w:val="404040"/>
                <w:sz w:val="20"/>
              </w:rPr>
              <w:t>H12.3</w:t>
            </w:r>
          </w:p>
        </w:tc>
        <w:tc>
          <w:tcPr>
            <w:tcW w:type="dxa" w:w="3120"/>
            <w:shd w:val="clear" w:color="auto" w:fill="F5F6FA"/>
          </w:tcPr>
          <w:p/>
          <w:p>
            <w:pPr>
              <w:jc w:val="left"/>
            </w:pPr>
            <w:r>
              <w:rPr>
                <w:rFonts w:ascii="Calibri" w:hAnsi="Calibri"/>
                <w:b w:val="0"/>
                <w:i w:val="0"/>
                <w:color w:val="404040"/>
                <w:sz w:val="20"/>
              </w:rPr>
              <w:t>Loan Origination and Credit Assessment</w:t>
            </w:r>
          </w:p>
        </w:tc>
        <w:tc>
          <w:tcPr>
            <w:tcW w:type="dxa" w:w="3120"/>
            <w:shd w:val="clear" w:color="auto" w:fill="F5F6FA"/>
          </w:tcPr>
          <w:p/>
          <w:p>
            <w:pPr>
              <w:jc w:val="center"/>
            </w:pPr>
            <w:r>
              <w:rPr>
                <w:rFonts w:ascii="Calibri" w:hAnsi="Calibri"/>
                <w:b w:val="0"/>
                <w:i w:val="0"/>
                <w:color w:val="404040"/>
                <w:sz w:val="20"/>
              </w:rPr>
              <w:t>4</w:t>
            </w:r>
          </w:p>
        </w:tc>
      </w:tr>
      <w:tr>
        <w:tc>
          <w:tcPr>
            <w:tcW w:type="dxa" w:w="3120"/>
            <w:shd w:val="clear" w:color="auto" w:fill="FFFFFF"/>
          </w:tcPr>
          <w:p/>
          <w:p>
            <w:pPr>
              <w:jc w:val="left"/>
            </w:pPr>
            <w:r>
              <w:rPr>
                <w:rFonts w:ascii="Calibri" w:hAnsi="Calibri"/>
                <w:b w:val="0"/>
                <w:i w:val="0"/>
                <w:color w:val="404040"/>
                <w:sz w:val="20"/>
              </w:rPr>
              <w:t>H12.4</w:t>
            </w:r>
          </w:p>
        </w:tc>
        <w:tc>
          <w:tcPr>
            <w:tcW w:type="dxa" w:w="3120"/>
            <w:shd w:val="clear" w:color="auto" w:fill="FFFFFF"/>
          </w:tcPr>
          <w:p/>
          <w:p>
            <w:pPr>
              <w:jc w:val="left"/>
            </w:pPr>
            <w:r>
              <w:rPr>
                <w:rFonts w:ascii="Calibri" w:hAnsi="Calibri"/>
                <w:b w:val="0"/>
                <w:i w:val="0"/>
                <w:color w:val="404040"/>
                <w:sz w:val="20"/>
              </w:rPr>
              <w:t>Loan Documentation and Legal Framework</w:t>
            </w:r>
          </w:p>
        </w:tc>
        <w:tc>
          <w:tcPr>
            <w:tcW w:type="dxa" w:w="3120"/>
            <w:shd w:val="clear" w:color="auto" w:fill="FFFFFF"/>
          </w:tcPr>
          <w:p/>
          <w:p>
            <w:pPr>
              <w:jc w:val="center"/>
            </w:pPr>
            <w:r>
              <w:rPr>
                <w:rFonts w:ascii="Calibri" w:hAnsi="Calibri"/>
                <w:b w:val="0"/>
                <w:i w:val="0"/>
                <w:color w:val="404040"/>
                <w:sz w:val="20"/>
              </w:rPr>
              <w:t>4</w:t>
            </w:r>
          </w:p>
        </w:tc>
      </w:tr>
      <w:tr>
        <w:tc>
          <w:tcPr>
            <w:tcW w:type="dxa" w:w="3120"/>
            <w:shd w:val="clear" w:color="auto" w:fill="F5F6FA"/>
          </w:tcPr>
          <w:p/>
          <w:p>
            <w:pPr>
              <w:jc w:val="left"/>
            </w:pPr>
            <w:r>
              <w:rPr>
                <w:rFonts w:ascii="Calibri" w:hAnsi="Calibri"/>
                <w:b w:val="0"/>
                <w:i w:val="0"/>
                <w:color w:val="404040"/>
                <w:sz w:val="20"/>
              </w:rPr>
              <w:t>H12.5</w:t>
            </w:r>
          </w:p>
        </w:tc>
        <w:tc>
          <w:tcPr>
            <w:tcW w:type="dxa" w:w="3120"/>
            <w:shd w:val="clear" w:color="auto" w:fill="F5F6FA"/>
          </w:tcPr>
          <w:p/>
          <w:p>
            <w:pPr>
              <w:jc w:val="left"/>
            </w:pPr>
            <w:r>
              <w:rPr>
                <w:rFonts w:ascii="Calibri" w:hAnsi="Calibri"/>
                <w:b w:val="0"/>
                <w:i w:val="0"/>
                <w:color w:val="404040"/>
                <w:sz w:val="20"/>
              </w:rPr>
              <w:t>Syndicated Lending</w:t>
            </w:r>
          </w:p>
        </w:tc>
        <w:tc>
          <w:tcPr>
            <w:tcW w:type="dxa" w:w="3120"/>
            <w:shd w:val="clear" w:color="auto" w:fill="F5F6FA"/>
          </w:tcPr>
          <w:p/>
          <w:p>
            <w:pPr>
              <w:jc w:val="center"/>
            </w:pPr>
            <w:r>
              <w:rPr>
                <w:rFonts w:ascii="Calibri" w:hAnsi="Calibri"/>
                <w:b w:val="0"/>
                <w:i w:val="0"/>
                <w:color w:val="404040"/>
                <w:sz w:val="20"/>
              </w:rPr>
              <w:t>4</w:t>
            </w:r>
          </w:p>
        </w:tc>
      </w:tr>
      <w:tr>
        <w:tc>
          <w:tcPr>
            <w:tcW w:type="dxa" w:w="3120"/>
            <w:shd w:val="clear" w:color="auto" w:fill="FFFFFF"/>
          </w:tcPr>
          <w:p/>
          <w:p>
            <w:pPr>
              <w:jc w:val="left"/>
            </w:pPr>
            <w:r>
              <w:rPr>
                <w:rFonts w:ascii="Calibri" w:hAnsi="Calibri"/>
                <w:b w:val="0"/>
                <w:i w:val="0"/>
                <w:color w:val="404040"/>
                <w:sz w:val="20"/>
              </w:rPr>
              <w:t>H12.6</w:t>
            </w:r>
          </w:p>
        </w:tc>
        <w:tc>
          <w:tcPr>
            <w:tcW w:type="dxa" w:w="3120"/>
            <w:shd w:val="clear" w:color="auto" w:fill="FFFFFF"/>
          </w:tcPr>
          <w:p/>
          <w:p>
            <w:pPr>
              <w:jc w:val="left"/>
            </w:pPr>
            <w:r>
              <w:rPr>
                <w:rFonts w:ascii="Calibri" w:hAnsi="Calibri"/>
                <w:b w:val="0"/>
                <w:i w:val="0"/>
                <w:color w:val="404040"/>
                <w:sz w:val="20"/>
              </w:rPr>
              <w:t>Loan Administration and Servicing</w:t>
            </w:r>
          </w:p>
        </w:tc>
        <w:tc>
          <w:tcPr>
            <w:tcW w:type="dxa" w:w="3120"/>
            <w:shd w:val="clear" w:color="auto" w:fill="FFFFFF"/>
          </w:tcPr>
          <w:p/>
          <w:p>
            <w:pPr>
              <w:jc w:val="center"/>
            </w:pPr>
            <w:r>
              <w:rPr>
                <w:rFonts w:ascii="Calibri" w:hAnsi="Calibri"/>
                <w:b w:val="0"/>
                <w:i w:val="0"/>
                <w:color w:val="404040"/>
                <w:sz w:val="20"/>
              </w:rPr>
              <w:t>4</w:t>
            </w:r>
          </w:p>
        </w:tc>
      </w:tr>
      <w:tr>
        <w:tc>
          <w:tcPr>
            <w:tcW w:type="dxa" w:w="3120"/>
            <w:shd w:val="clear" w:color="auto" w:fill="F5F6FA"/>
          </w:tcPr>
          <w:p/>
          <w:p>
            <w:pPr>
              <w:jc w:val="left"/>
            </w:pPr>
            <w:r>
              <w:rPr>
                <w:rFonts w:ascii="Calibri" w:hAnsi="Calibri"/>
                <w:b w:val="0"/>
                <w:i w:val="0"/>
                <w:color w:val="404040"/>
                <w:sz w:val="20"/>
              </w:rPr>
              <w:t>H12.7</w:t>
            </w:r>
          </w:p>
        </w:tc>
        <w:tc>
          <w:tcPr>
            <w:tcW w:type="dxa" w:w="3120"/>
            <w:shd w:val="clear" w:color="auto" w:fill="F5F6FA"/>
          </w:tcPr>
          <w:p/>
          <w:p>
            <w:pPr>
              <w:jc w:val="left"/>
            </w:pPr>
            <w:r>
              <w:rPr>
                <w:rFonts w:ascii="Calibri" w:hAnsi="Calibri"/>
                <w:b w:val="0"/>
                <w:i w:val="0"/>
                <w:color w:val="404040"/>
                <w:sz w:val="20"/>
              </w:rPr>
              <w:t>Collateral Management in Lending</w:t>
            </w:r>
          </w:p>
        </w:tc>
        <w:tc>
          <w:tcPr>
            <w:tcW w:type="dxa" w:w="3120"/>
            <w:shd w:val="clear" w:color="auto" w:fill="F5F6FA"/>
          </w:tcPr>
          <w:p/>
          <w:p>
            <w:pPr>
              <w:jc w:val="center"/>
            </w:pPr>
            <w:r>
              <w:rPr>
                <w:rFonts w:ascii="Calibri" w:hAnsi="Calibri"/>
                <w:b w:val="0"/>
                <w:i w:val="0"/>
                <w:color w:val="404040"/>
                <w:sz w:val="20"/>
              </w:rPr>
              <w:t>4</w:t>
            </w:r>
          </w:p>
        </w:tc>
      </w:tr>
      <w:tr>
        <w:tc>
          <w:tcPr>
            <w:tcW w:type="dxa" w:w="3120"/>
            <w:shd w:val="clear" w:color="auto" w:fill="FFFFFF"/>
          </w:tcPr>
          <w:p/>
          <w:p>
            <w:pPr>
              <w:jc w:val="left"/>
            </w:pPr>
            <w:r>
              <w:rPr>
                <w:rFonts w:ascii="Calibri" w:hAnsi="Calibri"/>
                <w:b w:val="0"/>
                <w:i w:val="0"/>
                <w:color w:val="404040"/>
                <w:sz w:val="20"/>
              </w:rPr>
              <w:t>H12.8</w:t>
            </w:r>
          </w:p>
        </w:tc>
        <w:tc>
          <w:tcPr>
            <w:tcW w:type="dxa" w:w="3120"/>
            <w:shd w:val="clear" w:color="auto" w:fill="FFFFFF"/>
          </w:tcPr>
          <w:p/>
          <w:p>
            <w:pPr>
              <w:jc w:val="left"/>
            </w:pPr>
            <w:r>
              <w:rPr>
                <w:rFonts w:ascii="Calibri" w:hAnsi="Calibri"/>
                <w:b w:val="0"/>
                <w:i w:val="0"/>
                <w:color w:val="404040"/>
                <w:sz w:val="20"/>
              </w:rPr>
              <w:t>Distressed Debt and Loan Workouts</w:t>
            </w:r>
          </w:p>
        </w:tc>
        <w:tc>
          <w:tcPr>
            <w:tcW w:type="dxa" w:w="3120"/>
            <w:shd w:val="clear" w:color="auto" w:fill="FFFFFF"/>
          </w:tcPr>
          <w:p/>
          <w:p>
            <w:pPr>
              <w:jc w:val="center"/>
            </w:pPr>
            <w:r>
              <w:rPr>
                <w:rFonts w:ascii="Calibri" w:hAnsi="Calibri"/>
                <w:b w:val="0"/>
                <w:i w:val="0"/>
                <w:color w:val="404040"/>
                <w:sz w:val="20"/>
              </w:rPr>
              <w:t>4</w:t>
            </w:r>
          </w:p>
        </w:tc>
      </w:tr>
      <w:tr>
        <w:tc>
          <w:tcPr>
            <w:tcW w:type="dxa" w:w="3120"/>
            <w:shd w:val="clear" w:color="auto" w:fill="F5F6FA"/>
          </w:tcPr>
          <w:p/>
          <w:p>
            <w:pPr>
              <w:jc w:val="left"/>
            </w:pPr>
            <w:r>
              <w:rPr>
                <w:rFonts w:ascii="Calibri" w:hAnsi="Calibri"/>
                <w:b w:val="0"/>
                <w:i w:val="0"/>
                <w:color w:val="404040"/>
                <w:sz w:val="20"/>
              </w:rPr>
              <w:t>H12.9</w:t>
            </w:r>
          </w:p>
        </w:tc>
        <w:tc>
          <w:tcPr>
            <w:tcW w:type="dxa" w:w="3120"/>
            <w:shd w:val="clear" w:color="auto" w:fill="F5F6FA"/>
          </w:tcPr>
          <w:p/>
          <w:p>
            <w:pPr>
              <w:jc w:val="left"/>
            </w:pPr>
            <w:r>
              <w:rPr>
                <w:rFonts w:ascii="Calibri" w:hAnsi="Calibri"/>
                <w:b w:val="0"/>
                <w:i w:val="0"/>
                <w:color w:val="404040"/>
                <w:sz w:val="20"/>
              </w:rPr>
              <w:t>Regulatory Framework for Lending</w:t>
            </w:r>
          </w:p>
        </w:tc>
        <w:tc>
          <w:tcPr>
            <w:tcW w:type="dxa" w:w="3120"/>
            <w:shd w:val="clear" w:color="auto" w:fill="F5F6FA"/>
          </w:tcPr>
          <w:p/>
          <w:p>
            <w:pPr>
              <w:jc w:val="center"/>
            </w:pPr>
            <w:r>
              <w:rPr>
                <w:rFonts w:ascii="Calibri" w:hAnsi="Calibri"/>
                <w:b w:val="0"/>
                <w:i w:val="0"/>
                <w:color w:val="404040"/>
                <w:sz w:val="20"/>
              </w:rPr>
              <w:t>4</w:t>
            </w:r>
          </w:p>
        </w:tc>
      </w:tr>
      <w:tr>
        <w:tc>
          <w:tcPr>
            <w:tcW w:type="dxa" w:w="3120"/>
            <w:shd w:val="clear" w:color="auto" w:fill="FFFFFF"/>
          </w:tcPr>
          <w:p/>
          <w:p>
            <w:pPr>
              <w:jc w:val="left"/>
            </w:pPr>
            <w:r>
              <w:rPr>
                <w:rFonts w:ascii="Calibri" w:hAnsi="Calibri"/>
                <w:b w:val="0"/>
                <w:i w:val="0"/>
                <w:color w:val="404040"/>
                <w:sz w:val="20"/>
              </w:rPr>
              <w:t>H12.10</w:t>
            </w:r>
          </w:p>
        </w:tc>
        <w:tc>
          <w:tcPr>
            <w:tcW w:type="dxa" w:w="3120"/>
            <w:shd w:val="clear" w:color="auto" w:fill="FFFFFF"/>
          </w:tcPr>
          <w:p/>
          <w:p>
            <w:pPr>
              <w:jc w:val="left"/>
            </w:pPr>
            <w:r>
              <w:rPr>
                <w:rFonts w:ascii="Calibri" w:hAnsi="Calibri"/>
                <w:b w:val="0"/>
                <w:i w:val="0"/>
                <w:color w:val="404040"/>
                <w:sz w:val="20"/>
              </w:rPr>
              <w:t>Technology in Lending Operations</w:t>
            </w:r>
          </w:p>
        </w:tc>
        <w:tc>
          <w:tcPr>
            <w:tcW w:type="dxa" w:w="3120"/>
            <w:shd w:val="clear" w:color="auto" w:fill="FFFFFF"/>
          </w:tcPr>
          <w:p/>
          <w:p>
            <w:pPr>
              <w:jc w:val="center"/>
            </w:pPr>
            <w:r>
              <w:rPr>
                <w:rFonts w:ascii="Calibri" w:hAnsi="Calibri"/>
                <w:b w:val="0"/>
                <w:i w:val="0"/>
                <w:color w:val="404040"/>
                <w:sz w:val="20"/>
              </w:rPr>
              <w:t>4</w:t>
            </w:r>
          </w:p>
        </w:tc>
      </w:tr>
      <w:tr>
        <w:tc>
          <w:tcPr>
            <w:tcW w:type="dxa" w:w="3120"/>
            <w:shd w:val="clear" w:color="auto" w:fill="007A87"/>
          </w:tcPr>
          <w:p/>
        </w:tc>
        <w:tc>
          <w:tcPr>
            <w:tcW w:type="dxa" w:w="3120"/>
            <w:shd w:val="clear" w:color="auto" w:fill="007A87"/>
          </w:tcPr>
          <w:p/>
          <w:p>
            <w:pPr>
              <w:jc w:val="right"/>
            </w:pPr>
            <w:r>
              <w:rPr>
                <w:rFonts w:ascii="Calibri" w:hAnsi="Calibri"/>
                <w:b/>
                <w:i w:val="0"/>
                <w:color w:val="FFFFFF"/>
                <w:sz w:val="20"/>
              </w:rPr>
              <w:t>Total</w:t>
            </w:r>
          </w:p>
        </w:tc>
        <w:tc>
          <w:tcPr>
            <w:tcW w:type="dxa" w:w="3120"/>
            <w:shd w:val="clear" w:color="auto" w:fill="007A87"/>
          </w:tcPr>
          <w:p/>
          <w:p>
            <w:pPr>
              <w:jc w:val="center"/>
            </w:pPr>
            <w:r>
              <w:rPr>
                <w:rFonts w:ascii="Calibri" w:hAnsi="Calibri"/>
                <w:b/>
                <w:i w:val="0"/>
                <w:color w:val="FFFFFF"/>
                <w:sz w:val="20"/>
              </w:rPr>
              <w:t>40</w:t>
            </w:r>
          </w:p>
        </w:tc>
      </w:tr>
    </w:tbl>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