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01C4F"/>
          </w:tcPr>
          <w:p/>
          <w:p>
            <w:pPr>
              <w:jc w:val="center"/>
            </w:pPr>
            <w:r>
              <w:rPr>
                <w:rFonts w:ascii="Calibri" w:hAnsi="Calibri"/>
                <w:b w:val="0"/>
                <w:i w:val="0"/>
                <w:color w:val="F0A800"/>
                <w:sz w:val="26"/>
              </w:rPr>
              <w:t>CIBOP</w:t>
            </w:r>
          </w:p>
          <w:p>
            <w:pPr>
              <w:jc w:val="center"/>
            </w:pPr>
            <w:r>
              <w:rPr>
                <w:rFonts w:ascii="Calibri" w:hAnsi="Calibri"/>
                <w:b w:val="0"/>
                <w:i w:val="0"/>
                <w:color w:val="FFFFFF"/>
                <w:sz w:val="22"/>
              </w:rPr>
              <w:t>Certificate in Investment Banking Operations Programme</w:t>
            </w:r>
          </w:p>
          <w:p>
            <w:pPr>
              <w:jc w:val="center"/>
            </w:pPr>
            <w:r>
              <w:rPr>
                <w:rFonts w:ascii="Calibri" w:hAnsi="Calibri"/>
                <w:b w:val="0"/>
                <w:i w:val="0"/>
                <w:color w:val="FFFFFF"/>
                <w:sz w:val="16"/>
              </w:rPr>
            </w:r>
          </w:p>
          <w:p>
            <w:pPr>
              <w:jc w:val="center"/>
            </w:pPr>
            <w:r>
              <w:rPr>
                <w:rFonts w:ascii="Calibri" w:hAnsi="Calibri"/>
                <w:b/>
                <w:i w:val="0"/>
                <w:color w:val="FFFFFF"/>
                <w:sz w:val="40"/>
              </w:rPr>
              <w:t>MODULE H12</w:t>
            </w:r>
          </w:p>
          <w:p>
            <w:pPr>
              <w:jc w:val="center"/>
            </w:pPr>
            <w:r>
              <w:rPr>
                <w:rFonts w:ascii="Calibri" w:hAnsi="Calibri"/>
                <w:b/>
                <w:i w:val="0"/>
                <w:color w:val="F0A800"/>
                <w:sz w:val="32"/>
              </w:rPr>
              <w:t>Lending Operations</w:t>
            </w:r>
          </w:p>
          <w:p>
            <w:pPr>
              <w:jc w:val="center"/>
            </w:pPr>
            <w:r>
              <w:rPr>
                <w:rFonts w:ascii="Calibri" w:hAnsi="Calibri"/>
                <w:b w:val="0"/>
                <w:i w:val="0"/>
                <w:color w:val="FFFFFF"/>
                <w:sz w:val="16"/>
              </w:rPr>
            </w:r>
          </w:p>
          <w:p>
            <w:pPr>
              <w:jc w:val="center"/>
            </w:pPr>
            <w:r>
              <w:rPr>
                <w:rFonts w:ascii="Calibri" w:hAnsi="Calibri"/>
                <w:b/>
                <w:i w:val="0"/>
                <w:color w:val="FFFFFF"/>
                <w:sz w:val="26"/>
              </w:rPr>
              <w:t>VIDEO PRODUCTION SCRIPT</w:t>
            </w:r>
          </w:p>
          <w:p>
            <w:pPr>
              <w:jc w:val="center"/>
            </w:pPr>
            <w:r>
              <w:rPr>
                <w:rFonts w:ascii="Calibri" w:hAnsi="Calibri"/>
                <w:b w:val="0"/>
                <w:i w:val="0"/>
                <w:color w:val="F5F6FA"/>
                <w:sz w:val="20"/>
              </w:rPr>
              <w:t>10 UORs  ·  3 Videos per UOR  ·  6 Scenes per Video</w:t>
            </w:r>
          </w:p>
        </w:tc>
      </w:tr>
    </w:tbl>
    <w:p/>
    <w:tbl>
      <w:tblPr>
        <w:tblStyle w:val="TableGrid"/>
        <w:tblW w:type="auto" w:w="0"/>
        <w:tblLook w:firstColumn="1" w:firstRow="1" w:lastColumn="0" w:lastRow="0" w:noHBand="0" w:noVBand="1" w:val="04A0"/>
      </w:tblPr>
      <w:tblGrid>
        <w:gridCol w:w="9360"/>
      </w:tblGrid>
      <w:tr>
        <w:tc>
          <w:tcPr>
            <w:tcW w:type="dxa" w:w="9360"/>
            <w:shd w:val="clear" w:color="auto" w:fill="101C4F"/>
          </w:tcPr>
          <w:p/>
          <w:p>
            <w:pPr>
              <w:jc w:val="center"/>
            </w:pPr>
            <w:r>
              <w:rPr>
                <w:rFonts w:ascii="Calibri" w:hAnsi="Calibri"/>
                <w:b/>
                <w:i w:val="0"/>
                <w:color w:val="F0A800"/>
                <w:sz w:val="28"/>
              </w:rPr>
              <w:t>H12.1  ·  Introduction to Lending Operations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1 of 3</w:t>
            </w:r>
          </w:p>
        </w:tc>
        <w:tc>
          <w:tcPr>
            <w:tcW w:type="dxa" w:w="4680"/>
            <w:shd w:val="clear" w:color="auto" w:fill="007A87"/>
          </w:tcPr>
          <w:p/>
          <w:p>
            <w:pPr>
              <w:jc w:val="right"/>
            </w:pPr>
            <w:r>
              <w:rPr>
                <w:rFonts w:ascii="Calibri" w:hAnsi="Calibri"/>
                <w:b/>
                <w:i w:val="0"/>
                <w:color w:val="FFFFFF"/>
                <w:sz w:val="22"/>
              </w:rPr>
              <w:t>H12.1  |  The Role of Lending in Financial Markets</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Animated world map with capital flows between banks and borrowers</w:t>
            </w:r>
          </w:p>
        </w:tc>
        <w:tc>
          <w:tcPr>
            <w:tcW w:type="dxa" w:w="2340"/>
            <w:shd w:val="clear" w:color="auto" w:fill="F5F6FA"/>
          </w:tcPr>
          <w:p/>
          <w:p>
            <w:pPr>
              <w:jc w:val="left"/>
            </w:pPr>
            <w:r>
              <w:rPr>
                <w:rFonts w:ascii="Calibri" w:hAnsi="Calibri"/>
                <w:b w:val="0"/>
                <w:i w:val="0"/>
                <w:color w:val="404040"/>
                <w:sz w:val="19"/>
              </w:rPr>
              <w:t>Lending is one of the most fundamental activities in financial markets — it transfers capital from those who have it to those who need it, powering economic growth.</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Split screen: corporate office (borrower) vs. bank headquarters (lender)</w:t>
            </w:r>
          </w:p>
        </w:tc>
        <w:tc>
          <w:tcPr>
            <w:tcW w:type="dxa" w:w="2340"/>
            <w:shd w:val="clear" w:color="auto" w:fill="FFFFFF"/>
          </w:tcPr>
          <w:p/>
          <w:p>
            <w:pPr>
              <w:jc w:val="left"/>
            </w:pPr>
            <w:r>
              <w:rPr>
                <w:rFonts w:ascii="Calibri" w:hAnsi="Calibri"/>
                <w:b w:val="0"/>
                <w:i w:val="0"/>
                <w:color w:val="404040"/>
                <w:sz w:val="19"/>
              </w:rPr>
              <w:t>Banks and financial institutions act as intermediaries: they take deposits and raise funds in capital markets, then deploy that capital as loans to corporates, governments, and consumers.</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Timeline: bilateral loan → syndicated market → leveraged finance → structured credit</w:t>
            </w:r>
          </w:p>
        </w:tc>
        <w:tc>
          <w:tcPr>
            <w:tcW w:type="dxa" w:w="2340"/>
            <w:shd w:val="clear" w:color="auto" w:fill="F5F6FA"/>
          </w:tcPr>
          <w:p/>
          <w:p>
            <w:pPr>
              <w:jc w:val="left"/>
            </w:pPr>
            <w:r>
              <w:rPr>
                <w:rFonts w:ascii="Calibri" w:hAnsi="Calibri"/>
                <w:b w:val="0"/>
                <w:i w:val="0"/>
                <w:color w:val="404040"/>
                <w:sz w:val="19"/>
              </w:rPr>
              <w:t>Over time lending has evolved from simple bilateral agreements between a bank and a borrower into complex multi-party syndications, leveraged buyout facilities, and structured credit products.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Infographic: share of GDP funded by bank lending vs. capital markets by region</w:t>
            </w:r>
          </w:p>
        </w:tc>
        <w:tc>
          <w:tcPr>
            <w:tcW w:type="dxa" w:w="2340"/>
            <w:shd w:val="clear" w:color="auto" w:fill="FFFFFF"/>
          </w:tcPr>
          <w:p/>
          <w:p>
            <w:pPr>
              <w:jc w:val="left"/>
            </w:pPr>
            <w:r>
              <w:rPr>
                <w:rFonts w:ascii="Calibri" w:hAnsi="Calibri"/>
                <w:b w:val="0"/>
                <w:i w:val="0"/>
                <w:color w:val="404040"/>
                <w:sz w:val="19"/>
              </w:rPr>
              <w:t>In bank-centric economies like Europe, bank lending remains the dominant source of corporate funding. In the US, capital markets play a larger role alongside bank loans.</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Bullet list: key participants in lending markets</w:t>
            </w:r>
          </w:p>
        </w:tc>
        <w:tc>
          <w:tcPr>
            <w:tcW w:type="dxa" w:w="2340"/>
            <w:shd w:val="clear" w:color="auto" w:fill="F5F6FA"/>
          </w:tcPr>
          <w:p/>
          <w:p>
            <w:pPr>
              <w:jc w:val="left"/>
            </w:pPr>
            <w:r>
              <w:rPr>
                <w:rFonts w:ascii="Calibri" w:hAnsi="Calibri"/>
                <w:b w:val="0"/>
                <w:i w:val="0"/>
                <w:color w:val="404040"/>
                <w:sz w:val="19"/>
              </w:rPr>
              <w:t>The lending ecosystem involves multiple participants: originating banks, arranging banks, agent banks, institutional lenders (CLOs, insurance companies), rating agencies, and legal advisors.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slide: H12.1 learning objectives</w:t>
            </w:r>
          </w:p>
        </w:tc>
        <w:tc>
          <w:tcPr>
            <w:tcW w:type="dxa" w:w="2340"/>
            <w:shd w:val="clear" w:color="auto" w:fill="FFFFFF"/>
          </w:tcPr>
          <w:p/>
          <w:p>
            <w:pPr>
              <w:jc w:val="left"/>
            </w:pPr>
            <w:r>
              <w:rPr>
                <w:rFonts w:ascii="Calibri" w:hAnsi="Calibri"/>
                <w:b w:val="0"/>
                <w:i w:val="0"/>
                <w:color w:val="404040"/>
                <w:sz w:val="19"/>
              </w:rPr>
              <w:t>In this module we will explore the complete lifecycle of lending operations — from credit assessment and origination through to administration, distressed situations, and the technology underpinning modern loan operations.</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2 of 3</w:t>
            </w:r>
          </w:p>
        </w:tc>
        <w:tc>
          <w:tcPr>
            <w:tcW w:type="dxa" w:w="4680"/>
            <w:shd w:val="clear" w:color="auto" w:fill="007A87"/>
          </w:tcPr>
          <w:p/>
          <w:p>
            <w:pPr>
              <w:jc w:val="right"/>
            </w:pPr>
            <w:r>
              <w:rPr>
                <w:rFonts w:ascii="Calibri" w:hAnsi="Calibri"/>
                <w:b/>
                <w:i w:val="0"/>
                <w:color w:val="FFFFFF"/>
                <w:sz w:val="22"/>
              </w:rPr>
              <w:t>H12.1  |  Types of Borrowers and Credit Products</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Borrower segmentation chart: sovereign, corporate, financial institution, retail</w:t>
            </w:r>
          </w:p>
        </w:tc>
        <w:tc>
          <w:tcPr>
            <w:tcW w:type="dxa" w:w="2340"/>
            <w:shd w:val="clear" w:color="auto" w:fill="F5F6FA"/>
          </w:tcPr>
          <w:p/>
          <w:p>
            <w:pPr>
              <w:jc w:val="left"/>
            </w:pPr>
            <w:r>
              <w:rPr>
                <w:rFonts w:ascii="Calibri" w:hAnsi="Calibri"/>
                <w:b w:val="0"/>
                <w:i w:val="0"/>
                <w:color w:val="404040"/>
                <w:sz w:val="19"/>
              </w:rPr>
              <w:t>Lenders extend credit to a wide range of borrowers — sovereign governments funding budget deficits, corporations financing growth or acquisitions, financial institutions managing liquidity, and retail customers purchasing homes or cars.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Corporate borrower hierarchy: investment grade vs. sub-investment grade (high yield)</w:t>
            </w:r>
          </w:p>
        </w:tc>
        <w:tc>
          <w:tcPr>
            <w:tcW w:type="dxa" w:w="2340"/>
            <w:shd w:val="clear" w:color="auto" w:fill="FFFFFF"/>
          </w:tcPr>
          <w:p/>
          <w:p>
            <w:pPr>
              <w:jc w:val="left"/>
            </w:pPr>
            <w:r>
              <w:rPr>
                <w:rFonts w:ascii="Calibri" w:hAnsi="Calibri"/>
                <w:b w:val="0"/>
                <w:i w:val="0"/>
                <w:color w:val="404040"/>
                <w:sz w:val="19"/>
              </w:rPr>
              <w:t>Corporate borrowers are classified by credit quality. Investment grade borrowers (rated BBB- / Baa3 and above) access the market at lower spreads; sub-investment grade borrowers pay higher margins to compensate lenders for greater credit risk.</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Product spectrum: revolving credit → term loan → bridge → TLA → TLB</w:t>
            </w:r>
          </w:p>
        </w:tc>
        <w:tc>
          <w:tcPr>
            <w:tcW w:type="dxa" w:w="2340"/>
            <w:shd w:val="clear" w:color="auto" w:fill="F5F6FA"/>
          </w:tcPr>
          <w:p/>
          <w:p>
            <w:pPr>
              <w:jc w:val="left"/>
            </w:pPr>
            <w:r>
              <w:rPr>
                <w:rFonts w:ascii="Calibri" w:hAnsi="Calibri"/>
                <w:b w:val="0"/>
                <w:i w:val="0"/>
                <w:color w:val="404040"/>
                <w:sz w:val="19"/>
              </w:rPr>
              <w:t>Credit products range from revolving credit facilities providing flexible working capital access, to term loans with defined amortisation schedules, and bridge financing that provides temporary funding pending a permanent refinancing.</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Table: key differences — investment grade vs. leveraged lending</w:t>
            </w:r>
          </w:p>
        </w:tc>
        <w:tc>
          <w:tcPr>
            <w:tcW w:type="dxa" w:w="2340"/>
            <w:shd w:val="clear" w:color="auto" w:fill="FFFFFF"/>
          </w:tcPr>
          <w:p/>
          <w:p>
            <w:pPr>
              <w:jc w:val="left"/>
            </w:pPr>
            <w:r>
              <w:rPr>
                <w:rFonts w:ascii="Calibri" w:hAnsi="Calibri"/>
                <w:b w:val="0"/>
                <w:i w:val="0"/>
                <w:color w:val="404040"/>
                <w:sz w:val="19"/>
              </w:rPr>
              <w:t>Investment grade loans tend to be unsecured, covenant-lite, and relationship-driven. Leveraged loans are secured, carry financial covenants, and are frequently distributed to institutional investors via the syndication market.</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Diagram: loan vs. bond — key structural differences</w:t>
            </w:r>
          </w:p>
        </w:tc>
        <w:tc>
          <w:tcPr>
            <w:tcW w:type="dxa" w:w="2340"/>
            <w:shd w:val="clear" w:color="auto" w:fill="F5F6FA"/>
          </w:tcPr>
          <w:p/>
          <w:p>
            <w:pPr>
              <w:jc w:val="left"/>
            </w:pPr>
            <w:r>
              <w:rPr>
                <w:rFonts w:ascii="Calibri" w:hAnsi="Calibri"/>
                <w:b w:val="0"/>
                <w:i w:val="0"/>
                <w:color w:val="404040"/>
                <w:sz w:val="19"/>
              </w:rPr>
              <w:t>Loans and bonds serve similar funding purposes but differ structurally: loans are typically bilateral or syndicated private instruments, while bonds are publicly issued securities. Loans are generally prepayable; bonds are not always.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why product knowledge matters for operations teams</w:t>
            </w:r>
          </w:p>
        </w:tc>
        <w:tc>
          <w:tcPr>
            <w:tcW w:type="dxa" w:w="2340"/>
            <w:shd w:val="clear" w:color="auto" w:fill="FFFFFF"/>
          </w:tcPr>
          <w:p/>
          <w:p>
            <w:pPr>
              <w:jc w:val="left"/>
            </w:pPr>
            <w:r>
              <w:rPr>
                <w:rFonts w:ascii="Calibri" w:hAnsi="Calibri"/>
                <w:b w:val="0"/>
                <w:i w:val="0"/>
                <w:color w:val="404040"/>
                <w:sz w:val="19"/>
              </w:rPr>
              <w:t>Operations teams must understand the product landscape because each loan type has different settlement timings, administrative requirements, payment mechanics, and regulatory treatment.</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3 of 3</w:t>
            </w:r>
          </w:p>
        </w:tc>
        <w:tc>
          <w:tcPr>
            <w:tcW w:type="dxa" w:w="4680"/>
            <w:shd w:val="clear" w:color="auto" w:fill="007A87"/>
          </w:tcPr>
          <w:p/>
          <w:p>
            <w:pPr>
              <w:jc w:val="right"/>
            </w:pPr>
            <w:r>
              <w:rPr>
                <w:rFonts w:ascii="Calibri" w:hAnsi="Calibri"/>
                <w:b/>
                <w:i w:val="0"/>
                <w:color w:val="FFFFFF"/>
                <w:sz w:val="22"/>
              </w:rPr>
              <w:t>H12.1  |  The Lending Operations Function</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Org chart: front office (origination) → middle office (credit, structuring) → back office (loan ops)</w:t>
            </w:r>
          </w:p>
        </w:tc>
        <w:tc>
          <w:tcPr>
            <w:tcW w:type="dxa" w:w="2340"/>
            <w:shd w:val="clear" w:color="auto" w:fill="F5F6FA"/>
          </w:tcPr>
          <w:p/>
          <w:p>
            <w:pPr>
              <w:jc w:val="left"/>
            </w:pPr>
            <w:r>
              <w:rPr>
                <w:rFonts w:ascii="Calibri" w:hAnsi="Calibri"/>
                <w:b w:val="0"/>
                <w:i w:val="0"/>
                <w:color w:val="404040"/>
                <w:sz w:val="19"/>
              </w:rPr>
              <w:t>Lending operations sits at the intersection of the front, middle, and back office. Understanding how each function contributes to the loan lifecycle helps operations professionals contextualise their role.</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Loan lifecycle graphic: originate → underwrite → document → close → administer → repay</w:t>
            </w:r>
          </w:p>
        </w:tc>
        <w:tc>
          <w:tcPr>
            <w:tcW w:type="dxa" w:w="2340"/>
            <w:shd w:val="clear" w:color="auto" w:fill="FFFFFF"/>
          </w:tcPr>
          <w:p/>
          <w:p>
            <w:pPr>
              <w:jc w:val="left"/>
            </w:pPr>
            <w:r>
              <w:rPr>
                <w:rFonts w:ascii="Calibri" w:hAnsi="Calibri"/>
                <w:b w:val="0"/>
                <w:i w:val="0"/>
                <w:color w:val="404040"/>
                <w:sz w:val="19"/>
              </w:rPr>
              <w:t>A loan follows a clear lifecycle: the bank originates and underwrites the credit, lawyers draft documentation, the loan closes and funds, operations then administer the facility through to final repayment.</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Key responsibilities of a loan operations team — animated list</w:t>
            </w:r>
          </w:p>
        </w:tc>
        <w:tc>
          <w:tcPr>
            <w:tcW w:type="dxa" w:w="2340"/>
            <w:shd w:val="clear" w:color="auto" w:fill="F5F6FA"/>
          </w:tcPr>
          <w:p/>
          <w:p>
            <w:pPr>
              <w:jc w:val="left"/>
            </w:pPr>
            <w:r>
              <w:rPr>
                <w:rFonts w:ascii="Calibri" w:hAnsi="Calibri"/>
                <w:b w:val="0"/>
                <w:i w:val="0"/>
                <w:color w:val="404040"/>
                <w:sz w:val="19"/>
              </w:rPr>
              <w:t>Core responsibilities include: funding and settlement of drawdowns, processing interest payments and fee invoices, maintaining agent bank records, processing consent requests, monitoring covenants, and reporting to participants.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Interaction map: loan ops touching legal, credit, risk, finance, custody, and compliance</w:t>
            </w:r>
          </w:p>
        </w:tc>
        <w:tc>
          <w:tcPr>
            <w:tcW w:type="dxa" w:w="2340"/>
            <w:shd w:val="clear" w:color="auto" w:fill="FFFFFF"/>
          </w:tcPr>
          <w:p/>
          <w:p>
            <w:pPr>
              <w:jc w:val="left"/>
            </w:pPr>
            <w:r>
              <w:rPr>
                <w:rFonts w:ascii="Calibri" w:hAnsi="Calibri"/>
                <w:b w:val="0"/>
                <w:i w:val="0"/>
                <w:color w:val="404040"/>
                <w:sz w:val="19"/>
              </w:rPr>
              <w:t>Loan operations teams are deeply interconnected. They interact daily with legal (documentation), credit (covenant monitoring), risk (exposure reporting), treasury (cash management), and compliance (KYC/AML obligations).</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Regulatory spotlight: why lending operations matters — Basel III, IFRS 9, leverage ratio</w:t>
            </w:r>
          </w:p>
        </w:tc>
        <w:tc>
          <w:tcPr>
            <w:tcW w:type="dxa" w:w="2340"/>
            <w:shd w:val="clear" w:color="auto" w:fill="F5F6FA"/>
          </w:tcPr>
          <w:p/>
          <w:p>
            <w:pPr>
              <w:jc w:val="left"/>
            </w:pPr>
            <w:r>
              <w:rPr>
                <w:rFonts w:ascii="Calibri" w:hAnsi="Calibri"/>
                <w:b w:val="0"/>
                <w:i w:val="0"/>
                <w:color w:val="404040"/>
                <w:sz w:val="19"/>
              </w:rPr>
              <w:t>Operational precision matters because loans feed directly into regulatory capital calculations under Basel III, provision modelling under IFRS 9, and the bank's leverage ratio — errors here have real financial and regulatory consequences.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and key takeaways for H12.1</w:t>
            </w:r>
          </w:p>
        </w:tc>
        <w:tc>
          <w:tcPr>
            <w:tcW w:type="dxa" w:w="2340"/>
            <w:shd w:val="clear" w:color="auto" w:fill="FFFFFF"/>
          </w:tcPr>
          <w:p/>
          <w:p>
            <w:pPr>
              <w:jc w:val="left"/>
            </w:pPr>
            <w:r>
              <w:rPr>
                <w:rFonts w:ascii="Calibri" w:hAnsi="Calibri"/>
                <w:b w:val="0"/>
                <w:i w:val="0"/>
                <w:color w:val="404040"/>
                <w:sz w:val="19"/>
              </w:rPr>
              <w:t>Lending operations is the backbone of a bank's credit delivery engine. A thorough understanding of borrower types, product structures, and the loan lifecycle sets the foundation for everything that follows in this module.</w:t>
            </w:r>
          </w:p>
        </w:tc>
        <w:tc>
          <w:tcPr>
            <w:tcW w:type="dxa" w:w="2340"/>
            <w:shd w:val="clear" w:color="auto" w:fill="FFFFFF"/>
          </w:tcPr>
          <w:p/>
          <w:p>
            <w:pPr>
              <w:jc w:val="center"/>
            </w:pPr>
            <w:r>
              <w:rPr>
                <w:rFonts w:ascii="Calibri" w:hAnsi="Calibri"/>
                <w:b w:val="0"/>
                <w:i w:val="0"/>
                <w:color w:val="404040"/>
                <w:sz w:val="19"/>
              </w:rPr>
              <w:t>30s</w:t>
            </w:r>
          </w:p>
        </w:tc>
      </w:tr>
    </w:tbl>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101C4F"/>
          </w:tcPr>
          <w:p/>
          <w:p>
            <w:pPr>
              <w:jc w:val="center"/>
            </w:pPr>
            <w:r>
              <w:rPr>
                <w:rFonts w:ascii="Calibri" w:hAnsi="Calibri"/>
                <w:b/>
                <w:i w:val="0"/>
                <w:color w:val="F0A800"/>
                <w:sz w:val="28"/>
              </w:rPr>
              <w:t>H12.2  ·  Types of Loans and Credit Facilities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1 of 3</w:t>
            </w:r>
          </w:p>
        </w:tc>
        <w:tc>
          <w:tcPr>
            <w:tcW w:type="dxa" w:w="4680"/>
            <w:shd w:val="clear" w:color="auto" w:fill="007A87"/>
          </w:tcPr>
          <w:p/>
          <w:p>
            <w:pPr>
              <w:jc w:val="right"/>
            </w:pPr>
            <w:r>
              <w:rPr>
                <w:rFonts w:ascii="Calibri" w:hAnsi="Calibri"/>
                <w:b/>
                <w:i w:val="0"/>
                <w:color w:val="FFFFFF"/>
                <w:sz w:val="22"/>
              </w:rPr>
              <w:t>H12.2  |  Revolving Credit Facilities</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Animated diagram: borrower drawing and repaying from a revolving facility</w:t>
            </w:r>
          </w:p>
        </w:tc>
        <w:tc>
          <w:tcPr>
            <w:tcW w:type="dxa" w:w="2340"/>
            <w:shd w:val="clear" w:color="auto" w:fill="F5F6FA"/>
          </w:tcPr>
          <w:p/>
          <w:p>
            <w:pPr>
              <w:jc w:val="left"/>
            </w:pPr>
            <w:r>
              <w:rPr>
                <w:rFonts w:ascii="Calibri" w:hAnsi="Calibri"/>
                <w:b w:val="0"/>
                <w:i w:val="0"/>
                <w:color w:val="404040"/>
                <w:sz w:val="19"/>
              </w:rPr>
              <w:t>A revolving credit facility (RCF) is the corporate equivalent of a credit card — the borrower can draw, repay, and redraw funds up to an agreed limit at any time during the availability period.</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Key terms: commitment, utilisation, availability, commitment fee</w:t>
            </w:r>
          </w:p>
        </w:tc>
        <w:tc>
          <w:tcPr>
            <w:tcW w:type="dxa" w:w="2340"/>
            <w:shd w:val="clear" w:color="auto" w:fill="FFFFFF"/>
          </w:tcPr>
          <w:p/>
          <w:p>
            <w:pPr>
              <w:jc w:val="left"/>
            </w:pPr>
            <w:r>
              <w:rPr>
                <w:rFonts w:ascii="Calibri" w:hAnsi="Calibri"/>
                <w:b w:val="0"/>
                <w:i w:val="0"/>
                <w:color w:val="404040"/>
                <w:sz w:val="19"/>
              </w:rPr>
              <w:t>Key concepts include the total commitment (maximum facility size), the drawn utilisation (amounts borrowed), the available headroom, and the commitment fee paid on the undrawn balance to compensate the lender for the standby funding obligation.</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Visual: utilisation curve over a 3-year RCF — seasonal draw patterns</w:t>
            </w:r>
          </w:p>
        </w:tc>
        <w:tc>
          <w:tcPr>
            <w:tcW w:type="dxa" w:w="2340"/>
            <w:shd w:val="clear" w:color="auto" w:fill="F5F6FA"/>
          </w:tcPr>
          <w:p/>
          <w:p>
            <w:pPr>
              <w:jc w:val="left"/>
            </w:pPr>
            <w:r>
              <w:rPr>
                <w:rFonts w:ascii="Calibri" w:hAnsi="Calibri"/>
                <w:b w:val="0"/>
                <w:i w:val="0"/>
                <w:color w:val="404040"/>
                <w:sz w:val="19"/>
              </w:rPr>
              <w:t>Corporate borrowers often exhibit seasonal utilisation patterns — drawing heavily before peak trading periods and repaying when cash generation improves. The RCF provides this flexible liquidity management capability.</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Table: RCF vs. overdraft vs. working capital line</w:t>
            </w:r>
          </w:p>
        </w:tc>
        <w:tc>
          <w:tcPr>
            <w:tcW w:type="dxa" w:w="2340"/>
            <w:shd w:val="clear" w:color="auto" w:fill="FFFFFF"/>
          </w:tcPr>
          <w:p/>
          <w:p>
            <w:pPr>
              <w:jc w:val="left"/>
            </w:pPr>
            <w:r>
              <w:rPr>
                <w:rFonts w:ascii="Calibri" w:hAnsi="Calibri"/>
                <w:b w:val="0"/>
                <w:i w:val="0"/>
                <w:color w:val="404040"/>
                <w:sz w:val="19"/>
              </w:rPr>
              <w:t>Compared to a simple bank overdraft, an RCF is a formal multi-bank committed facility with defined terms, pricing, and covenants. Working capital lines are similar but may be shorter-dated and asset-linked.</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Operations focus: drawdown notice, currency, interest period election</w:t>
            </w:r>
          </w:p>
        </w:tc>
        <w:tc>
          <w:tcPr>
            <w:tcW w:type="dxa" w:w="2340"/>
            <w:shd w:val="clear" w:color="auto" w:fill="F5F6FA"/>
          </w:tcPr>
          <w:p/>
          <w:p>
            <w:pPr>
              <w:jc w:val="left"/>
            </w:pPr>
            <w:r>
              <w:rPr>
                <w:rFonts w:ascii="Calibri" w:hAnsi="Calibri"/>
                <w:b w:val="0"/>
                <w:i w:val="0"/>
                <w:color w:val="404040"/>
                <w:sz w:val="19"/>
              </w:rPr>
              <w:t>Operationally, a drawdown under an RCF requires the borrower to submit a utilisation request specifying amount, currency, interest period, and value date — typically 3 business days ahead for multi-currency drawings.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RCF as the cornerstone of corporate liquidity management</w:t>
            </w:r>
          </w:p>
        </w:tc>
        <w:tc>
          <w:tcPr>
            <w:tcW w:type="dxa" w:w="2340"/>
            <w:shd w:val="clear" w:color="auto" w:fill="FFFFFF"/>
          </w:tcPr>
          <w:p/>
          <w:p>
            <w:pPr>
              <w:jc w:val="left"/>
            </w:pPr>
            <w:r>
              <w:rPr>
                <w:rFonts w:ascii="Calibri" w:hAnsi="Calibri"/>
                <w:b w:val="0"/>
                <w:i w:val="0"/>
                <w:color w:val="404040"/>
                <w:sz w:val="19"/>
              </w:rPr>
              <w:t>The revolving credit facility is the most common investment grade corporate lending product. Operations teams administer dozens of RCF drawdowns, rollovers, and repayments each day across multiple currencies and borrowers.</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2 of 3</w:t>
            </w:r>
          </w:p>
        </w:tc>
        <w:tc>
          <w:tcPr>
            <w:tcW w:type="dxa" w:w="4680"/>
            <w:shd w:val="clear" w:color="auto" w:fill="007A87"/>
          </w:tcPr>
          <w:p/>
          <w:p>
            <w:pPr>
              <w:jc w:val="right"/>
            </w:pPr>
            <w:r>
              <w:rPr>
                <w:rFonts w:ascii="Calibri" w:hAnsi="Calibri"/>
                <w:b/>
                <w:i w:val="0"/>
                <w:color w:val="FFFFFF"/>
                <w:sz w:val="22"/>
              </w:rPr>
              <w:t>H12.2  |  Term Loans: TLA, TLB, and Amortising Structures</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Timeline: term loan disbursement → scheduled amortisation → bullet repayment</w:t>
            </w:r>
          </w:p>
        </w:tc>
        <w:tc>
          <w:tcPr>
            <w:tcW w:type="dxa" w:w="2340"/>
            <w:shd w:val="clear" w:color="auto" w:fill="F5F6FA"/>
          </w:tcPr>
          <w:p/>
          <w:p>
            <w:pPr>
              <w:jc w:val="left"/>
            </w:pPr>
            <w:r>
              <w:rPr>
                <w:rFonts w:ascii="Calibri" w:hAnsi="Calibri"/>
                <w:b w:val="0"/>
                <w:i w:val="0"/>
                <w:color w:val="404040"/>
                <w:sz w:val="19"/>
              </w:rPr>
              <w:t>A term loan provides a fixed amount of credit to a borrower for a defined period. Unlike an RCF, drawn funds generally cannot be redrawn once repaid — the facility reduces as scheduled payments are made.</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Comparison: Term Loan A (bank/amortising) vs. Term Loan B (institutional/bullet)</w:t>
            </w:r>
          </w:p>
        </w:tc>
        <w:tc>
          <w:tcPr>
            <w:tcW w:type="dxa" w:w="2340"/>
            <w:shd w:val="clear" w:color="auto" w:fill="FFFFFF"/>
          </w:tcPr>
          <w:p/>
          <w:p>
            <w:pPr>
              <w:jc w:val="left"/>
            </w:pPr>
            <w:r>
              <w:rPr>
                <w:rFonts w:ascii="Calibri" w:hAnsi="Calibri"/>
                <w:b w:val="0"/>
                <w:i w:val="0"/>
                <w:color w:val="404040"/>
                <w:sz w:val="19"/>
              </w:rPr>
              <w:t>Term Loan A is held primarily by banks, amortises regularly over the life of the loan, and carries lower margins. Term Loan B targets institutional investors (CLOs, hedge funds), amortises minimally (1% per year), and repays in a large bullet at maturity.</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Leveraged loan market: where TLBs are distributed — institutional investor base</w:t>
            </w:r>
          </w:p>
        </w:tc>
        <w:tc>
          <w:tcPr>
            <w:tcW w:type="dxa" w:w="2340"/>
            <w:shd w:val="clear" w:color="auto" w:fill="F5F6FA"/>
          </w:tcPr>
          <w:p/>
          <w:p>
            <w:pPr>
              <w:jc w:val="left"/>
            </w:pPr>
            <w:r>
              <w:rPr>
                <w:rFonts w:ascii="Calibri" w:hAnsi="Calibri"/>
                <w:b w:val="0"/>
                <w:i w:val="0"/>
                <w:color w:val="404040"/>
                <w:sz w:val="19"/>
              </w:rPr>
              <w:t>In the leveraged finance market, TLBs are syndicated to a broad institutional investor base. This creates a secondary market for loan participations and enables price discovery distinct from the bilateral relationship banking market.</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Amortisation schedule visual: TLA vs. TLB repayment profile</w:t>
            </w:r>
          </w:p>
        </w:tc>
        <w:tc>
          <w:tcPr>
            <w:tcW w:type="dxa" w:w="2340"/>
            <w:shd w:val="clear" w:color="auto" w:fill="FFFFFF"/>
          </w:tcPr>
          <w:p/>
          <w:p>
            <w:pPr>
              <w:jc w:val="left"/>
            </w:pPr>
            <w:r>
              <w:rPr>
                <w:rFonts w:ascii="Calibri" w:hAnsi="Calibri"/>
                <w:b w:val="0"/>
                <w:i w:val="0"/>
                <w:color w:val="404040"/>
                <w:sz w:val="19"/>
              </w:rPr>
              <w:t>A TLA's amortisation schedule requires regular quarterly or semi-annual repayments — reducing the outstanding balance steadily. A TLB has minimal scheduled amortisation and a large bullet repayment at maturity, maximising capital available to borrowers.</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Operations: maintaining amortisation schedules, tracking par balances, processing repayments</w:t>
            </w:r>
          </w:p>
        </w:tc>
        <w:tc>
          <w:tcPr>
            <w:tcW w:type="dxa" w:w="2340"/>
            <w:shd w:val="clear" w:color="auto" w:fill="F5F6FA"/>
          </w:tcPr>
          <w:p/>
          <w:p>
            <w:pPr>
              <w:jc w:val="left"/>
            </w:pPr>
            <w:r>
              <w:rPr>
                <w:rFonts w:ascii="Calibri" w:hAnsi="Calibri"/>
                <w:b w:val="0"/>
                <w:i w:val="0"/>
                <w:color w:val="404040"/>
                <w:sz w:val="19"/>
              </w:rPr>
              <w:t>Operations teams must maintain accurate amortisation schedules in their loan systems, track each lender's outstanding share of the loan, and process principal repayments to all syndicate members on the correct payment dates.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term loan structures and their operational implications</w:t>
            </w:r>
          </w:p>
        </w:tc>
        <w:tc>
          <w:tcPr>
            <w:tcW w:type="dxa" w:w="2340"/>
            <w:shd w:val="clear" w:color="auto" w:fill="FFFFFF"/>
          </w:tcPr>
          <w:p/>
          <w:p>
            <w:pPr>
              <w:jc w:val="left"/>
            </w:pPr>
            <w:r>
              <w:rPr>
                <w:rFonts w:ascii="Calibri" w:hAnsi="Calibri"/>
                <w:b w:val="0"/>
                <w:i w:val="0"/>
                <w:color w:val="404040"/>
                <w:sz w:val="19"/>
              </w:rPr>
              <w:t>Understanding TLA versus TLB structures is critical for operations professionals — each has different payment profiles, investor types, and secondary market characteristics that affect how the loan is administered.</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3 of 3</w:t>
            </w:r>
          </w:p>
        </w:tc>
        <w:tc>
          <w:tcPr>
            <w:tcW w:type="dxa" w:w="4680"/>
            <w:shd w:val="clear" w:color="auto" w:fill="007A87"/>
          </w:tcPr>
          <w:p/>
          <w:p>
            <w:pPr>
              <w:jc w:val="right"/>
            </w:pPr>
            <w:r>
              <w:rPr>
                <w:rFonts w:ascii="Calibri" w:hAnsi="Calibri"/>
                <w:b/>
                <w:i w:val="0"/>
                <w:color w:val="FFFFFF"/>
                <w:sz w:val="22"/>
              </w:rPr>
              <w:t>H12.2  |  Specialised Credit Products</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Acquisition finance overview: LBO structure diagram</w:t>
            </w:r>
          </w:p>
        </w:tc>
        <w:tc>
          <w:tcPr>
            <w:tcW w:type="dxa" w:w="2340"/>
            <w:shd w:val="clear" w:color="auto" w:fill="F5F6FA"/>
          </w:tcPr>
          <w:p/>
          <w:p>
            <w:pPr>
              <w:jc w:val="left"/>
            </w:pPr>
            <w:r>
              <w:rPr>
                <w:rFonts w:ascii="Calibri" w:hAnsi="Calibri"/>
                <w:b w:val="0"/>
                <w:i w:val="0"/>
                <w:color w:val="404040"/>
                <w:sz w:val="19"/>
              </w:rPr>
              <w:t>Acquisition finance supports the purchase of companies. In a leveraged buyout, a private equity sponsor uses a combination of equity and debt (senior secured, mezzanine, PIK) to finance the acquisition of a target company.</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Bridge loans: definition, purpose, typical tenor</w:t>
            </w:r>
          </w:p>
        </w:tc>
        <w:tc>
          <w:tcPr>
            <w:tcW w:type="dxa" w:w="2340"/>
            <w:shd w:val="clear" w:color="auto" w:fill="FFFFFF"/>
          </w:tcPr>
          <w:p/>
          <w:p>
            <w:pPr>
              <w:jc w:val="left"/>
            </w:pPr>
            <w:r>
              <w:rPr>
                <w:rFonts w:ascii="Calibri" w:hAnsi="Calibri"/>
                <w:b w:val="0"/>
                <w:i w:val="0"/>
                <w:color w:val="404040"/>
                <w:sz w:val="19"/>
              </w:rPr>
              <w:t>A bridge loan provides short-term funding (typically 6–18 months) that 'bridges' a borrower until permanent financing — a bond issuance, equity raise, or long-term bank facility — is put in place. Bridges carry higher pricing and mandatory prepayment provisions.</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Letter of credit (LC) and guarantee facilities — contingent credit</w:t>
            </w:r>
          </w:p>
        </w:tc>
        <w:tc>
          <w:tcPr>
            <w:tcW w:type="dxa" w:w="2340"/>
            <w:shd w:val="clear" w:color="auto" w:fill="F5F6FA"/>
          </w:tcPr>
          <w:p/>
          <w:p>
            <w:pPr>
              <w:jc w:val="left"/>
            </w:pPr>
            <w:r>
              <w:rPr>
                <w:rFonts w:ascii="Calibri" w:hAnsi="Calibri"/>
                <w:b w:val="0"/>
                <w:i w:val="0"/>
                <w:color w:val="404040"/>
                <w:sz w:val="19"/>
              </w:rPr>
              <w:t>Letters of credit and guarantee facilities are contingent credit products — the bank provides a commitment to pay a third party if the borrower fails to perform a contract. They consume credit capacity but may not result in cash drawdowns.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Asset-based lending (ABL): inventory and receivables financing</w:t>
            </w:r>
          </w:p>
        </w:tc>
        <w:tc>
          <w:tcPr>
            <w:tcW w:type="dxa" w:w="2340"/>
            <w:shd w:val="clear" w:color="auto" w:fill="FFFFFF"/>
          </w:tcPr>
          <w:p/>
          <w:p>
            <w:pPr>
              <w:jc w:val="left"/>
            </w:pPr>
            <w:r>
              <w:rPr>
                <w:rFonts w:ascii="Calibri" w:hAnsi="Calibri"/>
                <w:b w:val="0"/>
                <w:i w:val="0"/>
                <w:color w:val="404040"/>
                <w:sz w:val="19"/>
              </w:rPr>
              <w:t>Asset-based lending (ABL) structures borrowing capacity around the value of specific assets — receivables and inventory. The borrowing base is calculated regularly, and the facility limit rises and falls with eligible asset values.</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Mezzanine and unitranche: hybrid debt structures</w:t>
            </w:r>
          </w:p>
        </w:tc>
        <w:tc>
          <w:tcPr>
            <w:tcW w:type="dxa" w:w="2340"/>
            <w:shd w:val="clear" w:color="auto" w:fill="F5F6FA"/>
          </w:tcPr>
          <w:p/>
          <w:p>
            <w:pPr>
              <w:jc w:val="left"/>
            </w:pPr>
            <w:r>
              <w:rPr>
                <w:rFonts w:ascii="Calibri" w:hAnsi="Calibri"/>
                <w:b w:val="0"/>
                <w:i w:val="0"/>
                <w:color w:val="404040"/>
                <w:sz w:val="19"/>
              </w:rPr>
              <w:t>Mezzanine debt sits between senior secured debt and equity in the capital structure, offering lenders higher returns in exchange for subordination. Unitranche facilities combine senior and mezzanine into a single facility with a blended interest rate.</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specialised products and their operational characteristics</w:t>
            </w:r>
          </w:p>
        </w:tc>
        <w:tc>
          <w:tcPr>
            <w:tcW w:type="dxa" w:w="2340"/>
            <w:shd w:val="clear" w:color="auto" w:fill="FFFFFF"/>
          </w:tcPr>
          <w:p/>
          <w:p>
            <w:pPr>
              <w:jc w:val="left"/>
            </w:pPr>
            <w:r>
              <w:rPr>
                <w:rFonts w:ascii="Calibri" w:hAnsi="Calibri"/>
                <w:b w:val="0"/>
                <w:i w:val="0"/>
                <w:color w:val="404040"/>
                <w:sz w:val="19"/>
              </w:rPr>
              <w:t>Each specialised credit product has unique operational requirements — ABL requires regular borrowing base certificates, bridges have mandatory prepayment triggers, and contingent facilities need careful exposure tracking against the credit limit.</w:t>
            </w:r>
          </w:p>
        </w:tc>
        <w:tc>
          <w:tcPr>
            <w:tcW w:type="dxa" w:w="2340"/>
            <w:shd w:val="clear" w:color="auto" w:fill="FFFFFF"/>
          </w:tcPr>
          <w:p/>
          <w:p>
            <w:pPr>
              <w:jc w:val="center"/>
            </w:pPr>
            <w:r>
              <w:rPr>
                <w:rFonts w:ascii="Calibri" w:hAnsi="Calibri"/>
                <w:b w:val="0"/>
                <w:i w:val="0"/>
                <w:color w:val="404040"/>
                <w:sz w:val="19"/>
              </w:rPr>
              <w:t>30s</w:t>
            </w:r>
          </w:p>
        </w:tc>
      </w:tr>
    </w:tbl>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101C4F"/>
          </w:tcPr>
          <w:p/>
          <w:p>
            <w:pPr>
              <w:jc w:val="center"/>
            </w:pPr>
            <w:r>
              <w:rPr>
                <w:rFonts w:ascii="Calibri" w:hAnsi="Calibri"/>
                <w:b/>
                <w:i w:val="0"/>
                <w:color w:val="F0A800"/>
                <w:sz w:val="28"/>
              </w:rPr>
              <w:t>H12.3  ·  Loan Origination and Credit Assessment</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1 of 3</w:t>
            </w:r>
          </w:p>
        </w:tc>
        <w:tc>
          <w:tcPr>
            <w:tcW w:type="dxa" w:w="4680"/>
            <w:shd w:val="clear" w:color="auto" w:fill="007A87"/>
          </w:tcPr>
          <w:p/>
          <w:p>
            <w:pPr>
              <w:jc w:val="right"/>
            </w:pPr>
            <w:r>
              <w:rPr>
                <w:rFonts w:ascii="Calibri" w:hAnsi="Calibri"/>
                <w:b/>
                <w:i w:val="0"/>
                <w:color w:val="FFFFFF"/>
                <w:sz w:val="22"/>
              </w:rPr>
              <w:t>H12.3  |  The Loan Origination Process</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Flowchart: client request → mandate → credit application → credit committee → term sheet</w:t>
            </w:r>
          </w:p>
        </w:tc>
        <w:tc>
          <w:tcPr>
            <w:tcW w:type="dxa" w:w="2340"/>
            <w:shd w:val="clear" w:color="auto" w:fill="F5F6FA"/>
          </w:tcPr>
          <w:p/>
          <w:p>
            <w:pPr>
              <w:jc w:val="left"/>
            </w:pPr>
            <w:r>
              <w:rPr>
                <w:rFonts w:ascii="Calibri" w:hAnsi="Calibri"/>
                <w:b w:val="0"/>
                <w:i w:val="0"/>
                <w:color w:val="404040"/>
                <w:sz w:val="19"/>
              </w:rPr>
              <w:t>The origination process begins when a client approaches a bank (or the bank's relationship manager identifies an opportunity). The bank issues a mandate letter, prepares a credit application, and presents to the credit committee for approval.</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Relationship manager (RM) role: client interface and deal champion</w:t>
            </w:r>
          </w:p>
        </w:tc>
        <w:tc>
          <w:tcPr>
            <w:tcW w:type="dxa" w:w="2340"/>
            <w:shd w:val="clear" w:color="auto" w:fill="FFFFFF"/>
          </w:tcPr>
          <w:p/>
          <w:p>
            <w:pPr>
              <w:jc w:val="left"/>
            </w:pPr>
            <w:r>
              <w:rPr>
                <w:rFonts w:ascii="Calibri" w:hAnsi="Calibri"/>
                <w:b w:val="0"/>
                <w:i w:val="0"/>
                <w:color w:val="404040"/>
                <w:sz w:val="19"/>
              </w:rPr>
              <w:t>The relationship manager is the bridge between the client and the bank. They gather financial information, understand the borrower's needs, and champion the deal internally — coordinating across credit, legal, and operations teams.</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Credit application components: business description, use of proceeds, repayment source</w:t>
            </w:r>
          </w:p>
        </w:tc>
        <w:tc>
          <w:tcPr>
            <w:tcW w:type="dxa" w:w="2340"/>
            <w:shd w:val="clear" w:color="auto" w:fill="F5F6FA"/>
          </w:tcPr>
          <w:p/>
          <w:p>
            <w:pPr>
              <w:jc w:val="left"/>
            </w:pPr>
            <w:r>
              <w:rPr>
                <w:rFonts w:ascii="Calibri" w:hAnsi="Calibri"/>
                <w:b w:val="0"/>
                <w:i w:val="0"/>
                <w:color w:val="404040"/>
                <w:sz w:val="19"/>
              </w:rPr>
              <w:t>A credit application (also called a credit memo or credit paper) sets out the case for the loan — the borrower's business, the purpose of the facility, the source of repayment, and the proposed structure and pricing.</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Credit committee: composition, approval authority, delegated limits</w:t>
            </w:r>
          </w:p>
        </w:tc>
        <w:tc>
          <w:tcPr>
            <w:tcW w:type="dxa" w:w="2340"/>
            <w:shd w:val="clear" w:color="auto" w:fill="FFFFFF"/>
          </w:tcPr>
          <w:p/>
          <w:p>
            <w:pPr>
              <w:jc w:val="left"/>
            </w:pPr>
            <w:r>
              <w:rPr>
                <w:rFonts w:ascii="Calibri" w:hAnsi="Calibri"/>
                <w:b w:val="0"/>
                <w:i w:val="0"/>
                <w:color w:val="404040"/>
                <w:sz w:val="19"/>
              </w:rPr>
              <w:t>Large banks have tiered credit committees with delegated approval authority based on transaction size and risk. Senior credit committees approve large, complex, or borderline deals; smaller transactions may be approved at regional or business-line level.</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Term sheet: key commercial terms before full documentation</w:t>
            </w:r>
          </w:p>
        </w:tc>
        <w:tc>
          <w:tcPr>
            <w:tcW w:type="dxa" w:w="2340"/>
            <w:shd w:val="clear" w:color="auto" w:fill="F5F6FA"/>
          </w:tcPr>
          <w:p/>
          <w:p>
            <w:pPr>
              <w:jc w:val="left"/>
            </w:pPr>
            <w:r>
              <w:rPr>
                <w:rFonts w:ascii="Calibri" w:hAnsi="Calibri"/>
                <w:b w:val="0"/>
                <w:i w:val="0"/>
                <w:color w:val="404040"/>
                <w:sz w:val="19"/>
              </w:rPr>
              <w:t>The term sheet (or commitment letter) summarises the key commercial terms agreed between the bank and the borrower — facility type, amount, tenor, interest rate, fees, covenants, and conditions precedent to drawdown.</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Operations handoff: from origination to administration</w:t>
            </w:r>
          </w:p>
        </w:tc>
        <w:tc>
          <w:tcPr>
            <w:tcW w:type="dxa" w:w="2340"/>
            <w:shd w:val="clear" w:color="auto" w:fill="FFFFFF"/>
          </w:tcPr>
          <w:p/>
          <w:p>
            <w:pPr>
              <w:jc w:val="left"/>
            </w:pPr>
            <w:r>
              <w:rPr>
                <w:rFonts w:ascii="Calibri" w:hAnsi="Calibri"/>
                <w:b w:val="0"/>
                <w:i w:val="0"/>
                <w:color w:val="404040"/>
                <w:sz w:val="19"/>
              </w:rPr>
              <w:t>Once credit is approved and terms agreed, operations receives the deal package — the signed term sheet and documentation checklist — and begins the process of setting up the facility in the loan management system.</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2 of 3</w:t>
            </w:r>
          </w:p>
        </w:tc>
        <w:tc>
          <w:tcPr>
            <w:tcW w:type="dxa" w:w="4680"/>
            <w:shd w:val="clear" w:color="auto" w:fill="007A87"/>
          </w:tcPr>
          <w:p/>
          <w:p>
            <w:pPr>
              <w:jc w:val="right"/>
            </w:pPr>
            <w:r>
              <w:rPr>
                <w:rFonts w:ascii="Calibri" w:hAnsi="Calibri"/>
                <w:b/>
                <w:i w:val="0"/>
                <w:color w:val="FFFFFF"/>
                <w:sz w:val="22"/>
              </w:rPr>
              <w:t>H12.3  |  Credit Analysis and Financial Assessment</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The 5 Cs of Credit: Character, Capacity, Capital, Collateral, Conditions</w:t>
            </w:r>
          </w:p>
        </w:tc>
        <w:tc>
          <w:tcPr>
            <w:tcW w:type="dxa" w:w="2340"/>
            <w:shd w:val="clear" w:color="auto" w:fill="F5F6FA"/>
          </w:tcPr>
          <w:p/>
          <w:p>
            <w:pPr>
              <w:jc w:val="left"/>
            </w:pPr>
            <w:r>
              <w:rPr>
                <w:rFonts w:ascii="Calibri" w:hAnsi="Calibri"/>
                <w:b w:val="0"/>
                <w:i w:val="0"/>
                <w:color w:val="404040"/>
                <w:sz w:val="19"/>
              </w:rPr>
              <w:t>Credit analysts use the '5 Cs' framework to assess creditworthiness. Each dimension — character, capacity to repay, capital strength, collateral quality, and macro conditions — contributes to the overall credit judgement.</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Financial statement analysis: P&amp;L, balance sheet, cash flow — key ratios</w:t>
            </w:r>
          </w:p>
        </w:tc>
        <w:tc>
          <w:tcPr>
            <w:tcW w:type="dxa" w:w="2340"/>
            <w:shd w:val="clear" w:color="auto" w:fill="FFFFFF"/>
          </w:tcPr>
          <w:p/>
          <w:p>
            <w:pPr>
              <w:jc w:val="left"/>
            </w:pPr>
            <w:r>
              <w:rPr>
                <w:rFonts w:ascii="Calibri" w:hAnsi="Calibri"/>
                <w:b w:val="0"/>
                <w:i w:val="0"/>
                <w:color w:val="404040"/>
                <w:sz w:val="19"/>
              </w:rPr>
              <w:t>Quantitative credit analysis examines three to five years of financial statements, focusing on revenue stability, EBITDA generation, leverage (Net Debt / EBITDA), interest coverage (EBITDA / interest expense), and free cash flow conversion.</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Leverage ratio animation: Net Debt / EBITDA across industry sectors</w:t>
            </w:r>
          </w:p>
        </w:tc>
        <w:tc>
          <w:tcPr>
            <w:tcW w:type="dxa" w:w="2340"/>
            <w:shd w:val="clear" w:color="auto" w:fill="F5F6FA"/>
          </w:tcPr>
          <w:p/>
          <w:p>
            <w:pPr>
              <w:jc w:val="left"/>
            </w:pPr>
            <w:r>
              <w:rPr>
                <w:rFonts w:ascii="Calibri" w:hAnsi="Calibri"/>
                <w:b w:val="0"/>
                <w:i w:val="0"/>
                <w:color w:val="404040"/>
                <w:sz w:val="19"/>
              </w:rPr>
              <w:t>Leverage thresholds vary by sector. A 4.0x Net Debt/EBITDA ratio may be acceptable for a stable utility but concerning for a cyclical manufacturer. Credit analysts benchmark leverage against sector peers and through-cycle stress scenarios.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Qualitative factors: management quality, market position, industry dynamics</w:t>
            </w:r>
          </w:p>
        </w:tc>
        <w:tc>
          <w:tcPr>
            <w:tcW w:type="dxa" w:w="2340"/>
            <w:shd w:val="clear" w:color="auto" w:fill="FFFFFF"/>
          </w:tcPr>
          <w:p/>
          <w:p>
            <w:pPr>
              <w:jc w:val="left"/>
            </w:pPr>
            <w:r>
              <w:rPr>
                <w:rFonts w:ascii="Calibri" w:hAnsi="Calibri"/>
                <w:b w:val="0"/>
                <w:i w:val="0"/>
                <w:color w:val="404040"/>
                <w:sz w:val="19"/>
              </w:rPr>
              <w:t>Quantitative metrics are complemented by qualitative assessment: the quality and depth of the management team, the borrower's competitive moat, the industry's growth outlook, and exposure to regulatory or ESG risks.</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Credit scoring and internal rating: 1–10 scale mapping to external ratings</w:t>
            </w:r>
          </w:p>
        </w:tc>
        <w:tc>
          <w:tcPr>
            <w:tcW w:type="dxa" w:w="2340"/>
            <w:shd w:val="clear" w:color="auto" w:fill="F5F6FA"/>
          </w:tcPr>
          <w:p/>
          <w:p>
            <w:pPr>
              <w:jc w:val="left"/>
            </w:pPr>
            <w:r>
              <w:rPr>
                <w:rFonts w:ascii="Calibri" w:hAnsi="Calibri"/>
                <w:b w:val="0"/>
                <w:i w:val="0"/>
                <w:color w:val="404040"/>
                <w:sz w:val="19"/>
              </w:rPr>
              <w:t>Most banks use an internal credit rating system — typically a 1–10 or similar scale — that maps to external rating agency categories. The internal rating drives the risk weight, loss given default assumption, and pricing of the loan.</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IFRS 9 and expected credit loss: how credit assessment feeds provisioning</w:t>
            </w:r>
          </w:p>
        </w:tc>
        <w:tc>
          <w:tcPr>
            <w:tcW w:type="dxa" w:w="2340"/>
            <w:shd w:val="clear" w:color="auto" w:fill="FFFFFF"/>
          </w:tcPr>
          <w:p/>
          <w:p>
            <w:pPr>
              <w:jc w:val="left"/>
            </w:pPr>
            <w:r>
              <w:rPr>
                <w:rFonts w:ascii="Calibri" w:hAnsi="Calibri"/>
                <w:b w:val="0"/>
                <w:i w:val="0"/>
                <w:color w:val="404040"/>
                <w:sz w:val="19"/>
              </w:rPr>
              <w:t>Under IFRS 9, banks must model expected credit losses (ECL) from day one of the loan — incorporating probability of default, loss given default, and exposure at default. The credit assessment directly informs these ECL models.</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3 of 3</w:t>
            </w:r>
          </w:p>
        </w:tc>
        <w:tc>
          <w:tcPr>
            <w:tcW w:type="dxa" w:w="4680"/>
            <w:shd w:val="clear" w:color="auto" w:fill="007A87"/>
          </w:tcPr>
          <w:p/>
          <w:p>
            <w:pPr>
              <w:jc w:val="right"/>
            </w:pPr>
            <w:r>
              <w:rPr>
                <w:rFonts w:ascii="Calibri" w:hAnsi="Calibri"/>
                <w:b/>
                <w:i w:val="0"/>
                <w:color w:val="FFFFFF"/>
                <w:sz w:val="22"/>
              </w:rPr>
              <w:t>H12.3  |  Pricing, Structuring, and Risk-Adjusted Return</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Loan pricing components: base rate + credit spread + fees</w:t>
            </w:r>
          </w:p>
        </w:tc>
        <w:tc>
          <w:tcPr>
            <w:tcW w:type="dxa" w:w="2340"/>
            <w:shd w:val="clear" w:color="auto" w:fill="F5F6FA"/>
          </w:tcPr>
          <w:p/>
          <w:p>
            <w:pPr>
              <w:jc w:val="left"/>
            </w:pPr>
            <w:r>
              <w:rPr>
                <w:rFonts w:ascii="Calibri" w:hAnsi="Calibri"/>
                <w:b w:val="0"/>
                <w:i w:val="0"/>
                <w:color w:val="404040"/>
                <w:sz w:val="19"/>
              </w:rPr>
              <w:t>Loan pricing has three components: the base rate (SOFR, SONIA, EURIBOR), the credit spread (margin) reflecting the borrower's credit risk, and fees including arrangement fees, commitment fees, and utilisation fees.</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IBOR transition: from LIBOR to risk-free rates (SOFR, SONIA, EURIBOR)</w:t>
            </w:r>
          </w:p>
        </w:tc>
        <w:tc>
          <w:tcPr>
            <w:tcW w:type="dxa" w:w="2340"/>
            <w:shd w:val="clear" w:color="auto" w:fill="FFFFFF"/>
          </w:tcPr>
          <w:p/>
          <w:p>
            <w:pPr>
              <w:jc w:val="left"/>
            </w:pPr>
            <w:r>
              <w:rPr>
                <w:rFonts w:ascii="Calibri" w:hAnsi="Calibri"/>
                <w:b w:val="0"/>
                <w:i w:val="0"/>
                <w:color w:val="404040"/>
                <w:sz w:val="19"/>
              </w:rPr>
              <w:t>The global transition from LIBOR to alternative risk-free rates — SOFR in the US, SONIA in the UK, €STR / EURIBOR in Europe — represents one of the most significant structural changes in lending markets in decades.</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Risk-adjusted return on capital (RAROC) framework</w:t>
            </w:r>
          </w:p>
        </w:tc>
        <w:tc>
          <w:tcPr>
            <w:tcW w:type="dxa" w:w="2340"/>
            <w:shd w:val="clear" w:color="auto" w:fill="F5F6FA"/>
          </w:tcPr>
          <w:p/>
          <w:p>
            <w:pPr>
              <w:jc w:val="left"/>
            </w:pPr>
            <w:r>
              <w:rPr>
                <w:rFonts w:ascii="Calibri" w:hAnsi="Calibri"/>
                <w:b w:val="0"/>
                <w:i w:val="0"/>
                <w:color w:val="404040"/>
                <w:sz w:val="19"/>
              </w:rPr>
              <w:t>Banks evaluate loans not just on the interest margin but on the risk-adjusted return on capital (RAROC). This framework ensures the bank earns a return above its cost of capital after accounting for expected losses and regulatory capital consumption.</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Pricing grid: margin ratchet tied to leverage ratio</w:t>
            </w:r>
          </w:p>
        </w:tc>
        <w:tc>
          <w:tcPr>
            <w:tcW w:type="dxa" w:w="2340"/>
            <w:shd w:val="clear" w:color="auto" w:fill="FFFFFF"/>
          </w:tcPr>
          <w:p/>
          <w:p>
            <w:pPr>
              <w:jc w:val="left"/>
            </w:pPr>
            <w:r>
              <w:rPr>
                <w:rFonts w:ascii="Calibri" w:hAnsi="Calibri"/>
                <w:b w:val="0"/>
                <w:i w:val="0"/>
                <w:color w:val="404040"/>
                <w:sz w:val="19"/>
              </w:rPr>
              <w:t>Many loan agreements include a pricing grid — the margin steps up or down based on the borrower's leverage ratio at each testing date. If performance improves, the borrower benefits from lower pricing.</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Fee income: arrangement fees, agency fees, amendment fees</w:t>
            </w:r>
          </w:p>
        </w:tc>
        <w:tc>
          <w:tcPr>
            <w:tcW w:type="dxa" w:w="2340"/>
            <w:shd w:val="clear" w:color="auto" w:fill="F5F6FA"/>
          </w:tcPr>
          <w:p/>
          <w:p>
            <w:pPr>
              <w:jc w:val="left"/>
            </w:pPr>
            <w:r>
              <w:rPr>
                <w:rFonts w:ascii="Calibri" w:hAnsi="Calibri"/>
                <w:b w:val="0"/>
                <w:i w:val="0"/>
                <w:color w:val="404040"/>
                <w:sz w:val="19"/>
              </w:rPr>
              <w:t>Beyond the interest margin, lending generates significant fee income. Arrangement fees (OIDs on leveraged loans), annual agency fees, amendment/waiver fees, and prepayment premiums all contribute to the loan's overall economics.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how good pricing reflects sound credit assessment</w:t>
            </w:r>
          </w:p>
        </w:tc>
        <w:tc>
          <w:tcPr>
            <w:tcW w:type="dxa" w:w="2340"/>
            <w:shd w:val="clear" w:color="auto" w:fill="FFFFFF"/>
          </w:tcPr>
          <w:p/>
          <w:p>
            <w:pPr>
              <w:jc w:val="left"/>
            </w:pPr>
            <w:r>
              <w:rPr>
                <w:rFonts w:ascii="Calibri" w:hAnsi="Calibri"/>
                <w:b w:val="0"/>
                <w:i w:val="0"/>
                <w:color w:val="404040"/>
                <w:sz w:val="19"/>
              </w:rPr>
              <w:t>Pricing must accurately reflect credit risk — underpriced loans erode the bank's RAROC; overpriced loans lose mandates to competitors. The balance between relationship pricing and risk discipline is a constant tension in lending.</w:t>
            </w:r>
          </w:p>
        </w:tc>
        <w:tc>
          <w:tcPr>
            <w:tcW w:type="dxa" w:w="2340"/>
            <w:shd w:val="clear" w:color="auto" w:fill="FFFFFF"/>
          </w:tcPr>
          <w:p/>
          <w:p>
            <w:pPr>
              <w:jc w:val="center"/>
            </w:pPr>
            <w:r>
              <w:rPr>
                <w:rFonts w:ascii="Calibri" w:hAnsi="Calibri"/>
                <w:b w:val="0"/>
                <w:i w:val="0"/>
                <w:color w:val="404040"/>
                <w:sz w:val="19"/>
              </w:rPr>
              <w:t>30s</w:t>
            </w:r>
          </w:p>
        </w:tc>
      </w:tr>
    </w:tbl>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101C4F"/>
          </w:tcPr>
          <w:p/>
          <w:p>
            <w:pPr>
              <w:jc w:val="center"/>
            </w:pPr>
            <w:r>
              <w:rPr>
                <w:rFonts w:ascii="Calibri" w:hAnsi="Calibri"/>
                <w:b/>
                <w:i w:val="0"/>
                <w:color w:val="F0A800"/>
                <w:sz w:val="28"/>
              </w:rPr>
              <w:t>H12.4  ·  Loan Documentation and Legal Framework</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1 of 3</w:t>
            </w:r>
          </w:p>
        </w:tc>
        <w:tc>
          <w:tcPr>
            <w:tcW w:type="dxa" w:w="4680"/>
            <w:shd w:val="clear" w:color="auto" w:fill="007A87"/>
          </w:tcPr>
          <w:p/>
          <w:p>
            <w:pPr>
              <w:jc w:val="right"/>
            </w:pPr>
            <w:r>
              <w:rPr>
                <w:rFonts w:ascii="Calibri" w:hAnsi="Calibri"/>
                <w:b/>
                <w:i w:val="0"/>
                <w:color w:val="FFFFFF"/>
                <w:sz w:val="22"/>
              </w:rPr>
              <w:t>H12.4  |  The Loan Agreement – Structure and Key Provisions</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Stacked document icon: facility agreement → security documents → intercreditor → ancillary</w:t>
            </w:r>
          </w:p>
        </w:tc>
        <w:tc>
          <w:tcPr>
            <w:tcW w:type="dxa" w:w="2340"/>
            <w:shd w:val="clear" w:color="auto" w:fill="F5F6FA"/>
          </w:tcPr>
          <w:p/>
          <w:p>
            <w:pPr>
              <w:jc w:val="left"/>
            </w:pPr>
            <w:r>
              <w:rPr>
                <w:rFonts w:ascii="Calibri" w:hAnsi="Calibri"/>
                <w:b w:val="0"/>
                <w:i w:val="0"/>
                <w:color w:val="404040"/>
                <w:sz w:val="19"/>
              </w:rPr>
              <w:t>A loan transaction is governed by a suite of legal documents. The facility agreement is the principal contract; supporting documents include security agreements, guarantees, intercreditor agreements, and ancillary facility letters.</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LMA standard documentation: the industry template</w:t>
            </w:r>
          </w:p>
        </w:tc>
        <w:tc>
          <w:tcPr>
            <w:tcW w:type="dxa" w:w="2340"/>
            <w:shd w:val="clear" w:color="auto" w:fill="FFFFFF"/>
          </w:tcPr>
          <w:p/>
          <w:p>
            <w:pPr>
              <w:jc w:val="left"/>
            </w:pPr>
            <w:r>
              <w:rPr>
                <w:rFonts w:ascii="Calibri" w:hAnsi="Calibri"/>
                <w:b w:val="0"/>
                <w:i w:val="0"/>
                <w:color w:val="404040"/>
                <w:sz w:val="19"/>
              </w:rPr>
              <w:t>The Loan Market Association (LMA) publishes standardised loan agreement templates used across European lending markets. LMA forms set a common baseline, reducing negotiation time and legal costs while ensuring market-standard protections.</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Parties to a facility agreement: obligors, lenders, agent, arranger, security trustee</w:t>
            </w:r>
          </w:p>
        </w:tc>
        <w:tc>
          <w:tcPr>
            <w:tcW w:type="dxa" w:w="2340"/>
            <w:shd w:val="clear" w:color="auto" w:fill="F5F6FA"/>
          </w:tcPr>
          <w:p/>
          <w:p>
            <w:pPr>
              <w:jc w:val="left"/>
            </w:pPr>
            <w:r>
              <w:rPr>
                <w:rFonts w:ascii="Calibri" w:hAnsi="Calibri"/>
                <w:b w:val="0"/>
                <w:i w:val="0"/>
                <w:color w:val="404040"/>
                <w:sz w:val="19"/>
              </w:rPr>
              <w:t>Key parties include: the borrower (and guarantors as obligors), the syndicate of lenders, the facility agent (administering the loan), the mandated lead arranger (MLA), and the security trustee (holding collateral for all lenders).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Key sections: conditions precedent, representations, covenants, events of default</w:t>
            </w:r>
          </w:p>
        </w:tc>
        <w:tc>
          <w:tcPr>
            <w:tcW w:type="dxa" w:w="2340"/>
            <w:shd w:val="clear" w:color="auto" w:fill="FFFFFF"/>
          </w:tcPr>
          <w:p/>
          <w:p>
            <w:pPr>
              <w:jc w:val="left"/>
            </w:pPr>
            <w:r>
              <w:rPr>
                <w:rFonts w:ascii="Calibri" w:hAnsi="Calibri"/>
                <w:b w:val="0"/>
                <w:i w:val="0"/>
                <w:color w:val="404040"/>
                <w:sz w:val="19"/>
              </w:rPr>
              <w:t>The facility agreement contains conditions that must be satisfied before drawdown, representations by the borrower about its legal and financial status, ongoing covenants restricting the borrower's behaviour, and events of default triggering acceleration.</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Conditions precedent (CPs): the pre-funding checklist</w:t>
            </w:r>
          </w:p>
        </w:tc>
        <w:tc>
          <w:tcPr>
            <w:tcW w:type="dxa" w:w="2340"/>
            <w:shd w:val="clear" w:color="auto" w:fill="F5F6FA"/>
          </w:tcPr>
          <w:p/>
          <w:p>
            <w:pPr>
              <w:jc w:val="left"/>
            </w:pPr>
            <w:r>
              <w:rPr>
                <w:rFonts w:ascii="Calibri" w:hAnsi="Calibri"/>
                <w:b w:val="0"/>
                <w:i w:val="0"/>
                <w:color w:val="404040"/>
                <w:sz w:val="19"/>
              </w:rPr>
              <w:t>Before any money moves, the agent bank must confirm all conditions precedent are satisfied — constitutional documents, legal opinions, KYC/AML, evidence of authority, and executed security documents. Operations manages this checklist.</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why documentation precision matters for operations</w:t>
            </w:r>
          </w:p>
        </w:tc>
        <w:tc>
          <w:tcPr>
            <w:tcW w:type="dxa" w:w="2340"/>
            <w:shd w:val="clear" w:color="auto" w:fill="FFFFFF"/>
          </w:tcPr>
          <w:p/>
          <w:p>
            <w:pPr>
              <w:jc w:val="left"/>
            </w:pPr>
            <w:r>
              <w:rPr>
                <w:rFonts w:ascii="Calibri" w:hAnsi="Calibri"/>
                <w:b w:val="0"/>
                <w:i w:val="0"/>
                <w:color w:val="404040"/>
                <w:sz w:val="19"/>
              </w:rPr>
              <w:t>Operations teams rely on the facility agreement as their operational manual — it defines payment mechanics, notice periods, consent thresholds, and every rule governing the loan's administration. Documentation errors cause payment failures.</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2 of 3</w:t>
            </w:r>
          </w:p>
        </w:tc>
        <w:tc>
          <w:tcPr>
            <w:tcW w:type="dxa" w:w="4680"/>
            <w:shd w:val="clear" w:color="auto" w:fill="007A87"/>
          </w:tcPr>
          <w:p/>
          <w:p>
            <w:pPr>
              <w:jc w:val="right"/>
            </w:pPr>
            <w:r>
              <w:rPr>
                <w:rFonts w:ascii="Calibri" w:hAnsi="Calibri"/>
                <w:b/>
                <w:i w:val="0"/>
                <w:color w:val="FFFFFF"/>
                <w:sz w:val="22"/>
              </w:rPr>
              <w:t>H12.4  |  Covenants and Borrower Obligations</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Three types of covenants: financial, information, and negative/positive undertakings</w:t>
            </w:r>
          </w:p>
        </w:tc>
        <w:tc>
          <w:tcPr>
            <w:tcW w:type="dxa" w:w="2340"/>
            <w:shd w:val="clear" w:color="auto" w:fill="F5F6FA"/>
          </w:tcPr>
          <w:p/>
          <w:p>
            <w:pPr>
              <w:jc w:val="left"/>
            </w:pPr>
            <w:r>
              <w:rPr>
                <w:rFonts w:ascii="Calibri" w:hAnsi="Calibri"/>
                <w:b w:val="0"/>
                <w:i w:val="0"/>
                <w:color w:val="404040"/>
                <w:sz w:val="19"/>
              </w:rPr>
              <w:t>Loan covenants are contractual obligations that control borrower behaviour. Financial covenants measure performance; information covenants require financial reporting; negative covenants restrict actions; positive covenants require specific actions.</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Financial covenant types: leverage, interest cover, net worth, capex</w:t>
            </w:r>
          </w:p>
        </w:tc>
        <w:tc>
          <w:tcPr>
            <w:tcW w:type="dxa" w:w="2340"/>
            <w:shd w:val="clear" w:color="auto" w:fill="FFFFFF"/>
          </w:tcPr>
          <w:p/>
          <w:p>
            <w:pPr>
              <w:jc w:val="left"/>
            </w:pPr>
            <w:r>
              <w:rPr>
                <w:rFonts w:ascii="Calibri" w:hAnsi="Calibri"/>
                <w:b w:val="0"/>
                <w:i w:val="0"/>
                <w:color w:val="404040"/>
                <w:sz w:val="19"/>
              </w:rPr>
              <w:t>Common financial covenants include: Net Leverage ≤ 4.0x, Interest Cover ≥ 3.0x, minimum net worth, and a capex limit. These ratios are tested quarterly or semi-annually against the borrower's financial statements.</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Covenant-lite loans: the shift in leveraged market practice</w:t>
            </w:r>
          </w:p>
        </w:tc>
        <w:tc>
          <w:tcPr>
            <w:tcW w:type="dxa" w:w="2340"/>
            <w:shd w:val="clear" w:color="auto" w:fill="F5F6FA"/>
          </w:tcPr>
          <w:p/>
          <w:p>
            <w:pPr>
              <w:jc w:val="left"/>
            </w:pPr>
            <w:r>
              <w:rPr>
                <w:rFonts w:ascii="Calibri" w:hAnsi="Calibri"/>
                <w:b w:val="0"/>
                <w:i w:val="0"/>
                <w:color w:val="404040"/>
                <w:sz w:val="19"/>
              </w:rPr>
              <w:t>Since 2012, covenant-lite loans — which omit financial maintenance covenants in favour of incurrence tests only — have become standard in the US and increasingly common in European leveraged lending, shifting risk significantly to lenders.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Covenant testing: who does the calculation, the operations role</w:t>
            </w:r>
          </w:p>
        </w:tc>
        <w:tc>
          <w:tcPr>
            <w:tcW w:type="dxa" w:w="2340"/>
            <w:shd w:val="clear" w:color="auto" w:fill="FFFFFF"/>
          </w:tcPr>
          <w:p/>
          <w:p>
            <w:pPr>
              <w:jc w:val="left"/>
            </w:pPr>
            <w:r>
              <w:rPr>
                <w:rFonts w:ascii="Calibri" w:hAnsi="Calibri"/>
                <w:b w:val="0"/>
                <w:i w:val="0"/>
                <w:color w:val="404040"/>
                <w:sz w:val="19"/>
              </w:rPr>
              <w:t>The borrower prepares a compliance certificate with the relevant financial calculations. The agent bank receives and files the certificate; the credit team reviews and confirms compliance. A breach triggers lender notification and consent processes.</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Negative covenants: restrictions on disposals, acquisitions, additional debt, distributions</w:t>
            </w:r>
          </w:p>
        </w:tc>
        <w:tc>
          <w:tcPr>
            <w:tcW w:type="dxa" w:w="2340"/>
            <w:shd w:val="clear" w:color="auto" w:fill="F5F6FA"/>
          </w:tcPr>
          <w:p/>
          <w:p>
            <w:pPr>
              <w:jc w:val="left"/>
            </w:pPr>
            <w:r>
              <w:rPr>
                <w:rFonts w:ascii="Calibri" w:hAnsi="Calibri"/>
                <w:b w:val="0"/>
                <w:i w:val="0"/>
                <w:color w:val="404040"/>
                <w:sz w:val="19"/>
              </w:rPr>
              <w:t>Negative covenants prevent the borrower from taking actions that could impair lenders' position — selling material assets, making large acquisitions, incurring additional debt beyond a basket, or making distributions above a threshold.</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covenants as the lender's early warning system</w:t>
            </w:r>
          </w:p>
        </w:tc>
        <w:tc>
          <w:tcPr>
            <w:tcW w:type="dxa" w:w="2340"/>
            <w:shd w:val="clear" w:color="auto" w:fill="FFFFFF"/>
          </w:tcPr>
          <w:p/>
          <w:p>
            <w:pPr>
              <w:jc w:val="left"/>
            </w:pPr>
            <w:r>
              <w:rPr>
                <w:rFonts w:ascii="Calibri" w:hAnsi="Calibri"/>
                <w:b w:val="0"/>
                <w:i w:val="0"/>
                <w:color w:val="404040"/>
                <w:sz w:val="19"/>
              </w:rPr>
              <w:t>Covenants provide lenders with early warning signals of deteriorating credit quality and an opportunity to engage with the borrower before a default occurs. Timely covenant testing and monitoring is a core operations control.</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3 of 3</w:t>
            </w:r>
          </w:p>
        </w:tc>
        <w:tc>
          <w:tcPr>
            <w:tcW w:type="dxa" w:w="4680"/>
            <w:shd w:val="clear" w:color="auto" w:fill="007A87"/>
          </w:tcPr>
          <w:p/>
          <w:p>
            <w:pPr>
              <w:jc w:val="right"/>
            </w:pPr>
            <w:r>
              <w:rPr>
                <w:rFonts w:ascii="Calibri" w:hAnsi="Calibri"/>
                <w:b/>
                <w:i w:val="0"/>
                <w:color w:val="FFFFFF"/>
                <w:sz w:val="22"/>
              </w:rPr>
              <w:t>H12.4  |  Security, Events of Default, and Remedies</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Security types: fixed charge, floating charge, pledge, mortgage, guarantee</w:t>
            </w:r>
          </w:p>
        </w:tc>
        <w:tc>
          <w:tcPr>
            <w:tcW w:type="dxa" w:w="2340"/>
            <w:shd w:val="clear" w:color="auto" w:fill="F5F6FA"/>
          </w:tcPr>
          <w:p/>
          <w:p>
            <w:pPr>
              <w:jc w:val="left"/>
            </w:pPr>
            <w:r>
              <w:rPr>
                <w:rFonts w:ascii="Calibri" w:hAnsi="Calibri"/>
                <w:b w:val="0"/>
                <w:i w:val="0"/>
                <w:color w:val="404040"/>
                <w:sz w:val="19"/>
              </w:rPr>
              <w:t>Secured lending is backed by collateral. A fixed charge attaches to specific identified assets; a floating charge covers a pool of assets that changes over time. Pledges, mortgages, and guarantees provide additional protection to lenders.</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Security package in a leveraged LBO: share pledge + floating charge + debenture</w:t>
            </w:r>
          </w:p>
        </w:tc>
        <w:tc>
          <w:tcPr>
            <w:tcW w:type="dxa" w:w="2340"/>
            <w:shd w:val="clear" w:color="auto" w:fill="FFFFFF"/>
          </w:tcPr>
          <w:p/>
          <w:p>
            <w:pPr>
              <w:jc w:val="left"/>
            </w:pPr>
            <w:r>
              <w:rPr>
                <w:rFonts w:ascii="Calibri" w:hAnsi="Calibri"/>
                <w:b w:val="0"/>
                <w:i w:val="0"/>
                <w:color w:val="404040"/>
                <w:sz w:val="19"/>
              </w:rPr>
              <w:t>In a leveraged buyout, lenders typically take a comprehensive security package: a pledge over the shares of the acquisition vehicle, a debenture granting fixed and floating charges over all assets, and upstream guarantees from operating subsidiaries.</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Events of default (EoD): payment default, covenant breach, cross-default, insolvency</w:t>
            </w:r>
          </w:p>
        </w:tc>
        <w:tc>
          <w:tcPr>
            <w:tcW w:type="dxa" w:w="2340"/>
            <w:shd w:val="clear" w:color="auto" w:fill="F5F6FA"/>
          </w:tcPr>
          <w:p/>
          <w:p>
            <w:pPr>
              <w:jc w:val="left"/>
            </w:pPr>
            <w:r>
              <w:rPr>
                <w:rFonts w:ascii="Calibri" w:hAnsi="Calibri"/>
                <w:b w:val="0"/>
                <w:i w:val="0"/>
                <w:color w:val="404040"/>
                <w:sz w:val="19"/>
              </w:rPr>
              <w:t>Events of default give lenders the right to accelerate the loan. Key EoDs include: failure to make a payment, breach of a financial covenant, cross-default with other debt instruments, and insolvency of the borrower.</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Acceleration and enforcement: what happens when an EoD is not cured</w:t>
            </w:r>
          </w:p>
        </w:tc>
        <w:tc>
          <w:tcPr>
            <w:tcW w:type="dxa" w:w="2340"/>
            <w:shd w:val="clear" w:color="auto" w:fill="FFFFFF"/>
          </w:tcPr>
          <w:p/>
          <w:p>
            <w:pPr>
              <w:jc w:val="left"/>
            </w:pPr>
            <w:r>
              <w:rPr>
                <w:rFonts w:ascii="Calibri" w:hAnsi="Calibri"/>
                <w:b w:val="0"/>
                <w:i w:val="0"/>
                <w:color w:val="404040"/>
                <w:sz w:val="19"/>
              </w:rPr>
              <w:t>On an uncured EoD, the majority lenders (typically 66.67%) can vote to accelerate — demanding immediate repayment of the outstanding loan balance. If repayment is not forthcoming, lenders may enforce their security.</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Waivers and amendments: the consent process</w:t>
            </w:r>
          </w:p>
        </w:tc>
        <w:tc>
          <w:tcPr>
            <w:tcW w:type="dxa" w:w="2340"/>
            <w:shd w:val="clear" w:color="auto" w:fill="F5F6FA"/>
          </w:tcPr>
          <w:p/>
          <w:p>
            <w:pPr>
              <w:jc w:val="left"/>
            </w:pPr>
            <w:r>
              <w:rPr>
                <w:rFonts w:ascii="Calibri" w:hAnsi="Calibri"/>
                <w:b w:val="0"/>
                <w:i w:val="0"/>
                <w:color w:val="404040"/>
                <w:sz w:val="19"/>
              </w:rPr>
              <w:t>Before an EoD is formally triggered, borrowers often seek a waiver or amendment. The agent polls the syndicate; majority consent (or unanimous for certain reserved matters) is required. Operations manages the consent process and documentation.</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the legal framework as operational guide and risk management tool</w:t>
            </w:r>
          </w:p>
        </w:tc>
        <w:tc>
          <w:tcPr>
            <w:tcW w:type="dxa" w:w="2340"/>
            <w:shd w:val="clear" w:color="auto" w:fill="FFFFFF"/>
          </w:tcPr>
          <w:p/>
          <w:p>
            <w:pPr>
              <w:jc w:val="left"/>
            </w:pPr>
            <w:r>
              <w:rPr>
                <w:rFonts w:ascii="Calibri" w:hAnsi="Calibri"/>
                <w:b w:val="0"/>
                <w:i w:val="0"/>
                <w:color w:val="404040"/>
                <w:sz w:val="19"/>
              </w:rPr>
              <w:t>The loan documentation defines lenders' rights, remedies, and procedures. Operations teams must understand the security structure, EoD triggers, and consent mechanisms to administer facilities correctly and protect lenders' interests.</w:t>
            </w:r>
          </w:p>
        </w:tc>
        <w:tc>
          <w:tcPr>
            <w:tcW w:type="dxa" w:w="2340"/>
            <w:shd w:val="clear" w:color="auto" w:fill="FFFFFF"/>
          </w:tcPr>
          <w:p/>
          <w:p>
            <w:pPr>
              <w:jc w:val="center"/>
            </w:pPr>
            <w:r>
              <w:rPr>
                <w:rFonts w:ascii="Calibri" w:hAnsi="Calibri"/>
                <w:b w:val="0"/>
                <w:i w:val="0"/>
                <w:color w:val="404040"/>
                <w:sz w:val="19"/>
              </w:rPr>
              <w:t>30s</w:t>
            </w:r>
          </w:p>
        </w:tc>
      </w:tr>
    </w:tbl>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101C4F"/>
          </w:tcPr>
          <w:p/>
          <w:p>
            <w:pPr>
              <w:jc w:val="center"/>
            </w:pPr>
            <w:r>
              <w:rPr>
                <w:rFonts w:ascii="Calibri" w:hAnsi="Calibri"/>
                <w:b/>
                <w:i w:val="0"/>
                <w:color w:val="F0A800"/>
                <w:sz w:val="28"/>
              </w:rPr>
              <w:t>H12.5  ·  Syndicated Lending</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1 of 3</w:t>
            </w:r>
          </w:p>
        </w:tc>
        <w:tc>
          <w:tcPr>
            <w:tcW w:type="dxa" w:w="4680"/>
            <w:shd w:val="clear" w:color="auto" w:fill="007A87"/>
          </w:tcPr>
          <w:p/>
          <w:p>
            <w:pPr>
              <w:jc w:val="right"/>
            </w:pPr>
            <w:r>
              <w:rPr>
                <w:rFonts w:ascii="Calibri" w:hAnsi="Calibri"/>
                <w:b/>
                <w:i w:val="0"/>
                <w:color w:val="FFFFFF"/>
                <w:sz w:val="22"/>
              </w:rPr>
              <w:t>H12.5  |  Introduction to Syndicated Loans</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Diagram: one borrower → multiple banks forming a syndicate</w:t>
            </w:r>
          </w:p>
        </w:tc>
        <w:tc>
          <w:tcPr>
            <w:tcW w:type="dxa" w:w="2340"/>
            <w:shd w:val="clear" w:color="auto" w:fill="F5F6FA"/>
          </w:tcPr>
          <w:p/>
          <w:p>
            <w:pPr>
              <w:jc w:val="left"/>
            </w:pPr>
            <w:r>
              <w:rPr>
                <w:rFonts w:ascii="Calibri" w:hAnsi="Calibri"/>
                <w:b w:val="0"/>
                <w:i w:val="0"/>
                <w:color w:val="404040"/>
                <w:sz w:val="19"/>
              </w:rPr>
              <w:t>A syndicated loan is extended by a group of lenders — the syndicate — to a single borrower under a common loan agreement. Syndication allows banks to provide large facilities while managing individual credit concentration limits.</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Why syndicate? — size, diversification, distribution, relationship</w:t>
            </w:r>
          </w:p>
        </w:tc>
        <w:tc>
          <w:tcPr>
            <w:tcW w:type="dxa" w:w="2340"/>
            <w:shd w:val="clear" w:color="auto" w:fill="FFFFFF"/>
          </w:tcPr>
          <w:p/>
          <w:p>
            <w:pPr>
              <w:jc w:val="left"/>
            </w:pPr>
            <w:r>
              <w:rPr>
                <w:rFonts w:ascii="Calibri" w:hAnsi="Calibri"/>
                <w:b w:val="0"/>
                <w:i w:val="0"/>
                <w:color w:val="404040"/>
                <w:sz w:val="19"/>
              </w:rPr>
              <w:t>Syndication serves multiple purposes: it enables large transactions that exceed a single bank's appetite or capital limits; it diversifies lender exposure; it distributes credit risk to institutional investors; and it allows the arranger to earn fees.</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Syndication process: mandate → underwrite → syndicate → allocate → close</w:t>
            </w:r>
          </w:p>
        </w:tc>
        <w:tc>
          <w:tcPr>
            <w:tcW w:type="dxa" w:w="2340"/>
            <w:shd w:val="clear" w:color="auto" w:fill="F5F6FA"/>
          </w:tcPr>
          <w:p/>
          <w:p>
            <w:pPr>
              <w:jc w:val="left"/>
            </w:pPr>
            <w:r>
              <w:rPr>
                <w:rFonts w:ascii="Calibri" w:hAnsi="Calibri"/>
                <w:b w:val="0"/>
                <w:i w:val="0"/>
                <w:color w:val="404040"/>
                <w:sz w:val="19"/>
              </w:rPr>
              <w:t>The process begins when the borrower mandates an arranger (MLA). The MLA may underwrite the full amount (committed underwriting) or use best-efforts. They then market the deal to potential lenders, allocate commitments, and close.</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Roles in a syndicate: MLA, bookrunner, lender, agent bank</w:t>
            </w:r>
          </w:p>
        </w:tc>
        <w:tc>
          <w:tcPr>
            <w:tcW w:type="dxa" w:w="2340"/>
            <w:shd w:val="clear" w:color="auto" w:fill="FFFFFF"/>
          </w:tcPr>
          <w:p/>
          <w:p>
            <w:pPr>
              <w:jc w:val="left"/>
            </w:pPr>
            <w:r>
              <w:rPr>
                <w:rFonts w:ascii="Calibri" w:hAnsi="Calibri"/>
                <w:b w:val="0"/>
                <w:i w:val="0"/>
                <w:color w:val="404040"/>
                <w:sz w:val="19"/>
              </w:rPr>
              <w:t>The mandated lead arranger structures and underwrites. The bookrunner manages the order book. Participating lenders commit portions of the facility. The facility agent administers the loan throughout its life on behalf of all parties.</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Syndicated loan market size: global volumes, US vs. EMEA vs. APAC</w:t>
            </w:r>
          </w:p>
        </w:tc>
        <w:tc>
          <w:tcPr>
            <w:tcW w:type="dxa" w:w="2340"/>
            <w:shd w:val="clear" w:color="auto" w:fill="F5F6FA"/>
          </w:tcPr>
          <w:p/>
          <w:p>
            <w:pPr>
              <w:jc w:val="left"/>
            </w:pPr>
            <w:r>
              <w:rPr>
                <w:rFonts w:ascii="Calibri" w:hAnsi="Calibri"/>
                <w:b w:val="0"/>
                <w:i w:val="0"/>
                <w:color w:val="404040"/>
                <w:sz w:val="19"/>
              </w:rPr>
              <w:t>The global syndicated loan market is enormous — exceeding $5 trillion per year in new issuance globally. The US market is dominated by leveraged loans; EMEA balances investment grade and leveraged; APAC is growing rapidly.</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syndication as the engine of large-scale lending</w:t>
            </w:r>
          </w:p>
        </w:tc>
        <w:tc>
          <w:tcPr>
            <w:tcW w:type="dxa" w:w="2340"/>
            <w:shd w:val="clear" w:color="auto" w:fill="FFFFFF"/>
          </w:tcPr>
          <w:p/>
          <w:p>
            <w:pPr>
              <w:jc w:val="left"/>
            </w:pPr>
            <w:r>
              <w:rPr>
                <w:rFonts w:ascii="Calibri" w:hAnsi="Calibri"/>
                <w:b w:val="0"/>
                <w:i w:val="0"/>
                <w:color w:val="404040"/>
                <w:sz w:val="19"/>
              </w:rPr>
              <w:t>Without syndication, banks would be unable to finance the largest corporate transactions — major acquisitions, infrastructure projects, sovereign borrowings — while managing regulatory capital and concentration limits.</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2 of 3</w:t>
            </w:r>
          </w:p>
        </w:tc>
        <w:tc>
          <w:tcPr>
            <w:tcW w:type="dxa" w:w="4680"/>
            <w:shd w:val="clear" w:color="auto" w:fill="007A87"/>
          </w:tcPr>
          <w:p/>
          <w:p>
            <w:pPr>
              <w:jc w:val="right"/>
            </w:pPr>
            <w:r>
              <w:rPr>
                <w:rFonts w:ascii="Calibri" w:hAnsi="Calibri"/>
                <w:b/>
                <w:i w:val="0"/>
                <w:color w:val="FFFFFF"/>
                <w:sz w:val="22"/>
              </w:rPr>
              <w:t>H12.5  |  The Role of the Facility Agent</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Agent bank at the hub: central node between borrower and syndicate members</w:t>
            </w:r>
          </w:p>
        </w:tc>
        <w:tc>
          <w:tcPr>
            <w:tcW w:type="dxa" w:w="2340"/>
            <w:shd w:val="clear" w:color="auto" w:fill="F5F6FA"/>
          </w:tcPr>
          <w:p/>
          <w:p>
            <w:pPr>
              <w:jc w:val="left"/>
            </w:pPr>
            <w:r>
              <w:rPr>
                <w:rFonts w:ascii="Calibri" w:hAnsi="Calibri"/>
                <w:b w:val="0"/>
                <w:i w:val="0"/>
                <w:color w:val="404040"/>
                <w:sz w:val="19"/>
              </w:rPr>
              <w:t>In a syndicated loan, the facility agent acts as the central administrator — the single point of contact between the borrower and all syndicate lenders. Every payment, notice, and amendment flows through the agent.</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Agent's primary responsibilities — payment mechanics</w:t>
            </w:r>
          </w:p>
        </w:tc>
        <w:tc>
          <w:tcPr>
            <w:tcW w:type="dxa" w:w="2340"/>
            <w:shd w:val="clear" w:color="auto" w:fill="FFFFFF"/>
          </w:tcPr>
          <w:p/>
          <w:p>
            <w:pPr>
              <w:jc w:val="left"/>
            </w:pPr>
            <w:r>
              <w:rPr>
                <w:rFonts w:ascii="Calibri" w:hAnsi="Calibri"/>
                <w:b w:val="0"/>
                <w:i w:val="0"/>
                <w:color w:val="404040"/>
                <w:sz w:val="19"/>
              </w:rPr>
              <w:t>The agent's core payment role: receive principal, interest, and fee payments from the borrower and distribute them to each lender in proportion to their commitment share, net of the agent's fee, on the correct value date.</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LMA agency provisions: agent's standard of care and liability</w:t>
            </w:r>
          </w:p>
        </w:tc>
        <w:tc>
          <w:tcPr>
            <w:tcW w:type="dxa" w:w="2340"/>
            <w:shd w:val="clear" w:color="auto" w:fill="F5F6FA"/>
          </w:tcPr>
          <w:p/>
          <w:p>
            <w:pPr>
              <w:jc w:val="left"/>
            </w:pPr>
            <w:r>
              <w:rPr>
                <w:rFonts w:ascii="Calibri" w:hAnsi="Calibri"/>
                <w:b w:val="0"/>
                <w:i w:val="0"/>
                <w:color w:val="404040"/>
                <w:sz w:val="19"/>
              </w:rPr>
              <w:t>Under LMA documentation, the agent acts as a 'mere conduit' — it has limited discretion and is not responsible for the borrower's compliance or creditworthiness. The agent's liability is generally limited to gross negligence and wilful misconduct.</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Notice and communication management: utilisation requests, compliance certs, waivers</w:t>
            </w:r>
          </w:p>
        </w:tc>
        <w:tc>
          <w:tcPr>
            <w:tcW w:type="dxa" w:w="2340"/>
            <w:shd w:val="clear" w:color="auto" w:fill="FFFFFF"/>
          </w:tcPr>
          <w:p/>
          <w:p>
            <w:pPr>
              <w:jc w:val="left"/>
            </w:pPr>
            <w:r>
              <w:rPr>
                <w:rFonts w:ascii="Calibri" w:hAnsi="Calibri"/>
                <w:b w:val="0"/>
                <w:i w:val="0"/>
                <w:color w:val="404040"/>
                <w:sz w:val="19"/>
              </w:rPr>
              <w:t>The agent receives and processes all formal communications: drawdown notices from the borrower, compliance certificates, waiver requests, amendment letters, and lender transfer certificates. Each must be checked, distributed, and filed.</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Calculation agent: interest calculations, SOFR compounding, benchmark rate publication</w:t>
            </w:r>
          </w:p>
        </w:tc>
        <w:tc>
          <w:tcPr>
            <w:tcW w:type="dxa" w:w="2340"/>
            <w:shd w:val="clear" w:color="auto" w:fill="F5F6FA"/>
          </w:tcPr>
          <w:p/>
          <w:p>
            <w:pPr>
              <w:jc w:val="left"/>
            </w:pPr>
            <w:r>
              <w:rPr>
                <w:rFonts w:ascii="Calibri" w:hAnsi="Calibri"/>
                <w:b w:val="0"/>
                <w:i w:val="0"/>
                <w:color w:val="404040"/>
                <w:sz w:val="19"/>
              </w:rPr>
              <w:t>In transactions using risk-free rates like SOFR or SONIA, the agent (or a designated calculation agent) calculates interest using daily compounding methodologies, applying look-back or lockout conventions specified in the credit agreement.</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the facility agent as the operational backbone of syndicated lending</w:t>
            </w:r>
          </w:p>
        </w:tc>
        <w:tc>
          <w:tcPr>
            <w:tcW w:type="dxa" w:w="2340"/>
            <w:shd w:val="clear" w:color="auto" w:fill="FFFFFF"/>
          </w:tcPr>
          <w:p/>
          <w:p>
            <w:pPr>
              <w:jc w:val="left"/>
            </w:pPr>
            <w:r>
              <w:rPr>
                <w:rFonts w:ascii="Calibri" w:hAnsi="Calibri"/>
                <w:b w:val="0"/>
                <w:i w:val="0"/>
                <w:color w:val="404040"/>
                <w:sz w:val="19"/>
              </w:rPr>
              <w:t>The quality of agency services directly affects borrower and lender satisfaction. Efficient, accurate agent operations — timely payments, prompt communication, correct calculations — are the mark of a professional lending operations team.</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3 of 3</w:t>
            </w:r>
          </w:p>
        </w:tc>
        <w:tc>
          <w:tcPr>
            <w:tcW w:type="dxa" w:w="4680"/>
            <w:shd w:val="clear" w:color="auto" w:fill="007A87"/>
          </w:tcPr>
          <w:p/>
          <w:p>
            <w:pPr>
              <w:jc w:val="right"/>
            </w:pPr>
            <w:r>
              <w:rPr>
                <w:rFonts w:ascii="Calibri" w:hAnsi="Calibri"/>
                <w:b/>
                <w:i w:val="0"/>
                <w:color w:val="FFFFFF"/>
                <w:sz w:val="22"/>
              </w:rPr>
              <w:t>H12.5  |  Secondary Market for Syndicated Loans</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Why a secondary market exists: liquidity, portfolio management, regulatory capital</w:t>
            </w:r>
          </w:p>
        </w:tc>
        <w:tc>
          <w:tcPr>
            <w:tcW w:type="dxa" w:w="2340"/>
            <w:shd w:val="clear" w:color="auto" w:fill="F5F6FA"/>
          </w:tcPr>
          <w:p/>
          <w:p>
            <w:pPr>
              <w:jc w:val="left"/>
            </w:pPr>
            <w:r>
              <w:rPr>
                <w:rFonts w:ascii="Calibri" w:hAnsi="Calibri"/>
                <w:b w:val="0"/>
                <w:i w:val="0"/>
                <w:color w:val="404040"/>
                <w:sz w:val="19"/>
              </w:rPr>
              <w:t>The secondary loan market allows existing lenders to sell their positions and new investors to buy them. Banks sell to free up capital, manage concentration, and redeploy into new origination; investors buy to gain credit exposure.</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Transfer mechanisms: assignment vs. novation vs. participation</w:t>
            </w:r>
          </w:p>
        </w:tc>
        <w:tc>
          <w:tcPr>
            <w:tcW w:type="dxa" w:w="2340"/>
            <w:shd w:val="clear" w:color="auto" w:fill="FFFFFF"/>
          </w:tcPr>
          <w:p/>
          <w:p>
            <w:pPr>
              <w:jc w:val="left"/>
            </w:pPr>
            <w:r>
              <w:rPr>
                <w:rFonts w:ascii="Calibri" w:hAnsi="Calibri"/>
                <w:b w:val="0"/>
                <w:i w:val="0"/>
                <w:color w:val="404040"/>
                <w:sz w:val="19"/>
              </w:rPr>
              <w:t>Assignment transfers full legal and beneficial title from seller to buyer. Novation extinguishes the old contract and creates a new one. Participation leaves the original lender in place but creates a sub-participation to the buyer — no direct relationship with the borrower.</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LMA/LSTA transfer certificate and trade confirmation process</w:t>
            </w:r>
          </w:p>
        </w:tc>
        <w:tc>
          <w:tcPr>
            <w:tcW w:type="dxa" w:w="2340"/>
            <w:shd w:val="clear" w:color="auto" w:fill="F5F6FA"/>
          </w:tcPr>
          <w:p/>
          <w:p>
            <w:pPr>
              <w:jc w:val="left"/>
            </w:pPr>
            <w:r>
              <w:rPr>
                <w:rFonts w:ascii="Calibri" w:hAnsi="Calibri"/>
                <w:b w:val="0"/>
                <w:i w:val="0"/>
                <w:color w:val="404040"/>
                <w:sz w:val="19"/>
              </w:rPr>
              <w:t>Secondary trades are governed by LMA (Europe) or LSTA (US) standard documentation. After a trade is agreed, a transfer certificate is executed by the seller, buyer, and agent — legally transferring the commitment and updating the register.</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Settlement timeline: T+10 LMA standard (Europe), T+7 LSTA (US)</w:t>
            </w:r>
          </w:p>
        </w:tc>
        <w:tc>
          <w:tcPr>
            <w:tcW w:type="dxa" w:w="2340"/>
            <w:shd w:val="clear" w:color="auto" w:fill="FFFFFF"/>
          </w:tcPr>
          <w:p/>
          <w:p>
            <w:pPr>
              <w:jc w:val="left"/>
            </w:pPr>
            <w:r>
              <w:rPr>
                <w:rFonts w:ascii="Calibri" w:hAnsi="Calibri"/>
                <w:b w:val="0"/>
                <w:i w:val="0"/>
                <w:color w:val="404040"/>
                <w:sz w:val="19"/>
              </w:rPr>
              <w:t>Loan trade settlement is slower than bond settlement — typically T+7 to T+10 business days. During this period, interest and fees continue to accrue; settlement includes accrued interest adjustment between seller and buyer.</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CLOs as the dominant buyer: how CLOs absorb leveraged loan supply</w:t>
            </w:r>
          </w:p>
        </w:tc>
        <w:tc>
          <w:tcPr>
            <w:tcW w:type="dxa" w:w="2340"/>
            <w:shd w:val="clear" w:color="auto" w:fill="F5F6FA"/>
          </w:tcPr>
          <w:p/>
          <w:p>
            <w:pPr>
              <w:jc w:val="left"/>
            </w:pPr>
            <w:r>
              <w:rPr>
                <w:rFonts w:ascii="Calibri" w:hAnsi="Calibri"/>
                <w:b w:val="0"/>
                <w:i w:val="0"/>
                <w:color w:val="404040"/>
                <w:sz w:val="19"/>
              </w:rPr>
              <w:t>Collateralised loan obligations (CLOs) are the dominant buyers in the US and European leveraged loan markets, purchasing the majority of new TLB issuance. CLOs pool loans and issue tranched securities; their appetite drives secondary loan prices.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secondary market liquidity and its operational demands</w:t>
            </w:r>
          </w:p>
        </w:tc>
        <w:tc>
          <w:tcPr>
            <w:tcW w:type="dxa" w:w="2340"/>
            <w:shd w:val="clear" w:color="auto" w:fill="FFFFFF"/>
          </w:tcPr>
          <w:p/>
          <w:p>
            <w:pPr>
              <w:jc w:val="left"/>
            </w:pPr>
            <w:r>
              <w:rPr>
                <w:rFonts w:ascii="Calibri" w:hAnsi="Calibri"/>
                <w:b w:val="0"/>
                <w:i w:val="0"/>
                <w:color w:val="404040"/>
                <w:sz w:val="19"/>
              </w:rPr>
              <w:t>The secondary loan market requires robust operations: timely settlement, accurate accrued interest calculations, prompt agent notification, and meticulous record-keeping. Transfer failures delay borrower distributions and create regulatory exposure.</w:t>
            </w:r>
          </w:p>
        </w:tc>
        <w:tc>
          <w:tcPr>
            <w:tcW w:type="dxa" w:w="2340"/>
            <w:shd w:val="clear" w:color="auto" w:fill="FFFFFF"/>
          </w:tcPr>
          <w:p/>
          <w:p>
            <w:pPr>
              <w:jc w:val="center"/>
            </w:pPr>
            <w:r>
              <w:rPr>
                <w:rFonts w:ascii="Calibri" w:hAnsi="Calibri"/>
                <w:b w:val="0"/>
                <w:i w:val="0"/>
                <w:color w:val="404040"/>
                <w:sz w:val="19"/>
              </w:rPr>
              <w:t>30s</w:t>
            </w:r>
          </w:p>
        </w:tc>
      </w:tr>
    </w:tbl>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101C4F"/>
          </w:tcPr>
          <w:p/>
          <w:p>
            <w:pPr>
              <w:jc w:val="center"/>
            </w:pPr>
            <w:r>
              <w:rPr>
                <w:rFonts w:ascii="Calibri" w:hAnsi="Calibri"/>
                <w:b/>
                <w:i w:val="0"/>
                <w:color w:val="F0A800"/>
                <w:sz w:val="28"/>
              </w:rPr>
              <w:t>H12.6  ·  Loan Administration and Servicing</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1 of 3</w:t>
            </w:r>
          </w:p>
        </w:tc>
        <w:tc>
          <w:tcPr>
            <w:tcW w:type="dxa" w:w="4680"/>
            <w:shd w:val="clear" w:color="auto" w:fill="007A87"/>
          </w:tcPr>
          <w:p/>
          <w:p>
            <w:pPr>
              <w:jc w:val="right"/>
            </w:pPr>
            <w:r>
              <w:rPr>
                <w:rFonts w:ascii="Calibri" w:hAnsi="Calibri"/>
                <w:b/>
                <w:i w:val="0"/>
                <w:color w:val="FFFFFF"/>
                <w:sz w:val="22"/>
              </w:rPr>
              <w:t>H12.6  |  Setting Up a Loan Facility</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Checklist graphic: CPs satisfied → loan set up in system → lender confirmations sent</w:t>
            </w:r>
          </w:p>
        </w:tc>
        <w:tc>
          <w:tcPr>
            <w:tcW w:type="dxa" w:w="2340"/>
            <w:shd w:val="clear" w:color="auto" w:fill="F5F6FA"/>
          </w:tcPr>
          <w:p/>
          <w:p>
            <w:pPr>
              <w:jc w:val="left"/>
            </w:pPr>
            <w:r>
              <w:rPr>
                <w:rFonts w:ascii="Calibri" w:hAnsi="Calibri"/>
                <w:b w:val="0"/>
                <w:i w:val="0"/>
                <w:color w:val="404040"/>
                <w:sz w:val="19"/>
              </w:rPr>
              <w:t>Once conditions precedent are satisfied and the loan agreement is executed, operations set up the facility in the loan management system (LMS) — capturing all key commercial terms, party details, and payment schedules.</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Loan management system (LMS): key data fields captured at set-up</w:t>
            </w:r>
          </w:p>
        </w:tc>
        <w:tc>
          <w:tcPr>
            <w:tcW w:type="dxa" w:w="2340"/>
            <w:shd w:val="clear" w:color="auto" w:fill="FFFFFF"/>
          </w:tcPr>
          <w:p/>
          <w:p>
            <w:pPr>
              <w:jc w:val="left"/>
            </w:pPr>
            <w:r>
              <w:rPr>
                <w:rFonts w:ascii="Calibri" w:hAnsi="Calibri"/>
                <w:b w:val="0"/>
                <w:i w:val="0"/>
                <w:color w:val="404040"/>
                <w:sz w:val="19"/>
              </w:rPr>
              <w:t>The LMS must accurately record: facility type and amount, borrower and guarantor details, lender commitments and shares, interest rate basis, margin, fee rates, amortisation schedule, covenant testing dates, and maturity date.</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KYC/AML checks: the operations team's compliance gate</w:t>
            </w:r>
          </w:p>
        </w:tc>
        <w:tc>
          <w:tcPr>
            <w:tcW w:type="dxa" w:w="2340"/>
            <w:shd w:val="clear" w:color="auto" w:fill="F5F6FA"/>
          </w:tcPr>
          <w:p/>
          <w:p>
            <w:pPr>
              <w:jc w:val="left"/>
            </w:pPr>
            <w:r>
              <w:rPr>
                <w:rFonts w:ascii="Calibri" w:hAnsi="Calibri"/>
                <w:b w:val="0"/>
                <w:i w:val="0"/>
                <w:color w:val="404040"/>
                <w:sz w:val="19"/>
              </w:rPr>
              <w:t>Before a loan can fund, operations must confirm KYC (Know Your Customer) and AML (Anti-Money Laundering) checks are complete for the borrower and all guarantors. Funding without completed KYC is a significant compliance failure.</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Funding the first drawdown: mechanics of the settlement</w:t>
            </w:r>
          </w:p>
        </w:tc>
        <w:tc>
          <w:tcPr>
            <w:tcW w:type="dxa" w:w="2340"/>
            <w:shd w:val="clear" w:color="auto" w:fill="FFFFFF"/>
          </w:tcPr>
          <w:p/>
          <w:p>
            <w:pPr>
              <w:jc w:val="left"/>
            </w:pPr>
            <w:r>
              <w:rPr>
                <w:rFonts w:ascii="Calibri" w:hAnsi="Calibri"/>
                <w:b w:val="0"/>
                <w:i w:val="0"/>
                <w:color w:val="404040"/>
                <w:sz w:val="19"/>
              </w:rPr>
              <w:t>On the first drawdown, operations receives the utilisation request from the borrower, verifies it against the facility agreement (amount, currency, notice period), issues funding confirmations to lenders, and ensures cash is received in the agent's nostro account before disbursement.</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Setting up payment schedules: interest payment dates, fee payment dates</w:t>
            </w:r>
          </w:p>
        </w:tc>
        <w:tc>
          <w:tcPr>
            <w:tcW w:type="dxa" w:w="2340"/>
            <w:shd w:val="clear" w:color="auto" w:fill="F5F6FA"/>
          </w:tcPr>
          <w:p/>
          <w:p>
            <w:pPr>
              <w:jc w:val="left"/>
            </w:pPr>
            <w:r>
              <w:rPr>
                <w:rFonts w:ascii="Calibri" w:hAnsi="Calibri"/>
                <w:b w:val="0"/>
                <w:i w:val="0"/>
                <w:color w:val="404040"/>
                <w:sz w:val="19"/>
              </w:rPr>
              <w:t>The LMS generates scheduled payment reminders for each interest payment date, commitment fee payment date, and principal amortisation date — ensuring no payment is missed across a potentially complex multi-tranche facility.</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set-up accuracy is the foundation of clean administration</w:t>
            </w:r>
          </w:p>
        </w:tc>
        <w:tc>
          <w:tcPr>
            <w:tcW w:type="dxa" w:w="2340"/>
            <w:shd w:val="clear" w:color="auto" w:fill="FFFFFF"/>
          </w:tcPr>
          <w:p/>
          <w:p>
            <w:pPr>
              <w:jc w:val="left"/>
            </w:pPr>
            <w:r>
              <w:rPr>
                <w:rFonts w:ascii="Calibri" w:hAnsi="Calibri"/>
                <w:b w:val="0"/>
                <w:i w:val="0"/>
                <w:color w:val="404040"/>
                <w:sz w:val="19"/>
              </w:rPr>
              <w:t>Errors at the set-up stage cascade through the life of the loan — incorrect commitment shares cause payment shortfalls, wrong rate basis creates interest disputes, missing covenant dates trigger compliance breaches. Precision at day one is essential.</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2 of 3</w:t>
            </w:r>
          </w:p>
        </w:tc>
        <w:tc>
          <w:tcPr>
            <w:tcW w:type="dxa" w:w="4680"/>
            <w:shd w:val="clear" w:color="auto" w:fill="007A87"/>
          </w:tcPr>
          <w:p/>
          <w:p>
            <w:pPr>
              <w:jc w:val="right"/>
            </w:pPr>
            <w:r>
              <w:rPr>
                <w:rFonts w:ascii="Calibri" w:hAnsi="Calibri"/>
                <w:b/>
                <w:i w:val="0"/>
                <w:color w:val="FFFFFF"/>
                <w:sz w:val="22"/>
              </w:rPr>
              <w:t>H12.6  |  Interest Calculations and Payment Processing</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Interest mechanics: base rate + margin, day count convention, interest period</w:t>
            </w:r>
          </w:p>
        </w:tc>
        <w:tc>
          <w:tcPr>
            <w:tcW w:type="dxa" w:w="2340"/>
            <w:shd w:val="clear" w:color="auto" w:fill="F5F6FA"/>
          </w:tcPr>
          <w:p/>
          <w:p>
            <w:pPr>
              <w:jc w:val="left"/>
            </w:pPr>
            <w:r>
              <w:rPr>
                <w:rFonts w:ascii="Calibri" w:hAnsi="Calibri"/>
                <w:b w:val="0"/>
                <w:i w:val="0"/>
                <w:color w:val="404040"/>
                <w:sz w:val="19"/>
              </w:rPr>
              <w:t>Loan interest is calculated as: (outstanding principal × (base rate + margin) × day count fraction). The day count convention — typically Actual/360 or Actual/365 — determines the fraction of the year applied to each interest period.</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SOFR compounding: daily rate observation and compound interest calculation</w:t>
            </w:r>
          </w:p>
        </w:tc>
        <w:tc>
          <w:tcPr>
            <w:tcW w:type="dxa" w:w="2340"/>
            <w:shd w:val="clear" w:color="auto" w:fill="FFFFFF"/>
          </w:tcPr>
          <w:p/>
          <w:p>
            <w:pPr>
              <w:jc w:val="left"/>
            </w:pPr>
            <w:r>
              <w:rPr>
                <w:rFonts w:ascii="Calibri" w:hAnsi="Calibri"/>
                <w:b w:val="0"/>
                <w:i w:val="0"/>
                <w:color w:val="404040"/>
                <w:sz w:val="19"/>
              </w:rPr>
              <w:t>Under SOFR (and SONIA), interest accrues daily using a compounding methodology. The agent applies the daily rate to the running balance, compounds over the interest period, and calculates the total interest due at period end.</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Interest payment workflow: calculate → notify → collect from borrower → distribute to lenders</w:t>
            </w:r>
          </w:p>
        </w:tc>
        <w:tc>
          <w:tcPr>
            <w:tcW w:type="dxa" w:w="2340"/>
            <w:shd w:val="clear" w:color="auto" w:fill="F5F6FA"/>
          </w:tcPr>
          <w:p/>
          <w:p>
            <w:pPr>
              <w:jc w:val="left"/>
            </w:pPr>
            <w:r>
              <w:rPr>
                <w:rFonts w:ascii="Calibri" w:hAnsi="Calibri"/>
                <w:b w:val="0"/>
                <w:i w:val="0"/>
                <w:color w:val="404040"/>
                <w:sz w:val="19"/>
              </w:rPr>
              <w:t>The agent calculates interest, issues a payment notice to the borrower (typically 5 business days ahead), receives the payment on the due date, and distributes to each lender in proportion to their outstanding commitment — same day.</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PIK (Payment in Kind) interest: rolled-up interest and its accounting treatment</w:t>
            </w:r>
          </w:p>
        </w:tc>
        <w:tc>
          <w:tcPr>
            <w:tcW w:type="dxa" w:w="2340"/>
            <w:shd w:val="clear" w:color="auto" w:fill="FFFFFF"/>
          </w:tcPr>
          <w:p/>
          <w:p>
            <w:pPr>
              <w:jc w:val="left"/>
            </w:pPr>
            <w:r>
              <w:rPr>
                <w:rFonts w:ascii="Calibri" w:hAnsi="Calibri"/>
                <w:b w:val="0"/>
                <w:i w:val="0"/>
                <w:color w:val="404040"/>
                <w:sz w:val="19"/>
              </w:rPr>
              <w:t>Some mezzanine and high-yield instruments allow interest to be paid in kind — the interest is added to the principal balance rather than paid in cash. This compounds the borrower's debt but preserves cash flow for growing businesses.</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Default interest: rate uplift on overdue amounts</w:t>
            </w:r>
          </w:p>
        </w:tc>
        <w:tc>
          <w:tcPr>
            <w:tcW w:type="dxa" w:w="2340"/>
            <w:shd w:val="clear" w:color="auto" w:fill="F5F6FA"/>
          </w:tcPr>
          <w:p/>
          <w:p>
            <w:pPr>
              <w:jc w:val="left"/>
            </w:pPr>
            <w:r>
              <w:rPr>
                <w:rFonts w:ascii="Calibri" w:hAnsi="Calibri"/>
                <w:b w:val="0"/>
                <w:i w:val="0"/>
                <w:color w:val="404040"/>
                <w:sz w:val="19"/>
              </w:rPr>
              <w:t>If a borrower fails to make a payment, the overdue amount accrues default interest at a rate typically 1–2% above the normal loan rate. Operations must apply and track default interest from the due date until the arrears are cleared.</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interest processing accuracy — financial and reputational stakes</w:t>
            </w:r>
          </w:p>
        </w:tc>
        <w:tc>
          <w:tcPr>
            <w:tcW w:type="dxa" w:w="2340"/>
            <w:shd w:val="clear" w:color="auto" w:fill="FFFFFF"/>
          </w:tcPr>
          <w:p/>
          <w:p>
            <w:pPr>
              <w:jc w:val="left"/>
            </w:pPr>
            <w:r>
              <w:rPr>
                <w:rFonts w:ascii="Calibri" w:hAnsi="Calibri"/>
                <w:b w:val="0"/>
                <w:i w:val="0"/>
                <w:color w:val="404040"/>
                <w:sz w:val="19"/>
              </w:rPr>
              <w:t>Interest calculation errors are among the most common and costly operational mistakes in lending. An incorrect calculation affects every lender in the syndicate, triggers disputes, and can constitute a breach of the facility agreement.</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3 of 3</w:t>
            </w:r>
          </w:p>
        </w:tc>
        <w:tc>
          <w:tcPr>
            <w:tcW w:type="dxa" w:w="4680"/>
            <w:shd w:val="clear" w:color="auto" w:fill="007A87"/>
          </w:tcPr>
          <w:p/>
          <w:p>
            <w:pPr>
              <w:jc w:val="right"/>
            </w:pPr>
            <w:r>
              <w:rPr>
                <w:rFonts w:ascii="Calibri" w:hAnsi="Calibri"/>
                <w:b/>
                <w:i w:val="0"/>
                <w:color w:val="FFFFFF"/>
                <w:sz w:val="22"/>
              </w:rPr>
              <w:t>H12.6  |  Amendments, Waivers, and Consent Management</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Why amendments and waivers arise: changing business conditions</w:t>
            </w:r>
          </w:p>
        </w:tc>
        <w:tc>
          <w:tcPr>
            <w:tcW w:type="dxa" w:w="2340"/>
            <w:shd w:val="clear" w:color="auto" w:fill="F5F6FA"/>
          </w:tcPr>
          <w:p/>
          <w:p>
            <w:pPr>
              <w:jc w:val="left"/>
            </w:pPr>
            <w:r>
              <w:rPr>
                <w:rFonts w:ascii="Calibri" w:hAnsi="Calibri"/>
                <w:b w:val="0"/>
                <w:i w:val="0"/>
                <w:color w:val="404040"/>
                <w:sz w:val="19"/>
              </w:rPr>
              <w:t>Over the life of a loan, borrowers often need to modify the original facility terms — changing covenant levels, extending maturity, adding new lenders, or waiving a technical breach. These require formal consent from the lending syndicate.</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The consent process: majority vs. unanimous — what requires each</w:t>
            </w:r>
          </w:p>
        </w:tc>
        <w:tc>
          <w:tcPr>
            <w:tcW w:type="dxa" w:w="2340"/>
            <w:shd w:val="clear" w:color="auto" w:fill="FFFFFF"/>
          </w:tcPr>
          <w:p/>
          <w:p>
            <w:pPr>
              <w:jc w:val="left"/>
            </w:pPr>
            <w:r>
              <w:rPr>
                <w:rFonts w:ascii="Calibri" w:hAnsi="Calibri"/>
                <w:b w:val="0"/>
                <w:i w:val="0"/>
                <w:color w:val="404040"/>
                <w:sz w:val="19"/>
              </w:rPr>
              <w:t>Most amendments require majority lender consent (typically 66.67% by commitment). But certain reserved matters — interest rate changes, maturity extension, commitment increases, security release — require unanimous lender consent.</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Amendment and restatement agreement: full redocumentation</w:t>
            </w:r>
          </w:p>
        </w:tc>
        <w:tc>
          <w:tcPr>
            <w:tcW w:type="dxa" w:w="2340"/>
            <w:shd w:val="clear" w:color="auto" w:fill="F5F6FA"/>
          </w:tcPr>
          <w:p/>
          <w:p>
            <w:pPr>
              <w:jc w:val="left"/>
            </w:pPr>
            <w:r>
              <w:rPr>
                <w:rFonts w:ascii="Calibri" w:hAnsi="Calibri"/>
                <w:b w:val="0"/>
                <w:i w:val="0"/>
                <w:color w:val="404040"/>
                <w:sz w:val="19"/>
              </w:rPr>
              <w:t>Complex amendments may require a formal amendment and restatement of the facility agreement — creating a consolidated document reflecting all changes. This process involves legal counsel and must be executed by all parties.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Agent's role in consent rounds: polling lenders, collecting responses, notifying outcomes</w:t>
            </w:r>
          </w:p>
        </w:tc>
        <w:tc>
          <w:tcPr>
            <w:tcW w:type="dxa" w:w="2340"/>
            <w:shd w:val="clear" w:color="auto" w:fill="FFFFFF"/>
          </w:tcPr>
          <w:p/>
          <w:p>
            <w:pPr>
              <w:jc w:val="left"/>
            </w:pPr>
            <w:r>
              <w:rPr>
                <w:rFonts w:ascii="Calibri" w:hAnsi="Calibri"/>
                <w:b w:val="0"/>
                <w:i w:val="0"/>
                <w:color w:val="404040"/>
                <w:sz w:val="19"/>
              </w:rPr>
              <w:t>The agent manages the consent round: distributing the proposed amendment, collecting responses by a set deadline, calculating whether the required consent threshold has been reached, and notifying all parties of the outcome.</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Fee considerations: amendment fees, consent fees, extension fees</w:t>
            </w:r>
          </w:p>
        </w:tc>
        <w:tc>
          <w:tcPr>
            <w:tcW w:type="dxa" w:w="2340"/>
            <w:shd w:val="clear" w:color="auto" w:fill="F5F6FA"/>
          </w:tcPr>
          <w:p/>
          <w:p>
            <w:pPr>
              <w:jc w:val="left"/>
            </w:pPr>
            <w:r>
              <w:rPr>
                <w:rFonts w:ascii="Calibri" w:hAnsi="Calibri"/>
                <w:b w:val="0"/>
                <w:i w:val="0"/>
                <w:color w:val="404040"/>
                <w:sz w:val="19"/>
              </w:rPr>
              <w:t>Lenders typically receive a consent or amendment fee for agreeing to changes. This fee compensates them for the risk of amended terms and incentivises timely response. Operations must track and distribute fees correctly.</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consent management as a core agent bank competency</w:t>
            </w:r>
          </w:p>
        </w:tc>
        <w:tc>
          <w:tcPr>
            <w:tcW w:type="dxa" w:w="2340"/>
            <w:shd w:val="clear" w:color="auto" w:fill="FFFFFF"/>
          </w:tcPr>
          <w:p/>
          <w:p>
            <w:pPr>
              <w:jc w:val="left"/>
            </w:pPr>
            <w:r>
              <w:rPr>
                <w:rFonts w:ascii="Calibri" w:hAnsi="Calibri"/>
                <w:b w:val="0"/>
                <w:i w:val="0"/>
                <w:color w:val="404040"/>
                <w:sz w:val="19"/>
              </w:rPr>
              <w:t>Efficient amendment and waiver processing is a differentiator for leading agent banks. Slow or error-prone consent management damages borrower and lender relationships and can affect the bank's ability to win future mandates.</w:t>
            </w:r>
          </w:p>
        </w:tc>
        <w:tc>
          <w:tcPr>
            <w:tcW w:type="dxa" w:w="2340"/>
            <w:shd w:val="clear" w:color="auto" w:fill="FFFFFF"/>
          </w:tcPr>
          <w:p/>
          <w:p>
            <w:pPr>
              <w:jc w:val="center"/>
            </w:pPr>
            <w:r>
              <w:rPr>
                <w:rFonts w:ascii="Calibri" w:hAnsi="Calibri"/>
                <w:b w:val="0"/>
                <w:i w:val="0"/>
                <w:color w:val="404040"/>
                <w:sz w:val="19"/>
              </w:rPr>
              <w:t>30s</w:t>
            </w:r>
          </w:p>
        </w:tc>
      </w:tr>
    </w:tbl>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101C4F"/>
          </w:tcPr>
          <w:p/>
          <w:p>
            <w:pPr>
              <w:jc w:val="center"/>
            </w:pPr>
            <w:r>
              <w:rPr>
                <w:rFonts w:ascii="Calibri" w:hAnsi="Calibri"/>
                <w:b/>
                <w:i w:val="0"/>
                <w:color w:val="F0A800"/>
                <w:sz w:val="28"/>
              </w:rPr>
              <w:t>H12.7  ·  Collateral Management in Lending</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1 of 3</w:t>
            </w:r>
          </w:p>
        </w:tc>
        <w:tc>
          <w:tcPr>
            <w:tcW w:type="dxa" w:w="4680"/>
            <w:shd w:val="clear" w:color="auto" w:fill="007A87"/>
          </w:tcPr>
          <w:p/>
          <w:p>
            <w:pPr>
              <w:jc w:val="right"/>
            </w:pPr>
            <w:r>
              <w:rPr>
                <w:rFonts w:ascii="Calibri" w:hAnsi="Calibri"/>
                <w:b/>
                <w:i w:val="0"/>
                <w:color w:val="FFFFFF"/>
                <w:sz w:val="22"/>
              </w:rPr>
              <w:t>H12.7  |  Security Interests and Perfection</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Why collateral matters: recovery in the event of borrower default</w:t>
            </w:r>
          </w:p>
        </w:tc>
        <w:tc>
          <w:tcPr>
            <w:tcW w:type="dxa" w:w="2340"/>
            <w:shd w:val="clear" w:color="auto" w:fill="F5F6FA"/>
          </w:tcPr>
          <w:p/>
          <w:p>
            <w:pPr>
              <w:jc w:val="left"/>
            </w:pPr>
            <w:r>
              <w:rPr>
                <w:rFonts w:ascii="Calibri" w:hAnsi="Calibri"/>
                <w:b w:val="0"/>
                <w:i w:val="0"/>
                <w:color w:val="404040"/>
                <w:sz w:val="19"/>
              </w:rPr>
              <w:t>Secured lenders have priority over unsecured creditors in a borrower's insolvency. The quality of the security package — and how well it is perfected and maintained — directly determines lenders' recovery in a default scenario.</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Types of security: real estate mortgage, share pledge, floating charge, assignment of receivables</w:t>
            </w:r>
          </w:p>
        </w:tc>
        <w:tc>
          <w:tcPr>
            <w:tcW w:type="dxa" w:w="2340"/>
            <w:shd w:val="clear" w:color="auto" w:fill="FFFFFF"/>
          </w:tcPr>
          <w:p/>
          <w:p>
            <w:pPr>
              <w:jc w:val="left"/>
            </w:pPr>
            <w:r>
              <w:rPr>
                <w:rFonts w:ascii="Calibri" w:hAnsi="Calibri"/>
                <w:b w:val="0"/>
                <w:i w:val="0"/>
                <w:color w:val="404040"/>
                <w:sz w:val="19"/>
              </w:rPr>
              <w:t>Lenders take different forms of security depending on the borrower's assets: real property secured by a legal mortgage, company shares secured by a pledge, business assets covered by a floating charge, and future receivables by way of assignment.</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Perfection: registering security to make it enforceable against third parties</w:t>
            </w:r>
          </w:p>
        </w:tc>
        <w:tc>
          <w:tcPr>
            <w:tcW w:type="dxa" w:w="2340"/>
            <w:shd w:val="clear" w:color="auto" w:fill="F5F6FA"/>
          </w:tcPr>
          <w:p/>
          <w:p>
            <w:pPr>
              <w:jc w:val="left"/>
            </w:pPr>
            <w:r>
              <w:rPr>
                <w:rFonts w:ascii="Calibri" w:hAnsi="Calibri"/>
                <w:b w:val="0"/>
                <w:i w:val="0"/>
                <w:color w:val="404040"/>
                <w:sz w:val="19"/>
              </w:rPr>
              <w:t>A security interest must be 'perfected' to be legally enforceable. In England and Wales, charges over company assets must be registered at Companies House within 21 days. Unregistered security is void against liquidators and other creditors.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Security trustee: holding security for the benefit of all syndicate lenders</w:t>
            </w:r>
          </w:p>
        </w:tc>
        <w:tc>
          <w:tcPr>
            <w:tcW w:type="dxa" w:w="2340"/>
            <w:shd w:val="clear" w:color="auto" w:fill="FFFFFF"/>
          </w:tcPr>
          <w:p/>
          <w:p>
            <w:pPr>
              <w:jc w:val="left"/>
            </w:pPr>
            <w:r>
              <w:rPr>
                <w:rFonts w:ascii="Calibri" w:hAnsi="Calibri"/>
                <w:b w:val="0"/>
                <w:i w:val="0"/>
                <w:color w:val="404040"/>
                <w:sz w:val="19"/>
              </w:rPr>
              <w:t>In syndicated lending, the security trustee (often a separate entity from the facility agent) holds all security on behalf of the lenders. This avoids the need to re-register security each time a lender transfers their commitment in the secondary market.</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Cross-border security: jurisdiction-specific requirements</w:t>
            </w:r>
          </w:p>
        </w:tc>
        <w:tc>
          <w:tcPr>
            <w:tcW w:type="dxa" w:w="2340"/>
            <w:shd w:val="clear" w:color="auto" w:fill="F5F6FA"/>
          </w:tcPr>
          <w:p/>
          <w:p>
            <w:pPr>
              <w:jc w:val="left"/>
            </w:pPr>
            <w:r>
              <w:rPr>
                <w:rFonts w:ascii="Calibri" w:hAnsi="Calibri"/>
                <w:b w:val="0"/>
                <w:i w:val="0"/>
                <w:color w:val="404040"/>
                <w:sz w:val="19"/>
              </w:rPr>
              <w:t>Enforcing security across multiple jurisdictions requires separate legal advice in each country. A borrower with assets in France, Germany, and Poland requires local law security documents for each, adding significant complexity.</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robust security management protects lender recovery</w:t>
            </w:r>
          </w:p>
        </w:tc>
        <w:tc>
          <w:tcPr>
            <w:tcW w:type="dxa" w:w="2340"/>
            <w:shd w:val="clear" w:color="auto" w:fill="FFFFFF"/>
          </w:tcPr>
          <w:p/>
          <w:p>
            <w:pPr>
              <w:jc w:val="left"/>
            </w:pPr>
            <w:r>
              <w:rPr>
                <w:rFonts w:ascii="Calibri" w:hAnsi="Calibri"/>
                <w:b w:val="0"/>
                <w:i w:val="0"/>
                <w:color w:val="404040"/>
                <w:sz w:val="19"/>
              </w:rPr>
              <w:t>Operations teams must ensure security is correctly perfected, registered, and maintained throughout the loan's life. Any lapse — missed registration deadline, unsatisfied release condition — can render security unenforceable when it matters most.</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2 of 3</w:t>
            </w:r>
          </w:p>
        </w:tc>
        <w:tc>
          <w:tcPr>
            <w:tcW w:type="dxa" w:w="4680"/>
            <w:shd w:val="clear" w:color="auto" w:fill="007A87"/>
          </w:tcPr>
          <w:p/>
          <w:p>
            <w:pPr>
              <w:jc w:val="right"/>
            </w:pPr>
            <w:r>
              <w:rPr>
                <w:rFonts w:ascii="Calibri" w:hAnsi="Calibri"/>
                <w:b/>
                <w:i w:val="0"/>
                <w:color w:val="FFFFFF"/>
                <w:sz w:val="22"/>
              </w:rPr>
              <w:t>H12.7  |  Borrowing Base and Asset-Based Lending Controls</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Borrowing base concept: facility limit linked to eligible asset values</w:t>
            </w:r>
          </w:p>
        </w:tc>
        <w:tc>
          <w:tcPr>
            <w:tcW w:type="dxa" w:w="2340"/>
            <w:shd w:val="clear" w:color="auto" w:fill="F5F6FA"/>
          </w:tcPr>
          <w:p/>
          <w:p>
            <w:pPr>
              <w:jc w:val="left"/>
            </w:pPr>
            <w:r>
              <w:rPr>
                <w:rFonts w:ascii="Calibri" w:hAnsi="Calibri"/>
                <w:b w:val="0"/>
                <w:i w:val="0"/>
                <w:color w:val="404040"/>
                <w:sz w:val="19"/>
              </w:rPr>
              <w:t>In asset-based lending (ABL), the maximum amount a borrower can draw is determined by the 'borrowing base' — the sum of eligible receivables and inventory values after applying advance rates that reflect their realisability.</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Eligible receivables: what qualifies and advance rate calculation</w:t>
            </w:r>
          </w:p>
        </w:tc>
        <w:tc>
          <w:tcPr>
            <w:tcW w:type="dxa" w:w="2340"/>
            <w:shd w:val="clear" w:color="auto" w:fill="FFFFFF"/>
          </w:tcPr>
          <w:p/>
          <w:p>
            <w:pPr>
              <w:jc w:val="left"/>
            </w:pPr>
            <w:r>
              <w:rPr>
                <w:rFonts w:ascii="Calibri" w:hAnsi="Calibri"/>
                <w:b w:val="0"/>
                <w:i w:val="0"/>
                <w:color w:val="404040"/>
                <w:sz w:val="19"/>
              </w:rPr>
              <w:t>Not all receivables qualify. Overdue receivables, those from bankrupt debtors, concentrations above threshold, and government receivables may be excluded. Eligible receivables are typically advanced at 80–85% of face value.</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Inventory advance rates: raw materials vs. WIP vs. finished goods</w:t>
            </w:r>
          </w:p>
        </w:tc>
        <w:tc>
          <w:tcPr>
            <w:tcW w:type="dxa" w:w="2340"/>
            <w:shd w:val="clear" w:color="auto" w:fill="F5F6FA"/>
          </w:tcPr>
          <w:p/>
          <w:p>
            <w:pPr>
              <w:jc w:val="left"/>
            </w:pPr>
            <w:r>
              <w:rPr>
                <w:rFonts w:ascii="Calibri" w:hAnsi="Calibri"/>
                <w:b w:val="0"/>
                <w:i w:val="0"/>
                <w:color w:val="404040"/>
                <w:sz w:val="19"/>
              </w:rPr>
              <w:t>Inventory advance rates vary by type: finished goods command higher advances (e.g., 65%) because they are more realisable; work-in-progress and raw materials receive lower rates reflecting disposal complexity.</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Borrowing base certificate: frequency, content, verification</w:t>
            </w:r>
          </w:p>
        </w:tc>
        <w:tc>
          <w:tcPr>
            <w:tcW w:type="dxa" w:w="2340"/>
            <w:shd w:val="clear" w:color="auto" w:fill="FFFFFF"/>
          </w:tcPr>
          <w:p/>
          <w:p>
            <w:pPr>
              <w:jc w:val="left"/>
            </w:pPr>
            <w:r>
              <w:rPr>
                <w:rFonts w:ascii="Calibri" w:hAnsi="Calibri"/>
                <w:b w:val="0"/>
                <w:i w:val="0"/>
                <w:color w:val="404040"/>
                <w:sz w:val="19"/>
              </w:rPr>
              <w:t>The borrower submits a borrowing base certificate (BBC) — typically weekly or monthly — detailing eligible assets and calculating the available facility. The agent reviews and the bank's field examiners may audit the underlying data periodically.</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Over-advance situations: when the drawn amount exceeds the borrowing base</w:t>
            </w:r>
          </w:p>
        </w:tc>
        <w:tc>
          <w:tcPr>
            <w:tcW w:type="dxa" w:w="2340"/>
            <w:shd w:val="clear" w:color="auto" w:fill="F5F6FA"/>
          </w:tcPr>
          <w:p/>
          <w:p>
            <w:pPr>
              <w:jc w:val="left"/>
            </w:pPr>
            <w:r>
              <w:rPr>
                <w:rFonts w:ascii="Calibri" w:hAnsi="Calibri"/>
                <w:b w:val="0"/>
                <w:i w:val="0"/>
                <w:color w:val="404040"/>
                <w:sz w:val="19"/>
              </w:rPr>
              <w:t>If the borrowing base falls below the drawn amount (e.g., due to receivable ageing or inventory write-downs), the borrower is in an 'over-advance' position and must immediately repay the shortfall. Operations must detect and act promptly.</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borrowing base management as a continuous control process</w:t>
            </w:r>
          </w:p>
        </w:tc>
        <w:tc>
          <w:tcPr>
            <w:tcW w:type="dxa" w:w="2340"/>
            <w:shd w:val="clear" w:color="auto" w:fill="FFFFFF"/>
          </w:tcPr>
          <w:p/>
          <w:p>
            <w:pPr>
              <w:jc w:val="left"/>
            </w:pPr>
            <w:r>
              <w:rPr>
                <w:rFonts w:ascii="Calibri" w:hAnsi="Calibri"/>
                <w:b w:val="0"/>
                <w:i w:val="0"/>
                <w:color w:val="404040"/>
                <w:sz w:val="19"/>
              </w:rPr>
              <w:t>ABL operations require rigorous, frequent monitoring of the asset pool. Unlike investment grade lending, the facility limit is dynamic — it changes with the borrower's asset quality and requires active, often daily, operational oversight.</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3 of 3</w:t>
            </w:r>
          </w:p>
        </w:tc>
        <w:tc>
          <w:tcPr>
            <w:tcW w:type="dxa" w:w="4680"/>
            <w:shd w:val="clear" w:color="auto" w:fill="007A87"/>
          </w:tcPr>
          <w:p/>
          <w:p>
            <w:pPr>
              <w:jc w:val="right"/>
            </w:pPr>
            <w:r>
              <w:rPr>
                <w:rFonts w:ascii="Calibri" w:hAnsi="Calibri"/>
                <w:b/>
                <w:i w:val="0"/>
                <w:color w:val="FFFFFF"/>
                <w:sz w:val="22"/>
              </w:rPr>
              <w:t>H12.7  |  Collateral Valuation and Release</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Real estate valuations: RICS appraisals, LTV covenants, revaluation triggers</w:t>
            </w:r>
          </w:p>
        </w:tc>
        <w:tc>
          <w:tcPr>
            <w:tcW w:type="dxa" w:w="2340"/>
            <w:shd w:val="clear" w:color="auto" w:fill="F5F6FA"/>
          </w:tcPr>
          <w:p/>
          <w:p>
            <w:pPr>
              <w:jc w:val="left"/>
            </w:pPr>
            <w:r>
              <w:rPr>
                <w:rFonts w:ascii="Calibri" w:hAnsi="Calibri"/>
                <w:b w:val="0"/>
                <w:i w:val="0"/>
                <w:color w:val="404040"/>
                <w:sz w:val="19"/>
              </w:rPr>
              <w:t>Real property security must be regularly valued by independent RICS-qualified appraisers. LTV (loan-to-value) covenants specify the maximum ratio of outstanding loan to property value; breaches trigger cure obligations or cure events.</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Mark-to-market collateral: listed shares, bond portfolios, financial collateral</w:t>
            </w:r>
          </w:p>
        </w:tc>
        <w:tc>
          <w:tcPr>
            <w:tcW w:type="dxa" w:w="2340"/>
            <w:shd w:val="clear" w:color="auto" w:fill="FFFFFF"/>
          </w:tcPr>
          <w:p/>
          <w:p>
            <w:pPr>
              <w:jc w:val="left"/>
            </w:pPr>
            <w:r>
              <w:rPr>
                <w:rFonts w:ascii="Calibri" w:hAnsi="Calibri"/>
                <w:b w:val="0"/>
                <w:i w:val="0"/>
                <w:color w:val="404040"/>
                <w:sz w:val="19"/>
              </w:rPr>
              <w:t>Financial collateral (listed shares, bond portfolios pledged as security) is valued daily or weekly at market prices. If the value falls below a threshold relative to the loan, a margin call requires the borrower to top up.</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Negative pledge: contractual restriction on granting security to others</w:t>
            </w:r>
          </w:p>
        </w:tc>
        <w:tc>
          <w:tcPr>
            <w:tcW w:type="dxa" w:w="2340"/>
            <w:shd w:val="clear" w:color="auto" w:fill="F5F6FA"/>
          </w:tcPr>
          <w:p/>
          <w:p>
            <w:pPr>
              <w:jc w:val="left"/>
            </w:pPr>
            <w:r>
              <w:rPr>
                <w:rFonts w:ascii="Calibri" w:hAnsi="Calibri"/>
                <w:b w:val="0"/>
                <w:i w:val="0"/>
                <w:color w:val="404040"/>
                <w:sz w:val="19"/>
              </w:rPr>
              <w:t>A negative pledge covenant prevents the borrower from granting security to other creditors without existing lenders' consent. This protects the senior lenders' priority position and ensures the security package is not diluted.</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Security release: conditions for releasing collateral upon repayment or disposal</w:t>
            </w:r>
          </w:p>
        </w:tc>
        <w:tc>
          <w:tcPr>
            <w:tcW w:type="dxa" w:w="2340"/>
            <w:shd w:val="clear" w:color="auto" w:fill="FFFFFF"/>
          </w:tcPr>
          <w:p/>
          <w:p>
            <w:pPr>
              <w:jc w:val="left"/>
            </w:pPr>
            <w:r>
              <w:rPr>
                <w:rFonts w:ascii="Calibri" w:hAnsi="Calibri"/>
                <w:b w:val="0"/>
                <w:i w:val="0"/>
                <w:color w:val="404040"/>
                <w:sz w:val="19"/>
              </w:rPr>
              <w:t>Security is released when: the loan is fully repaid, specific secured assets are sold (provided the proceeds repay the relevant portion), or lenders consent to a security release as part of an amendment.</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Collateral management systems: tracking, valuation, and release automation</w:t>
            </w:r>
          </w:p>
        </w:tc>
        <w:tc>
          <w:tcPr>
            <w:tcW w:type="dxa" w:w="2340"/>
            <w:shd w:val="clear" w:color="auto" w:fill="F5F6FA"/>
          </w:tcPr>
          <w:p/>
          <w:p>
            <w:pPr>
              <w:jc w:val="left"/>
            </w:pPr>
            <w:r>
              <w:rPr>
                <w:rFonts w:ascii="Calibri" w:hAnsi="Calibri"/>
                <w:b w:val="0"/>
                <w:i w:val="0"/>
                <w:color w:val="404040"/>
                <w:sz w:val="19"/>
              </w:rPr>
              <w:t>Leading banks use dedicated collateral management platforms (e.g., Finastra Fusion, Solifi) that track security details, trigger valuation updates, calculate LTV compliance, and manage release workflows — reducing manual error.</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collateral management as a lifecycle control function</w:t>
            </w:r>
          </w:p>
        </w:tc>
        <w:tc>
          <w:tcPr>
            <w:tcW w:type="dxa" w:w="2340"/>
            <w:shd w:val="clear" w:color="auto" w:fill="FFFFFF"/>
          </w:tcPr>
          <w:p/>
          <w:p>
            <w:pPr>
              <w:jc w:val="left"/>
            </w:pPr>
            <w:r>
              <w:rPr>
                <w:rFonts w:ascii="Calibri" w:hAnsi="Calibri"/>
                <w:b w:val="0"/>
                <w:i w:val="0"/>
                <w:color w:val="404040"/>
                <w:sz w:val="19"/>
              </w:rPr>
              <w:t>From perfection at close through to release at maturity, collateral management requires active oversight. Operations teams must maintain accurate records of all security, trigger valuations, and manage releases correctly.</w:t>
            </w:r>
          </w:p>
        </w:tc>
        <w:tc>
          <w:tcPr>
            <w:tcW w:type="dxa" w:w="2340"/>
            <w:shd w:val="clear" w:color="auto" w:fill="FFFFFF"/>
          </w:tcPr>
          <w:p/>
          <w:p>
            <w:pPr>
              <w:jc w:val="center"/>
            </w:pPr>
            <w:r>
              <w:rPr>
                <w:rFonts w:ascii="Calibri" w:hAnsi="Calibri"/>
                <w:b w:val="0"/>
                <w:i w:val="0"/>
                <w:color w:val="404040"/>
                <w:sz w:val="19"/>
              </w:rPr>
              <w:t>30s</w:t>
            </w:r>
          </w:p>
        </w:tc>
      </w:tr>
    </w:tbl>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101C4F"/>
          </w:tcPr>
          <w:p/>
          <w:p>
            <w:pPr>
              <w:jc w:val="center"/>
            </w:pPr>
            <w:r>
              <w:rPr>
                <w:rFonts w:ascii="Calibri" w:hAnsi="Calibri"/>
                <w:b/>
                <w:i w:val="0"/>
                <w:color w:val="F0A800"/>
                <w:sz w:val="28"/>
              </w:rPr>
              <w:t>H12.8  ·  Distressed Debt and Loan Workouts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1 of 3</w:t>
            </w:r>
          </w:p>
        </w:tc>
        <w:tc>
          <w:tcPr>
            <w:tcW w:type="dxa" w:w="4680"/>
            <w:shd w:val="clear" w:color="auto" w:fill="007A87"/>
          </w:tcPr>
          <w:p/>
          <w:p>
            <w:pPr>
              <w:jc w:val="right"/>
            </w:pPr>
            <w:r>
              <w:rPr>
                <w:rFonts w:ascii="Calibri" w:hAnsi="Calibri"/>
                <w:b/>
                <w:i w:val="0"/>
                <w:color w:val="FFFFFF"/>
                <w:sz w:val="22"/>
              </w:rPr>
              <w:t>H12.8  |  Recognising Credit Deterioration</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Early warning signal dashboard: financial, operational, and market indicators</w:t>
            </w:r>
          </w:p>
        </w:tc>
        <w:tc>
          <w:tcPr>
            <w:tcW w:type="dxa" w:w="2340"/>
            <w:shd w:val="clear" w:color="auto" w:fill="F5F6FA"/>
          </w:tcPr>
          <w:p/>
          <w:p>
            <w:pPr>
              <w:jc w:val="left"/>
            </w:pPr>
            <w:r>
              <w:rPr>
                <w:rFonts w:ascii="Calibri" w:hAnsi="Calibri"/>
                <w:b w:val="0"/>
                <w:i w:val="0"/>
                <w:color w:val="404040"/>
                <w:sz w:val="19"/>
              </w:rPr>
              <w:t>Credit deterioration rarely happens overnight. Early warning signals include: covenant headroom erosion, late financial reporting, management changes, rising CDS spreads, secondary loan price decline, and deteriorating sector conditions.</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Covenant breach as a trigger: from waiver to formal restructuring</w:t>
            </w:r>
          </w:p>
        </w:tc>
        <w:tc>
          <w:tcPr>
            <w:tcW w:type="dxa" w:w="2340"/>
            <w:shd w:val="clear" w:color="auto" w:fill="FFFFFF"/>
          </w:tcPr>
          <w:p/>
          <w:p>
            <w:pPr>
              <w:jc w:val="left"/>
            </w:pPr>
            <w:r>
              <w:rPr>
                <w:rFonts w:ascii="Calibri" w:hAnsi="Calibri"/>
                <w:b w:val="0"/>
                <w:i w:val="0"/>
                <w:color w:val="404040"/>
                <w:sz w:val="19"/>
              </w:rPr>
              <w:t>A covenant breach is often the first formal trigger that brings lenders together. The borrower may request a waiver — agreeing to reset the covenant level or pay an amendment fee — or the breach may signal deeper financial stress requiring restructuring.</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IFRS 9 staging: Stage 1 → Stage 2 (significant increase in credit risk) → Stage 3 (credit-impaired)</w:t>
            </w:r>
          </w:p>
        </w:tc>
        <w:tc>
          <w:tcPr>
            <w:tcW w:type="dxa" w:w="2340"/>
            <w:shd w:val="clear" w:color="auto" w:fill="F5F6FA"/>
          </w:tcPr>
          <w:p/>
          <w:p>
            <w:pPr>
              <w:jc w:val="left"/>
            </w:pPr>
            <w:r>
              <w:rPr>
                <w:rFonts w:ascii="Calibri" w:hAnsi="Calibri"/>
                <w:b w:val="0"/>
                <w:i w:val="0"/>
                <w:color w:val="404040"/>
                <w:sz w:val="19"/>
              </w:rPr>
              <w:t>Under IFRS 9, banks must move loans through three stages as credit quality deteriorates. Stage 2 triggers a lifetime expected credit loss provision (vs. 12-month ECL in Stage 1); Stage 3 signals impairment and a specific provision.</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Non-performing loan (NPL) definition: 90 days past due or unlikely to pay</w:t>
            </w:r>
          </w:p>
        </w:tc>
        <w:tc>
          <w:tcPr>
            <w:tcW w:type="dxa" w:w="2340"/>
            <w:shd w:val="clear" w:color="auto" w:fill="FFFFFF"/>
          </w:tcPr>
          <w:p/>
          <w:p>
            <w:pPr>
              <w:jc w:val="left"/>
            </w:pPr>
            <w:r>
              <w:rPr>
                <w:rFonts w:ascii="Calibri" w:hAnsi="Calibri"/>
                <w:b w:val="0"/>
                <w:i w:val="0"/>
                <w:color w:val="404040"/>
                <w:sz w:val="19"/>
              </w:rPr>
              <w:t>Regulatory frameworks (EBA, Basel III) define a non-performing loan as one where: the borrower is 90+ days past due on any material obligation to the bank, or it is assessed as unlikely to repay without enforcement of collateral.</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Special situations / workout teams: when a loan is transferred to special handling</w:t>
            </w:r>
          </w:p>
        </w:tc>
        <w:tc>
          <w:tcPr>
            <w:tcW w:type="dxa" w:w="2340"/>
            <w:shd w:val="clear" w:color="auto" w:fill="F5F6FA"/>
          </w:tcPr>
          <w:p/>
          <w:p>
            <w:pPr>
              <w:jc w:val="left"/>
            </w:pPr>
            <w:r>
              <w:rPr>
                <w:rFonts w:ascii="Calibri" w:hAnsi="Calibri"/>
                <w:b w:val="0"/>
                <w:i w:val="0"/>
                <w:color w:val="404040"/>
                <w:sz w:val="19"/>
              </w:rPr>
              <w:t>When a loan deteriorates significantly, it is often transferred to the bank's special situations, restructuring, or workout team — specialists with experience in distressed debt negotiations, debt-for-equity swaps, and enforcement.</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early identification as the key to value preservation</w:t>
            </w:r>
          </w:p>
        </w:tc>
        <w:tc>
          <w:tcPr>
            <w:tcW w:type="dxa" w:w="2340"/>
            <w:shd w:val="clear" w:color="auto" w:fill="FFFFFF"/>
          </w:tcPr>
          <w:p/>
          <w:p>
            <w:pPr>
              <w:jc w:val="left"/>
            </w:pPr>
            <w:r>
              <w:rPr>
                <w:rFonts w:ascii="Calibri" w:hAnsi="Calibri"/>
                <w:b w:val="0"/>
                <w:i w:val="0"/>
                <w:color w:val="404040"/>
                <w:sz w:val="19"/>
              </w:rPr>
              <w:t>The earlier credit deterioration is identified, the more options lenders retain. Proactive monitoring, regular engagement with borrowers, and prompt escalation to specialist teams maximises lender recovery in distressed situations.</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2 of 3</w:t>
            </w:r>
          </w:p>
        </w:tc>
        <w:tc>
          <w:tcPr>
            <w:tcW w:type="dxa" w:w="4680"/>
            <w:shd w:val="clear" w:color="auto" w:fill="007A87"/>
          </w:tcPr>
          <w:p/>
          <w:p>
            <w:pPr>
              <w:jc w:val="right"/>
            </w:pPr>
            <w:r>
              <w:rPr>
                <w:rFonts w:ascii="Calibri" w:hAnsi="Calibri"/>
                <w:b/>
                <w:i w:val="0"/>
                <w:color w:val="FFFFFF"/>
                <w:sz w:val="22"/>
              </w:rPr>
              <w:t>H12.8  |  Loan Restructuring Options</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Out-of-court restructuring: amend and extend, debt-for-equity, haircut</w:t>
            </w:r>
          </w:p>
        </w:tc>
        <w:tc>
          <w:tcPr>
            <w:tcW w:type="dxa" w:w="2340"/>
            <w:shd w:val="clear" w:color="auto" w:fill="F5F6FA"/>
          </w:tcPr>
          <w:p/>
          <w:p>
            <w:pPr>
              <w:jc w:val="left"/>
            </w:pPr>
            <w:r>
              <w:rPr>
                <w:rFonts w:ascii="Calibri" w:hAnsi="Calibri"/>
                <w:b w:val="0"/>
                <w:i w:val="0"/>
                <w:color w:val="404040"/>
                <w:sz w:val="19"/>
              </w:rPr>
              <w:t>In an out-of-court restructuring, lenders and the borrower negotiate privately to modify the loan terms — extending maturity, reducing the interest rate or principal ('haircut'), or converting debt into equity in the business.</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Standstill agreement: freezing enforcement while restructuring is negotiated</w:t>
            </w:r>
          </w:p>
        </w:tc>
        <w:tc>
          <w:tcPr>
            <w:tcW w:type="dxa" w:w="2340"/>
            <w:shd w:val="clear" w:color="auto" w:fill="FFFFFF"/>
          </w:tcPr>
          <w:p/>
          <w:p>
            <w:pPr>
              <w:jc w:val="left"/>
            </w:pPr>
            <w:r>
              <w:rPr>
                <w:rFonts w:ascii="Calibri" w:hAnsi="Calibri"/>
                <w:b w:val="0"/>
                <w:i w:val="0"/>
                <w:color w:val="404040"/>
                <w:sz w:val="19"/>
              </w:rPr>
              <w:t>A standstill agreement is a temporary truce — lenders agree not to accelerate or enforce their security for a defined period while a restructuring is negotiated. This gives the borrower breathing room but requires lender coordination.</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Intercreditor dynamics: senior vs. junior lenders in distress</w:t>
            </w:r>
          </w:p>
        </w:tc>
        <w:tc>
          <w:tcPr>
            <w:tcW w:type="dxa" w:w="2340"/>
            <w:shd w:val="clear" w:color="auto" w:fill="F5F6FA"/>
          </w:tcPr>
          <w:p/>
          <w:p>
            <w:pPr>
              <w:jc w:val="left"/>
            </w:pPr>
            <w:r>
              <w:rPr>
                <w:rFonts w:ascii="Calibri" w:hAnsi="Calibri"/>
                <w:b w:val="0"/>
                <w:i w:val="0"/>
                <w:color w:val="404040"/>
                <w:sz w:val="19"/>
              </w:rPr>
              <w:t>In a leveraged capital structure, senior secured, second lien, mezzanine, and unsecured lenders have competing interests in a restructuring. The intercreditor agreement governs payment priorities, enforcement rights, and standstill obligations.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Debt-for-equity swap: converting loan claims into ownership</w:t>
            </w:r>
          </w:p>
        </w:tc>
        <w:tc>
          <w:tcPr>
            <w:tcW w:type="dxa" w:w="2340"/>
            <w:shd w:val="clear" w:color="auto" w:fill="FFFFFF"/>
          </w:tcPr>
          <w:p/>
          <w:p>
            <w:pPr>
              <w:jc w:val="left"/>
            </w:pPr>
            <w:r>
              <w:rPr>
                <w:rFonts w:ascii="Calibri" w:hAnsi="Calibri"/>
                <w:b w:val="0"/>
                <w:i w:val="0"/>
                <w:color w:val="404040"/>
                <w:sz w:val="19"/>
              </w:rPr>
              <w:t>In a debt-for-equity swap, some or all of the outstanding debt is cancelled in exchange for equity in the restructured business. Lenders become shareholders — accepting execution risk in exchange for potential upside from a business turnaround.</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UK restructuring plans and schemes of arrangement: court-sanctioned tools</w:t>
            </w:r>
          </w:p>
        </w:tc>
        <w:tc>
          <w:tcPr>
            <w:tcW w:type="dxa" w:w="2340"/>
            <w:shd w:val="clear" w:color="auto" w:fill="F5F6FA"/>
          </w:tcPr>
          <w:p/>
          <w:p>
            <w:pPr>
              <w:jc w:val="left"/>
            </w:pPr>
            <w:r>
              <w:rPr>
                <w:rFonts w:ascii="Calibri" w:hAnsi="Calibri"/>
                <w:b w:val="0"/>
                <w:i w:val="0"/>
                <w:color w:val="404040"/>
                <w:sz w:val="19"/>
              </w:rPr>
              <w:t>The UK Restructuring Plan (introduced 2020) and Scheme of Arrangement allow restructurings to be imposed on dissenting creditors if approved by the required threshold and sanctioned by the court — enabling 'cram-down' of holdout creditors.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restructuring as value preservation for all stakeholders</w:t>
            </w:r>
          </w:p>
        </w:tc>
        <w:tc>
          <w:tcPr>
            <w:tcW w:type="dxa" w:w="2340"/>
            <w:shd w:val="clear" w:color="auto" w:fill="FFFFFF"/>
          </w:tcPr>
          <w:p/>
          <w:p>
            <w:pPr>
              <w:jc w:val="left"/>
            </w:pPr>
            <w:r>
              <w:rPr>
                <w:rFonts w:ascii="Calibri" w:hAnsi="Calibri"/>
                <w:b w:val="0"/>
                <w:i w:val="0"/>
                <w:color w:val="404040"/>
                <w:sz w:val="19"/>
              </w:rPr>
              <w:t>A well-executed restructuring can preserve more value for lenders — and for the borrower's employees and creditors — than a rushed enforcement. Skilled negotiation, intercreditor cooperation, and creative structuring are key.</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3 of 3</w:t>
            </w:r>
          </w:p>
        </w:tc>
        <w:tc>
          <w:tcPr>
            <w:tcW w:type="dxa" w:w="4680"/>
            <w:shd w:val="clear" w:color="auto" w:fill="007A87"/>
          </w:tcPr>
          <w:p/>
          <w:p>
            <w:pPr>
              <w:jc w:val="right"/>
            </w:pPr>
            <w:r>
              <w:rPr>
                <w:rFonts w:ascii="Calibri" w:hAnsi="Calibri"/>
                <w:b/>
                <w:i w:val="0"/>
                <w:color w:val="FFFFFF"/>
                <w:sz w:val="22"/>
              </w:rPr>
              <w:t>H12.8  |  NPL Portfolios and Enforcement</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NPL portfolio management: hold, sell, or securitise</w:t>
            </w:r>
          </w:p>
        </w:tc>
        <w:tc>
          <w:tcPr>
            <w:tcW w:type="dxa" w:w="2340"/>
            <w:shd w:val="clear" w:color="auto" w:fill="F5F6FA"/>
          </w:tcPr>
          <w:p/>
          <w:p>
            <w:pPr>
              <w:jc w:val="left"/>
            </w:pPr>
            <w:r>
              <w:rPr>
                <w:rFonts w:ascii="Calibri" w:hAnsi="Calibri"/>
                <w:b w:val="0"/>
                <w:i w:val="0"/>
                <w:color w:val="404040"/>
                <w:sz w:val="19"/>
              </w:rPr>
              <w:t>Banks managing large NPL portfolios face three broad options: hold and work out loans individually (resource-intensive), sell the portfolio to specialist distressed debt funds at a discount, or securitise NPL exposures as ABS instruments.</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Distressed debt investors: hedge funds, private credit, vulture funds</w:t>
            </w:r>
          </w:p>
        </w:tc>
        <w:tc>
          <w:tcPr>
            <w:tcW w:type="dxa" w:w="2340"/>
            <w:shd w:val="clear" w:color="auto" w:fill="FFFFFF"/>
          </w:tcPr>
          <w:p/>
          <w:p>
            <w:pPr>
              <w:jc w:val="left"/>
            </w:pPr>
            <w:r>
              <w:rPr>
                <w:rFonts w:ascii="Calibri" w:hAnsi="Calibri"/>
                <w:b w:val="0"/>
                <w:i w:val="0"/>
                <w:color w:val="404040"/>
                <w:sz w:val="19"/>
              </w:rPr>
              <w:t>Specialist investors (often called 'vulture funds') purchase distressed loans at deep discounts, intending to recover more than they paid — either through a restructuring, enforcement of security, or selling the loan on at a higher price after stabilisation.</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Enforcement of security: LPA receiver, administration, liquidation</w:t>
            </w:r>
          </w:p>
        </w:tc>
        <w:tc>
          <w:tcPr>
            <w:tcW w:type="dxa" w:w="2340"/>
            <w:shd w:val="clear" w:color="auto" w:fill="F5F6FA"/>
          </w:tcPr>
          <w:p/>
          <w:p>
            <w:pPr>
              <w:jc w:val="left"/>
            </w:pPr>
            <w:r>
              <w:rPr>
                <w:rFonts w:ascii="Calibri" w:hAnsi="Calibri"/>
                <w:b w:val="0"/>
                <w:i w:val="0"/>
                <w:color w:val="404040"/>
                <w:sz w:val="19"/>
              </w:rPr>
              <w:t>If restructuring fails, lenders may enforce their security. In the UK, this can involve appointing a fixed charge receiver, a Law of Property Act (LPA) receiver, placing the company in administration, or (as a last resort) liquidation.</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Recovery rate analysis: senior secured vs. unsecured historical recoveries</w:t>
            </w:r>
          </w:p>
        </w:tc>
        <w:tc>
          <w:tcPr>
            <w:tcW w:type="dxa" w:w="2340"/>
            <w:shd w:val="clear" w:color="auto" w:fill="FFFFFF"/>
          </w:tcPr>
          <w:p/>
          <w:p>
            <w:pPr>
              <w:jc w:val="left"/>
            </w:pPr>
            <w:r>
              <w:rPr>
                <w:rFonts w:ascii="Calibri" w:hAnsi="Calibri"/>
                <w:b w:val="0"/>
                <w:i w:val="0"/>
                <w:color w:val="404040"/>
                <w:sz w:val="19"/>
              </w:rPr>
              <w:t>Historical data shows wide variation in recovery rates by seniority: senior secured lenders typically recover 70–90 cents on the dollar; unsecured creditors may recover 10–30 cents; equity usually receives nothing in insolvency.</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EU NPL Directive: regulatory pressure on bank NPL ratios</w:t>
            </w:r>
          </w:p>
        </w:tc>
        <w:tc>
          <w:tcPr>
            <w:tcW w:type="dxa" w:w="2340"/>
            <w:shd w:val="clear" w:color="auto" w:fill="F5F6FA"/>
          </w:tcPr>
          <w:p/>
          <w:p>
            <w:pPr>
              <w:jc w:val="left"/>
            </w:pPr>
            <w:r>
              <w:rPr>
                <w:rFonts w:ascii="Calibri" w:hAnsi="Calibri"/>
                <w:b w:val="0"/>
                <w:i w:val="0"/>
                <w:color w:val="404040"/>
                <w:sz w:val="19"/>
              </w:rPr>
              <w:t>Post-2008, European regulators have pushed banks hard to reduce NPL ratios. The EU NPL Directive (2021) standardised enforcement proceedings across member states and introduced minimum loss provisioning requirements for new NPLs.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enforcement as a last resort and the operations role</w:t>
            </w:r>
          </w:p>
        </w:tc>
        <w:tc>
          <w:tcPr>
            <w:tcW w:type="dxa" w:w="2340"/>
            <w:shd w:val="clear" w:color="auto" w:fill="FFFFFF"/>
          </w:tcPr>
          <w:p/>
          <w:p>
            <w:pPr>
              <w:jc w:val="left"/>
            </w:pPr>
            <w:r>
              <w:rPr>
                <w:rFonts w:ascii="Calibri" w:hAnsi="Calibri"/>
                <w:b w:val="0"/>
                <w:i w:val="0"/>
                <w:color w:val="404040"/>
                <w:sz w:val="19"/>
              </w:rPr>
              <w:t>Operations teams support enforcement by providing accurate loan records, outstanding balance calculations, default interest accruals, and security documentation to the bank's legal and enforcement teams. Accurate records are vital in any legal proceeding.</w:t>
            </w:r>
          </w:p>
        </w:tc>
        <w:tc>
          <w:tcPr>
            <w:tcW w:type="dxa" w:w="2340"/>
            <w:shd w:val="clear" w:color="auto" w:fill="FFFFFF"/>
          </w:tcPr>
          <w:p/>
          <w:p>
            <w:pPr>
              <w:jc w:val="center"/>
            </w:pPr>
            <w:r>
              <w:rPr>
                <w:rFonts w:ascii="Calibri" w:hAnsi="Calibri"/>
                <w:b w:val="0"/>
                <w:i w:val="0"/>
                <w:color w:val="404040"/>
                <w:sz w:val="19"/>
              </w:rPr>
              <w:t>30s</w:t>
            </w:r>
          </w:p>
        </w:tc>
      </w:tr>
    </w:tbl>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101C4F"/>
          </w:tcPr>
          <w:p/>
          <w:p>
            <w:pPr>
              <w:jc w:val="center"/>
            </w:pPr>
            <w:r>
              <w:rPr>
                <w:rFonts w:ascii="Calibri" w:hAnsi="Calibri"/>
                <w:b/>
                <w:i w:val="0"/>
                <w:color w:val="F0A800"/>
                <w:sz w:val="28"/>
              </w:rPr>
              <w:t>H12.9  ·  Regulatory Framework for Lending</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1 of 3</w:t>
            </w:r>
          </w:p>
        </w:tc>
        <w:tc>
          <w:tcPr>
            <w:tcW w:type="dxa" w:w="4680"/>
            <w:shd w:val="clear" w:color="auto" w:fill="007A87"/>
          </w:tcPr>
          <w:p/>
          <w:p>
            <w:pPr>
              <w:jc w:val="right"/>
            </w:pPr>
            <w:r>
              <w:rPr>
                <w:rFonts w:ascii="Calibri" w:hAnsi="Calibri"/>
                <w:b/>
                <w:i w:val="0"/>
                <w:color w:val="FFFFFF"/>
                <w:sz w:val="22"/>
              </w:rPr>
              <w:t>H12.9  |  Basel III Capital Requirements for Loans</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Basel III overview: pillar structure and capital hierarchy</w:t>
            </w:r>
          </w:p>
        </w:tc>
        <w:tc>
          <w:tcPr>
            <w:tcW w:type="dxa" w:w="2340"/>
            <w:shd w:val="clear" w:color="auto" w:fill="F5F6FA"/>
          </w:tcPr>
          <w:p/>
          <w:p>
            <w:pPr>
              <w:jc w:val="left"/>
            </w:pPr>
            <w:r>
              <w:rPr>
                <w:rFonts w:ascii="Calibri" w:hAnsi="Calibri"/>
                <w:b w:val="0"/>
                <w:i w:val="0"/>
                <w:color w:val="404040"/>
                <w:sz w:val="19"/>
              </w:rPr>
              <w:t>Basel III is the cornerstone of bank capital regulation. It requires banks to hold minimum capital — split into Common Equity Tier 1 (CET1), Additional Tier 1, and Tier 2 — sized to absorb unexpected losses from their loan portfolios.</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Risk-weighted assets (RWA): how loan type affects capital consumption</w:t>
            </w:r>
          </w:p>
        </w:tc>
        <w:tc>
          <w:tcPr>
            <w:tcW w:type="dxa" w:w="2340"/>
            <w:shd w:val="clear" w:color="auto" w:fill="FFFFFF"/>
          </w:tcPr>
          <w:p/>
          <w:p>
            <w:pPr>
              <w:jc w:val="left"/>
            </w:pPr>
            <w:r>
              <w:rPr>
                <w:rFonts w:ascii="Calibri" w:hAnsi="Calibri"/>
                <w:b w:val="0"/>
                <w:i w:val="0"/>
                <w:color w:val="404040"/>
                <w:sz w:val="19"/>
              </w:rPr>
              <w:t>Each loan is assigned a risk weight based on the borrower's credit quality — ranging from 20% for highly rated sovereign exposures to 150%+ for speculative-grade unsecured lending. Capital requirement = RWA × minimum capital ratio (8% under Basel III).</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Standardised approach vs. internal ratings-based (IRB) approach</w:t>
            </w:r>
          </w:p>
        </w:tc>
        <w:tc>
          <w:tcPr>
            <w:tcW w:type="dxa" w:w="2340"/>
            <w:shd w:val="clear" w:color="auto" w:fill="F5F6FA"/>
          </w:tcPr>
          <w:p/>
          <w:p>
            <w:pPr>
              <w:jc w:val="left"/>
            </w:pPr>
            <w:r>
              <w:rPr>
                <w:rFonts w:ascii="Calibri" w:hAnsi="Calibri"/>
                <w:b w:val="0"/>
                <w:i w:val="0"/>
                <w:color w:val="404040"/>
                <w:sz w:val="19"/>
              </w:rPr>
              <w:t>Under the standardised approach, banks use external rating agency grades (or regulatory buckets) to set risk weights. Under the advanced IRB approach, banks use their own internal models for PD, LGD, and EAD — typically resulting in lower but more nuanced capital requirements.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Leverage ratio: a non-risk-based backstop constraint on lending growth</w:t>
            </w:r>
          </w:p>
        </w:tc>
        <w:tc>
          <w:tcPr>
            <w:tcW w:type="dxa" w:w="2340"/>
            <w:shd w:val="clear" w:color="auto" w:fill="FFFFFF"/>
          </w:tcPr>
          <w:p/>
          <w:p>
            <w:pPr>
              <w:jc w:val="left"/>
            </w:pPr>
            <w:r>
              <w:rPr>
                <w:rFonts w:ascii="Calibri" w:hAnsi="Calibri"/>
                <w:b w:val="0"/>
                <w:i w:val="0"/>
                <w:color w:val="404040"/>
                <w:sz w:val="19"/>
              </w:rPr>
              <w:t>The leverage ratio — CET1 capital / total exposure — is a simple, non-risk-based limit preventing banks from becoming excessively leveraged irrespective of apparent risk weights. Under Basel III, minimum leverage ratio is 3% (higher for G-SIBs).</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Concentration limits: single-name, sector, and geographic limits</w:t>
            </w:r>
          </w:p>
        </w:tc>
        <w:tc>
          <w:tcPr>
            <w:tcW w:type="dxa" w:w="2340"/>
            <w:shd w:val="clear" w:color="auto" w:fill="F5F6FA"/>
          </w:tcPr>
          <w:p/>
          <w:p>
            <w:pPr>
              <w:jc w:val="left"/>
            </w:pPr>
            <w:r>
              <w:rPr>
                <w:rFonts w:ascii="Calibri" w:hAnsi="Calibri"/>
                <w:b w:val="0"/>
                <w:i w:val="0"/>
                <w:color w:val="404040"/>
                <w:sz w:val="19"/>
              </w:rPr>
              <w:t>Regulators and internal risk frameworks impose limits on credit concentration — the maximum exposure to a single borrower, industry sector, or country. These limits prevent a single default from causing catastrophic loss.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capital requirements drive lending economics and product design</w:t>
            </w:r>
          </w:p>
        </w:tc>
        <w:tc>
          <w:tcPr>
            <w:tcW w:type="dxa" w:w="2340"/>
            <w:shd w:val="clear" w:color="auto" w:fill="FFFFFF"/>
          </w:tcPr>
          <w:p/>
          <w:p>
            <w:pPr>
              <w:jc w:val="left"/>
            </w:pPr>
            <w:r>
              <w:rPr>
                <w:rFonts w:ascii="Calibri" w:hAnsi="Calibri"/>
                <w:b w:val="0"/>
                <w:i w:val="0"/>
                <w:color w:val="404040"/>
                <w:sz w:val="19"/>
              </w:rPr>
              <w:t>The Basel framework is not just a compliance exercise — it shapes what loans banks choose to originate, what pricing is needed to earn an adequate return on capital, and how loan portfolios are structured and distributed.</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2 of 3</w:t>
            </w:r>
          </w:p>
        </w:tc>
        <w:tc>
          <w:tcPr>
            <w:tcW w:type="dxa" w:w="4680"/>
            <w:shd w:val="clear" w:color="auto" w:fill="007A87"/>
          </w:tcPr>
          <w:p/>
          <w:p>
            <w:pPr>
              <w:jc w:val="right"/>
            </w:pPr>
            <w:r>
              <w:rPr>
                <w:rFonts w:ascii="Calibri" w:hAnsi="Calibri"/>
                <w:b/>
                <w:i w:val="0"/>
                <w:color w:val="FFFFFF"/>
                <w:sz w:val="22"/>
              </w:rPr>
              <w:t>H12.9  |  IFRS 9 and Loan Loss Provisioning</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IFRS 9 overview: the shift from incurred to expected credit loss model</w:t>
            </w:r>
          </w:p>
        </w:tc>
        <w:tc>
          <w:tcPr>
            <w:tcW w:type="dxa" w:w="2340"/>
            <w:shd w:val="clear" w:color="auto" w:fill="F5F6FA"/>
          </w:tcPr>
          <w:p/>
          <w:p>
            <w:pPr>
              <w:jc w:val="left"/>
            </w:pPr>
            <w:r>
              <w:rPr>
                <w:rFonts w:ascii="Calibri" w:hAnsi="Calibri"/>
                <w:b w:val="0"/>
                <w:i w:val="0"/>
                <w:color w:val="404040"/>
                <w:sz w:val="19"/>
              </w:rPr>
              <w:t>IFRS 9 (effective 2018) replaced the IAS 39 'incurred loss' model with an 'expected credit loss' (ECL) model — requiring banks to provision for potential future losses from the moment a loan is originated, not only when losses become probable.</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Three-stage model: staging criteria and ECL calculation</w:t>
            </w:r>
          </w:p>
        </w:tc>
        <w:tc>
          <w:tcPr>
            <w:tcW w:type="dxa" w:w="2340"/>
            <w:shd w:val="clear" w:color="auto" w:fill="FFFFFF"/>
          </w:tcPr>
          <w:p/>
          <w:p>
            <w:pPr>
              <w:jc w:val="left"/>
            </w:pPr>
            <w:r>
              <w:rPr>
                <w:rFonts w:ascii="Calibri" w:hAnsi="Calibri"/>
                <w:b w:val="0"/>
                <w:i w:val="0"/>
                <w:color w:val="404040"/>
                <w:sz w:val="19"/>
              </w:rPr>
              <w:t>Under IFRS 9's three-stage model: Stage 1 (performing) uses 12-month ECL; Stage 2 (significant credit risk increase) uses lifetime ECL; Stage 3 (credit-impaired) uses lifetime ECL with interest accrual on net carrying amount.</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PD, LGD, EAD: the building blocks of ECL calculation</w:t>
            </w:r>
          </w:p>
        </w:tc>
        <w:tc>
          <w:tcPr>
            <w:tcW w:type="dxa" w:w="2340"/>
            <w:shd w:val="clear" w:color="auto" w:fill="F5F6FA"/>
          </w:tcPr>
          <w:p/>
          <w:p>
            <w:pPr>
              <w:jc w:val="left"/>
            </w:pPr>
            <w:r>
              <w:rPr>
                <w:rFonts w:ascii="Calibri" w:hAnsi="Calibri"/>
                <w:b w:val="0"/>
                <w:i w:val="0"/>
                <w:color w:val="404040"/>
                <w:sz w:val="19"/>
              </w:rPr>
              <w:t>ECL = PD × LGD × EAD. Probability of Default (PD) measures likelihood of borrower failure; Loss Given Default (LGD) estimates losses net of recovery; Exposure at Default (EAD) estimates the outstanding balance at default. Operations data feeds these models.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Forward-looking information: macro scenarios in ECL models</w:t>
            </w:r>
          </w:p>
        </w:tc>
        <w:tc>
          <w:tcPr>
            <w:tcW w:type="dxa" w:w="2340"/>
            <w:shd w:val="clear" w:color="auto" w:fill="FFFFFF"/>
          </w:tcPr>
          <w:p/>
          <w:p>
            <w:pPr>
              <w:jc w:val="left"/>
            </w:pPr>
            <w:r>
              <w:rPr>
                <w:rFonts w:ascii="Calibri" w:hAnsi="Calibri"/>
                <w:b w:val="0"/>
                <w:i w:val="0"/>
                <w:color w:val="404040"/>
                <w:sz w:val="19"/>
              </w:rPr>
              <w:t>IFRS 9 requires banks to incorporate forward-looking macroeconomic information (GDP forecasts, unemployment, house prices) into ECL models. Provisions must reflect multiple economic scenarios probability-weighted to reflect uncertainty.</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Overlay provisions: management judgement over model outputs</w:t>
            </w:r>
          </w:p>
        </w:tc>
        <w:tc>
          <w:tcPr>
            <w:tcW w:type="dxa" w:w="2340"/>
            <w:shd w:val="clear" w:color="auto" w:fill="F5F6FA"/>
          </w:tcPr>
          <w:p/>
          <w:p>
            <w:pPr>
              <w:jc w:val="left"/>
            </w:pPr>
            <w:r>
              <w:rPr>
                <w:rFonts w:ascii="Calibri" w:hAnsi="Calibri"/>
                <w:b w:val="0"/>
                <w:i w:val="0"/>
                <w:color w:val="404040"/>
                <w:sz w:val="19"/>
              </w:rPr>
              <w:t>In periods of high uncertainty (COVID-19, energy crisis), model outputs may underestimate risk. Banks apply management overlays — additional top-up provisions — to reflect risks not fully captured by historical model parameters.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IFRS 9 and its operational implications for loan teams</w:t>
            </w:r>
          </w:p>
        </w:tc>
        <w:tc>
          <w:tcPr>
            <w:tcW w:type="dxa" w:w="2340"/>
            <w:shd w:val="clear" w:color="auto" w:fill="FFFFFF"/>
          </w:tcPr>
          <w:p/>
          <w:p>
            <w:pPr>
              <w:jc w:val="left"/>
            </w:pPr>
            <w:r>
              <w:rPr>
                <w:rFonts w:ascii="Calibri" w:hAnsi="Calibri"/>
                <w:b w:val="0"/>
                <w:i w:val="0"/>
                <w:color w:val="404040"/>
                <w:sz w:val="19"/>
              </w:rPr>
              <w:t>Accurate loan administration data — outstanding balances, payment history, covenant compliance, security values — feeds directly into the bank's IFRS 9 models. Operations quality has a direct impact on the accuracy of reported provisions and profit.</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3 of 3</w:t>
            </w:r>
          </w:p>
        </w:tc>
        <w:tc>
          <w:tcPr>
            <w:tcW w:type="dxa" w:w="4680"/>
            <w:shd w:val="clear" w:color="auto" w:fill="007A87"/>
          </w:tcPr>
          <w:p/>
          <w:p>
            <w:pPr>
              <w:jc w:val="right"/>
            </w:pPr>
            <w:r>
              <w:rPr>
                <w:rFonts w:ascii="Calibri" w:hAnsi="Calibri"/>
                <w:b/>
                <w:i w:val="0"/>
                <w:color w:val="FFFFFF"/>
                <w:sz w:val="22"/>
              </w:rPr>
              <w:t>H12.9  |  AML, KYC, and Lending Compliance</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KYC in lending: customer due diligence (CDD) requirements</w:t>
            </w:r>
          </w:p>
        </w:tc>
        <w:tc>
          <w:tcPr>
            <w:tcW w:type="dxa" w:w="2340"/>
            <w:shd w:val="clear" w:color="auto" w:fill="F5F6FA"/>
          </w:tcPr>
          <w:p/>
          <w:p>
            <w:pPr>
              <w:jc w:val="left"/>
            </w:pPr>
            <w:r>
              <w:rPr>
                <w:rFonts w:ascii="Calibri" w:hAnsi="Calibri"/>
                <w:b w:val="0"/>
                <w:i w:val="0"/>
                <w:color w:val="404040"/>
                <w:sz w:val="19"/>
              </w:rPr>
              <w:t>Every loan borrower must undergo Know Your Customer (KYC) due diligence before funding. For corporate borrowers this includes: identity verification, UBO (ultimate beneficial owner) identification, source of funds, and AML screening.</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UBO register: identifying the real people behind the borrower</w:t>
            </w:r>
          </w:p>
        </w:tc>
        <w:tc>
          <w:tcPr>
            <w:tcW w:type="dxa" w:w="2340"/>
            <w:shd w:val="clear" w:color="auto" w:fill="FFFFFF"/>
          </w:tcPr>
          <w:p/>
          <w:p>
            <w:pPr>
              <w:jc w:val="left"/>
            </w:pPr>
            <w:r>
              <w:rPr>
                <w:rFonts w:ascii="Calibri" w:hAnsi="Calibri"/>
                <w:b w:val="0"/>
                <w:i w:val="0"/>
                <w:color w:val="404040"/>
                <w:sz w:val="19"/>
              </w:rPr>
              <w:t>Regulators require banks to identify the ultimate beneficial owners of corporate borrowers — the individuals who ultimately control or benefit from the entity. This prevents illicit funds being channelled through complex corporate structures.</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Periodic KYC refresh: maintaining up-to-date due diligence records</w:t>
            </w:r>
          </w:p>
        </w:tc>
        <w:tc>
          <w:tcPr>
            <w:tcW w:type="dxa" w:w="2340"/>
            <w:shd w:val="clear" w:color="auto" w:fill="F5F6FA"/>
          </w:tcPr>
          <w:p/>
          <w:p>
            <w:pPr>
              <w:jc w:val="left"/>
            </w:pPr>
            <w:r>
              <w:rPr>
                <w:rFonts w:ascii="Calibri" w:hAnsi="Calibri"/>
                <w:b w:val="0"/>
                <w:i w:val="0"/>
                <w:color w:val="404040"/>
                <w:sz w:val="19"/>
              </w:rPr>
              <w:t>KYC is not a one-time exercise. Banks must refresh borrower due diligence periodically (typically every 1–3 years for standard risk, annually for high-risk borrowers), triggered by key events such as ownership changes or sanctions screening hits.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Sanctions screening: OFAC, EU, UN lists — daily screening requirements</w:t>
            </w:r>
          </w:p>
        </w:tc>
        <w:tc>
          <w:tcPr>
            <w:tcW w:type="dxa" w:w="2340"/>
            <w:shd w:val="clear" w:color="auto" w:fill="FFFFFF"/>
          </w:tcPr>
          <w:p/>
          <w:p>
            <w:pPr>
              <w:jc w:val="left"/>
            </w:pPr>
            <w:r>
              <w:rPr>
                <w:rFonts w:ascii="Calibri" w:hAnsi="Calibri"/>
                <w:b w:val="0"/>
                <w:i w:val="0"/>
                <w:color w:val="404040"/>
                <w:sz w:val="19"/>
              </w:rPr>
              <w:t>All borrowers, guarantors, and key counterparties must be screened against current sanctions lists (OFAC, EU, UN, HM Treasury). Operations teams perform initial and ongoing screening; hits must be escalated to compliance immediately.</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CRS and FATCA: tax information reporting on loans</w:t>
            </w:r>
          </w:p>
        </w:tc>
        <w:tc>
          <w:tcPr>
            <w:tcW w:type="dxa" w:w="2340"/>
            <w:shd w:val="clear" w:color="auto" w:fill="F5F6FA"/>
          </w:tcPr>
          <w:p/>
          <w:p>
            <w:pPr>
              <w:jc w:val="left"/>
            </w:pPr>
            <w:r>
              <w:rPr>
                <w:rFonts w:ascii="Calibri" w:hAnsi="Calibri"/>
                <w:b w:val="0"/>
                <w:i w:val="0"/>
                <w:color w:val="404040"/>
                <w:sz w:val="19"/>
              </w:rPr>
              <w:t>Common Reporting Standard (CRS) and FATCA require banks to identify whether loan borrowers or beneficial owners are tax residents of reportable jurisdictions and report relevant financial account information to tax authorities.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compliance obligations as non-negotiable operational requirements</w:t>
            </w:r>
          </w:p>
        </w:tc>
        <w:tc>
          <w:tcPr>
            <w:tcW w:type="dxa" w:w="2340"/>
            <w:shd w:val="clear" w:color="auto" w:fill="FFFFFF"/>
          </w:tcPr>
          <w:p/>
          <w:p>
            <w:pPr>
              <w:jc w:val="left"/>
            </w:pPr>
            <w:r>
              <w:rPr>
                <w:rFonts w:ascii="Calibri" w:hAnsi="Calibri"/>
                <w:b w:val="0"/>
                <w:i w:val="0"/>
                <w:color w:val="404040"/>
                <w:sz w:val="19"/>
              </w:rPr>
              <w:t>KYC, AML, and sanctions compliance are non-negotiable. Regulatory fines for lending compliance failures run into hundreds of millions; reputational damage can be irreparable. Operations teams are a critical line of defence.</w:t>
            </w:r>
          </w:p>
        </w:tc>
        <w:tc>
          <w:tcPr>
            <w:tcW w:type="dxa" w:w="2340"/>
            <w:shd w:val="clear" w:color="auto" w:fill="FFFFFF"/>
          </w:tcPr>
          <w:p/>
          <w:p>
            <w:pPr>
              <w:jc w:val="center"/>
            </w:pPr>
            <w:r>
              <w:rPr>
                <w:rFonts w:ascii="Calibri" w:hAnsi="Calibri"/>
                <w:b w:val="0"/>
                <w:i w:val="0"/>
                <w:color w:val="404040"/>
                <w:sz w:val="19"/>
              </w:rPr>
              <w:t>30s</w:t>
            </w:r>
          </w:p>
        </w:tc>
      </w:tr>
    </w:tbl>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101C4F"/>
          </w:tcPr>
          <w:p/>
          <w:p>
            <w:pPr>
              <w:jc w:val="center"/>
            </w:pPr>
            <w:r>
              <w:rPr>
                <w:rFonts w:ascii="Calibri" w:hAnsi="Calibri"/>
                <w:b/>
                <w:i w:val="0"/>
                <w:color w:val="F0A800"/>
                <w:sz w:val="28"/>
              </w:rPr>
              <w:t>H12.10  ·  Technology in Lending Operations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1 of 3</w:t>
            </w:r>
          </w:p>
        </w:tc>
        <w:tc>
          <w:tcPr>
            <w:tcW w:type="dxa" w:w="4680"/>
            <w:shd w:val="clear" w:color="auto" w:fill="007A87"/>
          </w:tcPr>
          <w:p/>
          <w:p>
            <w:pPr>
              <w:jc w:val="right"/>
            </w:pPr>
            <w:r>
              <w:rPr>
                <w:rFonts w:ascii="Calibri" w:hAnsi="Calibri"/>
                <w:b/>
                <w:i w:val="0"/>
                <w:color w:val="FFFFFF"/>
                <w:sz w:val="22"/>
              </w:rPr>
              <w:t>H12.10  |  Loan Management Systems</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LMS landscape: Finastra Fusion Loan IQ, nCino, Temenos, Nucleus, Solifi</w:t>
            </w:r>
          </w:p>
        </w:tc>
        <w:tc>
          <w:tcPr>
            <w:tcW w:type="dxa" w:w="2340"/>
            <w:shd w:val="clear" w:color="auto" w:fill="F5F6FA"/>
          </w:tcPr>
          <w:p/>
          <w:p>
            <w:pPr>
              <w:jc w:val="left"/>
            </w:pPr>
            <w:r>
              <w:rPr>
                <w:rFonts w:ascii="Calibri" w:hAnsi="Calibri"/>
                <w:b w:val="0"/>
                <w:i w:val="0"/>
                <w:color w:val="404040"/>
                <w:sz w:val="19"/>
              </w:rPr>
              <w:t>Loan management systems are the core technology platforms for lending operations. Leading platforms include Finastra's Fusion Loan IQ (dominant in syndicated lending), nCino (cloud-native, US community banks), and Temenos for retail/SME lending.</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Core LMS functions: deal set-up, payment processing, rate calculation, reporting</w:t>
            </w:r>
          </w:p>
        </w:tc>
        <w:tc>
          <w:tcPr>
            <w:tcW w:type="dxa" w:w="2340"/>
            <w:shd w:val="clear" w:color="auto" w:fill="FFFFFF"/>
          </w:tcPr>
          <w:p/>
          <w:p>
            <w:pPr>
              <w:jc w:val="left"/>
            </w:pPr>
            <w:r>
              <w:rPr>
                <w:rFonts w:ascii="Calibri" w:hAnsi="Calibri"/>
                <w:b w:val="0"/>
                <w:i w:val="0"/>
                <w:color w:val="404040"/>
                <w:sz w:val="19"/>
              </w:rPr>
              <w:t>A modern LMS handles the full loan lifecycle: deal and facility set-up, drawdown processing, interest and fee calculations, payment distribution, amendment processing, covenant tracking, and regulatory reporting feeds.</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Loan IQ deep dive: the industry standard for syndicated loan operations</w:t>
            </w:r>
          </w:p>
        </w:tc>
        <w:tc>
          <w:tcPr>
            <w:tcW w:type="dxa" w:w="2340"/>
            <w:shd w:val="clear" w:color="auto" w:fill="F5F6FA"/>
          </w:tcPr>
          <w:p/>
          <w:p>
            <w:pPr>
              <w:jc w:val="left"/>
            </w:pPr>
            <w:r>
              <w:rPr>
                <w:rFonts w:ascii="Calibri" w:hAnsi="Calibri"/>
                <w:b w:val="0"/>
                <w:i w:val="0"/>
                <w:color w:val="404040"/>
                <w:sz w:val="19"/>
              </w:rPr>
              <w:t>Finastra's Fusion Loan IQ is the dominant platform for syndicated loans globally. It supports complex multi-tranche, multi-currency facilities; SOFR compounding; secondary market transfers; and integration with DTCC's Loan/SERV service.</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DTCC Loan/SERV: automating loan payment matching and reconciliation</w:t>
            </w:r>
          </w:p>
        </w:tc>
        <w:tc>
          <w:tcPr>
            <w:tcW w:type="dxa" w:w="2340"/>
            <w:shd w:val="clear" w:color="auto" w:fill="FFFFFF"/>
          </w:tcPr>
          <w:p/>
          <w:p>
            <w:pPr>
              <w:jc w:val="left"/>
            </w:pPr>
            <w:r>
              <w:rPr>
                <w:rFonts w:ascii="Calibri" w:hAnsi="Calibri"/>
                <w:b w:val="0"/>
                <w:i w:val="0"/>
                <w:color w:val="404040"/>
                <w:sz w:val="19"/>
              </w:rPr>
              <w:t>DTCC's Loan/SERV platform provides automated payment notification and matching between agent banks and lenders on syndicated loans. It reduces manual reconciliation effort and speeds up lender payment confirmation.</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Data quality challenges: ISIN-equivalent for loans — CUSIP and LIN</w:t>
            </w:r>
          </w:p>
        </w:tc>
        <w:tc>
          <w:tcPr>
            <w:tcW w:type="dxa" w:w="2340"/>
            <w:shd w:val="clear" w:color="auto" w:fill="F5F6FA"/>
          </w:tcPr>
          <w:p/>
          <w:p>
            <w:pPr>
              <w:jc w:val="left"/>
            </w:pPr>
            <w:r>
              <w:rPr>
                <w:rFonts w:ascii="Calibri" w:hAnsi="Calibri"/>
                <w:b w:val="0"/>
                <w:i w:val="0"/>
                <w:color w:val="404040"/>
                <w:sz w:val="19"/>
              </w:rPr>
              <w:t>Unlike bonds, loans lack a universal identification standard. In the US, loans use CUSIP numbers; in Europe, the Loan Identifier Number (LIN) is emerging. Inconsistent identifiers create reconciliation challenges across systems.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the LMS as the operational heart of lending</w:t>
            </w:r>
          </w:p>
        </w:tc>
        <w:tc>
          <w:tcPr>
            <w:tcW w:type="dxa" w:w="2340"/>
            <w:shd w:val="clear" w:color="auto" w:fill="FFFFFF"/>
          </w:tcPr>
          <w:p/>
          <w:p>
            <w:pPr>
              <w:jc w:val="left"/>
            </w:pPr>
            <w:r>
              <w:rPr>
                <w:rFonts w:ascii="Calibri" w:hAnsi="Calibri"/>
                <w:b w:val="0"/>
                <w:i w:val="0"/>
                <w:color w:val="404040"/>
                <w:sz w:val="19"/>
              </w:rPr>
              <w:t>A reliable, accurate LMS is indispensable for lending operations. System downtime, data errors, or interface failures can prevent timely loan funding, cause payment failures, and result in regulatory and financial penalties.</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2 of 3</w:t>
            </w:r>
          </w:p>
        </w:tc>
        <w:tc>
          <w:tcPr>
            <w:tcW w:type="dxa" w:w="4680"/>
            <w:shd w:val="clear" w:color="auto" w:fill="007A87"/>
          </w:tcPr>
          <w:p/>
          <w:p>
            <w:pPr>
              <w:jc w:val="right"/>
            </w:pPr>
            <w:r>
              <w:rPr>
                <w:rFonts w:ascii="Calibri" w:hAnsi="Calibri"/>
                <w:b/>
                <w:i w:val="0"/>
                <w:color w:val="FFFFFF"/>
                <w:sz w:val="22"/>
              </w:rPr>
              <w:t>H12.10  |  Digitalisation and Automation in Lending</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Digital loan origination: e-signatures, online portals, API-driven credit decisioning</w:t>
            </w:r>
          </w:p>
        </w:tc>
        <w:tc>
          <w:tcPr>
            <w:tcW w:type="dxa" w:w="2340"/>
            <w:shd w:val="clear" w:color="auto" w:fill="F5F6FA"/>
          </w:tcPr>
          <w:p/>
          <w:p>
            <w:pPr>
              <w:jc w:val="left"/>
            </w:pPr>
            <w:r>
              <w:rPr>
                <w:rFonts w:ascii="Calibri" w:hAnsi="Calibri"/>
                <w:b w:val="0"/>
                <w:i w:val="0"/>
                <w:color w:val="404040"/>
                <w:sz w:val="19"/>
              </w:rPr>
              <w:t>Digital origination platforms allow borrowers to apply online, submit financial data via APIs, and receive credit decisions in hours rather than weeks. E-signature platforms (DocuSign, Adobe Sign) eliminate the need for wet-ink documentation.</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Straight-through processing (STP) in loan operations: targets and reality</w:t>
            </w:r>
          </w:p>
        </w:tc>
        <w:tc>
          <w:tcPr>
            <w:tcW w:type="dxa" w:w="2340"/>
            <w:shd w:val="clear" w:color="auto" w:fill="FFFFFF"/>
          </w:tcPr>
          <w:p/>
          <w:p>
            <w:pPr>
              <w:jc w:val="left"/>
            </w:pPr>
            <w:r>
              <w:rPr>
                <w:rFonts w:ascii="Calibri" w:hAnsi="Calibri"/>
                <w:b w:val="0"/>
                <w:i w:val="0"/>
                <w:color w:val="404040"/>
                <w:sz w:val="19"/>
              </w:rPr>
              <w:t>While securities processing achieves &gt;99% STP, loan processing remains more manual — complex documentation, bespoke terms, and consent-heavy processes limit automation. Industry STP targets for standard payments are typically 80–90%.</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AI in credit underwriting: machine learning credit models and their limitations</w:t>
            </w:r>
          </w:p>
        </w:tc>
        <w:tc>
          <w:tcPr>
            <w:tcW w:type="dxa" w:w="2340"/>
            <w:shd w:val="clear" w:color="auto" w:fill="F5F6FA"/>
          </w:tcPr>
          <w:p/>
          <w:p>
            <w:pPr>
              <w:jc w:val="left"/>
            </w:pPr>
            <w:r>
              <w:rPr>
                <w:rFonts w:ascii="Calibri" w:hAnsi="Calibri"/>
                <w:b w:val="0"/>
                <w:i w:val="0"/>
                <w:color w:val="404040"/>
                <w:sz w:val="19"/>
              </w:rPr>
              <w:t>Machine learning models can rapidly analyse large volumes of financial data to support credit decisions. However, model explainability, data quality, and regulatory scrutiny (fair lending requirements) limit their standalone use — human judgement remains essential.</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Blockchain and smart contracts in loan operations: DLT pilot projects</w:t>
            </w:r>
          </w:p>
        </w:tc>
        <w:tc>
          <w:tcPr>
            <w:tcW w:type="dxa" w:w="2340"/>
            <w:shd w:val="clear" w:color="auto" w:fill="FFFFFF"/>
          </w:tcPr>
          <w:p/>
          <w:p>
            <w:pPr>
              <w:jc w:val="left"/>
            </w:pPr>
            <w:r>
              <w:rPr>
                <w:rFonts w:ascii="Calibri" w:hAnsi="Calibri"/>
                <w:b w:val="0"/>
                <w:i w:val="0"/>
                <w:color w:val="404040"/>
                <w:sz w:val="19"/>
              </w:rPr>
              <w:t>Several consortia (R3 Corda, Finastra Fusion Fabric) have piloted DLT-based loan platforms enabling near-instantaneous settlement, automated interest payments via smart contracts, and shared reconciliation between agent, lenders, and borrower.</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Regulatory technology in lending: automated regulatory reporting, BCBS 239 data quality</w:t>
            </w:r>
          </w:p>
        </w:tc>
        <w:tc>
          <w:tcPr>
            <w:tcW w:type="dxa" w:w="2340"/>
            <w:shd w:val="clear" w:color="auto" w:fill="F5F6FA"/>
          </w:tcPr>
          <w:p/>
          <w:p>
            <w:pPr>
              <w:jc w:val="left"/>
            </w:pPr>
            <w:r>
              <w:rPr>
                <w:rFonts w:ascii="Calibri" w:hAnsi="Calibri"/>
                <w:b w:val="0"/>
                <w:i w:val="0"/>
                <w:color w:val="404040"/>
                <w:sz w:val="19"/>
              </w:rPr>
              <w:t>RegTech platforms automate Basel III RWA calculations, IFRS 9 ECL outputs, large exposures reporting, and loan tape production for securitisations. BCBS 239 principles require banks to ensure data accuracy and aggregation capabilities.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Summary: the digital future of lending operations</w:t>
            </w:r>
          </w:p>
        </w:tc>
        <w:tc>
          <w:tcPr>
            <w:tcW w:type="dxa" w:w="2340"/>
            <w:shd w:val="clear" w:color="auto" w:fill="FFFFFF"/>
          </w:tcPr>
          <w:p/>
          <w:p>
            <w:pPr>
              <w:jc w:val="left"/>
            </w:pPr>
            <w:r>
              <w:rPr>
                <w:rFonts w:ascii="Calibri" w:hAnsi="Calibri"/>
                <w:b w:val="0"/>
                <w:i w:val="0"/>
                <w:color w:val="404040"/>
                <w:sz w:val="19"/>
              </w:rPr>
              <w:t>Technology is transforming lending — faster origination, smarter credit assessment, automated administration, and real-time regulatory reporting. Operations professionals who understand both the technology and the credit products will be in high demand.</w:t>
            </w:r>
          </w:p>
        </w:tc>
        <w:tc>
          <w:tcPr>
            <w:tcW w:type="dxa" w:w="2340"/>
            <w:shd w:val="clear" w:color="auto" w:fill="FFFFFF"/>
          </w:tcPr>
          <w:p/>
          <w:p>
            <w:pPr>
              <w:jc w:val="center"/>
            </w:pPr>
            <w:r>
              <w:rPr>
                <w:rFonts w:ascii="Calibri" w:hAnsi="Calibri"/>
                <w:b w:val="0"/>
                <w:i w:val="0"/>
                <w:color w:val="404040"/>
                <w:sz w:val="19"/>
              </w:rPr>
              <w:t>30s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007A87"/>
          </w:tcPr>
          <w:p/>
          <w:p>
            <w:r>
              <w:rPr>
                <w:rFonts w:ascii="Calibri" w:hAnsi="Calibri"/>
                <w:b/>
                <w:i w:val="0"/>
                <w:color w:val="FFFFFF"/>
                <w:sz w:val="22"/>
              </w:rPr>
              <w:t>Video 3 of 3</w:t>
            </w:r>
          </w:p>
        </w:tc>
        <w:tc>
          <w:tcPr>
            <w:tcW w:type="dxa" w:w="4680"/>
            <w:shd w:val="clear" w:color="auto" w:fill="007A87"/>
          </w:tcPr>
          <w:p/>
          <w:p>
            <w:pPr>
              <w:jc w:val="right"/>
            </w:pPr>
            <w:r>
              <w:rPr>
                <w:rFonts w:ascii="Calibri" w:hAnsi="Calibri"/>
                <w:b/>
                <w:i w:val="0"/>
                <w:color w:val="FFFFFF"/>
                <w:sz w:val="22"/>
              </w:rPr>
              <w:t>H12.10  |  ESG Integration in Lending Operations</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01C4F"/>
          </w:tcPr>
          <w:p/>
          <w:p>
            <w:pPr>
              <w:jc w:val="center"/>
            </w:pPr>
            <w:r>
              <w:rPr>
                <w:rFonts w:ascii="Calibri" w:hAnsi="Calibri"/>
                <w:b/>
                <w:i w:val="0"/>
                <w:color w:val="FFFFFF"/>
                <w:sz w:val="20"/>
              </w:rPr>
              <w:t>Scene</w:t>
            </w:r>
          </w:p>
        </w:tc>
        <w:tc>
          <w:tcPr>
            <w:tcW w:type="dxa" w:w="2340"/>
            <w:shd w:val="clear" w:color="auto" w:fill="101C4F"/>
          </w:tcPr>
          <w:p/>
          <w:p>
            <w:pPr>
              <w:jc w:val="center"/>
            </w:pPr>
            <w:r>
              <w:rPr>
                <w:rFonts w:ascii="Calibri" w:hAnsi="Calibri"/>
                <w:b/>
                <w:i w:val="0"/>
                <w:color w:val="FFFFFF"/>
                <w:sz w:val="20"/>
              </w:rPr>
              <w:t>Visual / On-Screen</w:t>
            </w:r>
          </w:p>
        </w:tc>
        <w:tc>
          <w:tcPr>
            <w:tcW w:type="dxa" w:w="2340"/>
            <w:shd w:val="clear" w:color="auto" w:fill="101C4F"/>
          </w:tcPr>
          <w:p/>
          <w:p>
            <w:pPr>
              <w:jc w:val="center"/>
            </w:pPr>
            <w:r>
              <w:rPr>
                <w:rFonts w:ascii="Calibri" w:hAnsi="Calibri"/>
                <w:b/>
                <w:i w:val="0"/>
                <w:color w:val="FFFFFF"/>
                <w:sz w:val="20"/>
              </w:rPr>
              <w:t>Narration Script</w:t>
            </w:r>
          </w:p>
        </w:tc>
        <w:tc>
          <w:tcPr>
            <w:tcW w:type="dxa" w:w="2340"/>
            <w:shd w:val="clear" w:color="auto" w:fill="101C4F"/>
          </w:tcPr>
          <w:p/>
          <w:p>
            <w:pPr>
              <w:jc w:val="center"/>
            </w:pPr>
            <w:r>
              <w:rPr>
                <w:rFonts w:ascii="Calibri" w:hAnsi="Calibri"/>
                <w:b/>
                <w:i w:val="0"/>
                <w:color w:val="FFFFFF"/>
                <w:sz w:val="20"/>
              </w:rPr>
              <w:t>Duration</w:t>
            </w:r>
          </w:p>
        </w:tc>
      </w:tr>
      <w:tr>
        <w:tc>
          <w:tcPr>
            <w:tcW w:type="dxa" w:w="2340"/>
            <w:shd w:val="clear" w:color="auto" w:fill="F5F6FA"/>
          </w:tcPr>
          <w:p/>
          <w:p>
            <w:pPr>
              <w:jc w:val="center"/>
            </w:pPr>
            <w:r>
              <w:rPr>
                <w:rFonts w:ascii="Calibri" w:hAnsi="Calibri"/>
                <w:b w:val="0"/>
                <w:i w:val="0"/>
                <w:color w:val="404040"/>
                <w:sz w:val="19"/>
              </w:rPr>
              <w:t>1</w:t>
            </w:r>
          </w:p>
        </w:tc>
        <w:tc>
          <w:tcPr>
            <w:tcW w:type="dxa" w:w="2340"/>
            <w:shd w:val="clear" w:color="auto" w:fill="F5F6FA"/>
          </w:tcPr>
          <w:p/>
          <w:p>
            <w:pPr>
              <w:jc w:val="left"/>
            </w:pPr>
            <w:r>
              <w:rPr>
                <w:rFonts w:ascii="Calibri" w:hAnsi="Calibri"/>
                <w:b w:val="0"/>
                <w:i w:val="0"/>
                <w:color w:val="404040"/>
                <w:sz w:val="19"/>
              </w:rPr>
              <w:t>Sustainable finance in lending: green loans, sustainability-linked loans (SLLs)</w:t>
            </w:r>
          </w:p>
        </w:tc>
        <w:tc>
          <w:tcPr>
            <w:tcW w:type="dxa" w:w="2340"/>
            <w:shd w:val="clear" w:color="auto" w:fill="F5F6FA"/>
          </w:tcPr>
          <w:p/>
          <w:p>
            <w:pPr>
              <w:jc w:val="left"/>
            </w:pPr>
            <w:r>
              <w:rPr>
                <w:rFonts w:ascii="Calibri" w:hAnsi="Calibri"/>
                <w:b w:val="0"/>
                <w:i w:val="0"/>
                <w:color w:val="404040"/>
                <w:sz w:val="19"/>
              </w:rPr>
              <w:t>The sustainable lending market has grown rapidly. Green loans fund specific environmental projects; sustainability-linked loans tie the interest margin to the borrower's performance against agreed ESG KPIs — incentivising sustainability improvement.</w:t>
            </w:r>
          </w:p>
        </w:tc>
        <w:tc>
          <w:tcPr>
            <w:tcW w:type="dxa" w:w="2340"/>
            <w:shd w:val="clear" w:color="auto" w:fill="F5F6FA"/>
          </w:tcPr>
          <w:p/>
          <w:p>
            <w:pPr>
              <w:jc w:val="center"/>
            </w:pPr>
            <w:r>
              <w:rPr>
                <w:rFonts w:ascii="Calibri" w:hAnsi="Calibri"/>
                <w:b w:val="0"/>
                <w:i w:val="0"/>
                <w:color w:val="404040"/>
                <w:sz w:val="19"/>
              </w:rPr>
              <w:t>45s</w:t>
            </w:r>
          </w:p>
        </w:tc>
      </w:tr>
      <w:tr>
        <w:tc>
          <w:tcPr>
            <w:tcW w:type="dxa" w:w="2340"/>
            <w:shd w:val="clear" w:color="auto" w:fill="FFFFFF"/>
          </w:tcPr>
          <w:p/>
          <w:p>
            <w:pPr>
              <w:jc w:val="center"/>
            </w:pPr>
            <w:r>
              <w:rPr>
                <w:rFonts w:ascii="Calibri" w:hAnsi="Calibri"/>
                <w:b w:val="0"/>
                <w:i w:val="0"/>
                <w:color w:val="404040"/>
                <w:sz w:val="19"/>
              </w:rPr>
              <w:t>2</w:t>
            </w:r>
          </w:p>
        </w:tc>
        <w:tc>
          <w:tcPr>
            <w:tcW w:type="dxa" w:w="2340"/>
            <w:shd w:val="clear" w:color="auto" w:fill="FFFFFF"/>
          </w:tcPr>
          <w:p/>
          <w:p>
            <w:pPr>
              <w:jc w:val="left"/>
            </w:pPr>
            <w:r>
              <w:rPr>
                <w:rFonts w:ascii="Calibri" w:hAnsi="Calibri"/>
                <w:b w:val="0"/>
                <w:i w:val="0"/>
                <w:color w:val="404040"/>
                <w:sz w:val="19"/>
              </w:rPr>
              <w:t>LMA Green Loan Principles and Sustainability-Linked Loan Principles</w:t>
            </w:r>
          </w:p>
        </w:tc>
        <w:tc>
          <w:tcPr>
            <w:tcW w:type="dxa" w:w="2340"/>
            <w:shd w:val="clear" w:color="auto" w:fill="FFFFFF"/>
          </w:tcPr>
          <w:p/>
          <w:p>
            <w:pPr>
              <w:jc w:val="left"/>
            </w:pPr>
            <w:r>
              <w:rPr>
                <w:rFonts w:ascii="Calibri" w:hAnsi="Calibri"/>
                <w:b w:val="0"/>
                <w:i w:val="0"/>
                <w:color w:val="404040"/>
                <w:sz w:val="19"/>
              </w:rPr>
              <w:t>The Loan Market Association (LMA) and APLMA have published Green Loan Principles (GLP) and Sustainability-Linked Loan Principles (SLLP) that define eligibility criteria, use of proceeds requirements, and reporting obligations.</w:t>
            </w:r>
          </w:p>
        </w:tc>
        <w:tc>
          <w:tcPr>
            <w:tcW w:type="dxa" w:w="2340"/>
            <w:shd w:val="clear" w:color="auto" w:fill="FFFFFF"/>
          </w:tcPr>
          <w:p/>
          <w:p>
            <w:pPr>
              <w:jc w:val="center"/>
            </w:pPr>
            <w:r>
              <w:rPr>
                <w:rFonts w:ascii="Calibri" w:hAnsi="Calibri"/>
                <w:b w:val="0"/>
                <w:i w:val="0"/>
                <w:color w:val="404040"/>
                <w:sz w:val="19"/>
              </w:rPr>
              <w:t>45s</w:t>
            </w:r>
          </w:p>
        </w:tc>
      </w:tr>
      <w:tr>
        <w:tc>
          <w:tcPr>
            <w:tcW w:type="dxa" w:w="2340"/>
            <w:shd w:val="clear" w:color="auto" w:fill="F5F6FA"/>
          </w:tcPr>
          <w:p/>
          <w:p>
            <w:pPr>
              <w:jc w:val="center"/>
            </w:pPr>
            <w:r>
              <w:rPr>
                <w:rFonts w:ascii="Calibri" w:hAnsi="Calibri"/>
                <w:b w:val="0"/>
                <w:i w:val="0"/>
                <w:color w:val="404040"/>
                <w:sz w:val="19"/>
              </w:rPr>
              <w:t>3</w:t>
            </w:r>
          </w:p>
        </w:tc>
        <w:tc>
          <w:tcPr>
            <w:tcW w:type="dxa" w:w="2340"/>
            <w:shd w:val="clear" w:color="auto" w:fill="F5F6FA"/>
          </w:tcPr>
          <w:p/>
          <w:p>
            <w:pPr>
              <w:jc w:val="left"/>
            </w:pPr>
            <w:r>
              <w:rPr>
                <w:rFonts w:ascii="Calibri" w:hAnsi="Calibri"/>
                <w:b w:val="0"/>
                <w:i w:val="0"/>
                <w:color w:val="404040"/>
                <w:sz w:val="19"/>
              </w:rPr>
              <w:t>ESG KPI mechanics: margin ratchet tied to ESG performance</w:t>
            </w:r>
          </w:p>
        </w:tc>
        <w:tc>
          <w:tcPr>
            <w:tcW w:type="dxa" w:w="2340"/>
            <w:shd w:val="clear" w:color="auto" w:fill="F5F6FA"/>
          </w:tcPr>
          <w:p/>
          <w:p>
            <w:pPr>
              <w:jc w:val="left"/>
            </w:pPr>
            <w:r>
              <w:rPr>
                <w:rFonts w:ascii="Calibri" w:hAnsi="Calibri"/>
                <w:b w:val="0"/>
                <w:i w:val="0"/>
                <w:color w:val="404040"/>
                <w:sz w:val="19"/>
              </w:rPr>
              <w:t>In an SLL, the margin adjusts annually based on the borrower's performance against pre-agreed sustainability performance targets (SPTs) — e.g., CO2 reduction targets, gender diversity ratios, renewable energy usage. Operations must track and apply the ratchet.</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4</w:t>
            </w:r>
          </w:p>
        </w:tc>
        <w:tc>
          <w:tcPr>
            <w:tcW w:type="dxa" w:w="2340"/>
            <w:shd w:val="clear" w:color="auto" w:fill="FFFFFF"/>
          </w:tcPr>
          <w:p/>
          <w:p>
            <w:pPr>
              <w:jc w:val="left"/>
            </w:pPr>
            <w:r>
              <w:rPr>
                <w:rFonts w:ascii="Calibri" w:hAnsi="Calibri"/>
                <w:b w:val="0"/>
                <w:i w:val="0"/>
                <w:color w:val="404040"/>
                <w:sz w:val="19"/>
              </w:rPr>
              <w:t>Greenwashing risk: the importance of verification and second-party opinion</w:t>
            </w:r>
          </w:p>
        </w:tc>
        <w:tc>
          <w:tcPr>
            <w:tcW w:type="dxa" w:w="2340"/>
            <w:shd w:val="clear" w:color="auto" w:fill="FFFFFF"/>
          </w:tcPr>
          <w:p/>
          <w:p>
            <w:pPr>
              <w:jc w:val="left"/>
            </w:pPr>
            <w:r>
              <w:rPr>
                <w:rFonts w:ascii="Calibri" w:hAnsi="Calibri"/>
                <w:b w:val="0"/>
                <w:i w:val="0"/>
                <w:color w:val="404040"/>
                <w:sz w:val="19"/>
              </w:rPr>
              <w:t>Greenwashing — misrepresenting the sustainability of a loan — is a significant reputational and regulatory risk. Banks and borrowers commission independent second-party opinions (SPOs) from specialist ESG verifiers to validate sustainability claims.</w:t>
            </w:r>
          </w:p>
        </w:tc>
        <w:tc>
          <w:tcPr>
            <w:tcW w:type="dxa" w:w="2340"/>
            <w:shd w:val="clear" w:color="auto" w:fill="FFFFFF"/>
          </w:tcPr>
          <w:p/>
          <w:p>
            <w:pPr>
              <w:jc w:val="center"/>
            </w:pPr>
            <w:r>
              <w:rPr>
                <w:rFonts w:ascii="Calibri" w:hAnsi="Calibri"/>
                <w:b w:val="0"/>
                <w:i w:val="0"/>
                <w:color w:val="404040"/>
                <w:sz w:val="19"/>
              </w:rPr>
              <w:t>40s</w:t>
            </w:r>
          </w:p>
        </w:tc>
      </w:tr>
      <w:tr>
        <w:tc>
          <w:tcPr>
            <w:tcW w:type="dxa" w:w="2340"/>
            <w:shd w:val="clear" w:color="auto" w:fill="F5F6FA"/>
          </w:tcPr>
          <w:p/>
          <w:p>
            <w:pPr>
              <w:jc w:val="center"/>
            </w:pPr>
            <w:r>
              <w:rPr>
                <w:rFonts w:ascii="Calibri" w:hAnsi="Calibri"/>
                <w:b w:val="0"/>
                <w:i w:val="0"/>
                <w:color w:val="404040"/>
                <w:sz w:val="19"/>
              </w:rPr>
              <w:t>5</w:t>
            </w:r>
          </w:p>
        </w:tc>
        <w:tc>
          <w:tcPr>
            <w:tcW w:type="dxa" w:w="2340"/>
            <w:shd w:val="clear" w:color="auto" w:fill="F5F6FA"/>
          </w:tcPr>
          <w:p/>
          <w:p>
            <w:pPr>
              <w:jc w:val="left"/>
            </w:pPr>
            <w:r>
              <w:rPr>
                <w:rFonts w:ascii="Calibri" w:hAnsi="Calibri"/>
                <w:b w:val="0"/>
                <w:i w:val="0"/>
                <w:color w:val="404040"/>
                <w:sz w:val="19"/>
              </w:rPr>
              <w:t>EU Taxonomy and SFDR: regulatory framework for sustainable finance classification</w:t>
            </w:r>
          </w:p>
        </w:tc>
        <w:tc>
          <w:tcPr>
            <w:tcW w:type="dxa" w:w="2340"/>
            <w:shd w:val="clear" w:color="auto" w:fill="F5F6FA"/>
          </w:tcPr>
          <w:p/>
          <w:p>
            <w:pPr>
              <w:jc w:val="left"/>
            </w:pPr>
            <w:r>
              <w:rPr>
                <w:rFonts w:ascii="Calibri" w:hAnsi="Calibri"/>
                <w:b w:val="0"/>
                <w:i w:val="0"/>
                <w:color w:val="404040"/>
                <w:sz w:val="19"/>
              </w:rPr>
              <w:t>EU regulations require financial institutions to classify their lending against the EU Taxonomy (which activities are 'sustainable') and disclose under SFDR (Sustainable Finance Disclosure Regulation). Operations must track and report Taxonomy-aligned loan volumes.</w:t>
            </w:r>
          </w:p>
        </w:tc>
        <w:tc>
          <w:tcPr>
            <w:tcW w:type="dxa" w:w="2340"/>
            <w:shd w:val="clear" w:color="auto" w:fill="F5F6FA"/>
          </w:tcPr>
          <w:p/>
          <w:p>
            <w:pPr>
              <w:jc w:val="center"/>
            </w:pPr>
            <w:r>
              <w:rPr>
                <w:rFonts w:ascii="Calibri" w:hAnsi="Calibri"/>
                <w:b w:val="0"/>
                <w:i w:val="0"/>
                <w:color w:val="404040"/>
                <w:sz w:val="19"/>
              </w:rPr>
              <w:t>40s</w:t>
            </w:r>
          </w:p>
        </w:tc>
      </w:tr>
      <w:tr>
        <w:tc>
          <w:tcPr>
            <w:tcW w:type="dxa" w:w="2340"/>
            <w:shd w:val="clear" w:color="auto" w:fill="FFFFFF"/>
          </w:tcPr>
          <w:p/>
          <w:p>
            <w:pPr>
              <w:jc w:val="center"/>
            </w:pPr>
            <w:r>
              <w:rPr>
                <w:rFonts w:ascii="Calibri" w:hAnsi="Calibri"/>
                <w:b w:val="0"/>
                <w:i w:val="0"/>
                <w:color w:val="404040"/>
                <w:sz w:val="19"/>
              </w:rPr>
              <w:t>6</w:t>
            </w:r>
          </w:p>
        </w:tc>
        <w:tc>
          <w:tcPr>
            <w:tcW w:type="dxa" w:w="2340"/>
            <w:shd w:val="clear" w:color="auto" w:fill="FFFFFF"/>
          </w:tcPr>
          <w:p/>
          <w:p>
            <w:pPr>
              <w:jc w:val="left"/>
            </w:pPr>
            <w:r>
              <w:rPr>
                <w:rFonts w:ascii="Calibri" w:hAnsi="Calibri"/>
                <w:b w:val="0"/>
                <w:i w:val="0"/>
                <w:color w:val="404040"/>
                <w:sz w:val="19"/>
              </w:rPr>
              <w:t>Module summary: lending operations — connecting credit, risk, and finance</w:t>
            </w:r>
          </w:p>
        </w:tc>
        <w:tc>
          <w:tcPr>
            <w:tcW w:type="dxa" w:w="2340"/>
            <w:shd w:val="clear" w:color="auto" w:fill="FFFFFF"/>
          </w:tcPr>
          <w:p/>
          <w:p>
            <w:pPr>
              <w:jc w:val="left"/>
            </w:pPr>
            <w:r>
              <w:rPr>
                <w:rFonts w:ascii="Calibri" w:hAnsi="Calibri"/>
                <w:b w:val="0"/>
                <w:i w:val="0"/>
                <w:color w:val="404040"/>
                <w:sz w:val="19"/>
              </w:rPr>
              <w:t>This module has covered the full lending operations lifecycle — from origination and documentation through to administration, distressed management, regulatory compliance, and the technology and ESG trends shaping the future. Lending operations is a dynamic, high-stakes profession at the heart of banking.</w:t>
            </w:r>
          </w:p>
        </w:tc>
        <w:tc>
          <w:tcPr>
            <w:tcW w:type="dxa" w:w="2340"/>
            <w:shd w:val="clear" w:color="auto" w:fill="FFFFFF"/>
          </w:tcPr>
          <w:p/>
          <w:p>
            <w:pPr>
              <w:jc w:val="center"/>
            </w:pPr>
            <w:r>
              <w:rPr>
                <w:rFonts w:ascii="Calibri" w:hAnsi="Calibri"/>
                <w:b w:val="0"/>
                <w:i w:val="0"/>
                <w:color w:val="404040"/>
                <w:sz w:val="19"/>
              </w:rPr>
              <w:t>40s</w:t>
            </w:r>
          </w:p>
        </w:tc>
      </w:tr>
    </w:tbl>
    <w:p/>
    <w:p>
      <w:pPr>
        <w:pBdr>
          <w:bottom w:val="single" w:sz="6" w:space="1" w:color="007A87"/>
        </w:pBdr>
        <w:spacing w:after="40"/>
      </w:pP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