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val="0"/>
                <w:i w:val="0"/>
                <w:color w:val="F0A800"/>
                <w:sz w:val="26"/>
              </w:rPr>
              <w:t>CIBOP</w:t>
            </w:r>
          </w:p>
          <w:p>
            <w:pPr>
              <w:jc w:val="center"/>
            </w:pPr>
            <w:r>
              <w:rPr>
                <w:rFonts w:ascii="Calibri" w:hAnsi="Calibri"/>
                <w:b w:val="0"/>
                <w:i w:val="0"/>
                <w:color w:val="FFFFFF"/>
                <w:sz w:val="22"/>
              </w:rPr>
              <w:t>Certificate in Investment Banking Operations Programme</w:t>
            </w:r>
          </w:p>
          <w:p>
            <w:pPr>
              <w:jc w:val="center"/>
            </w:pPr>
            <w:r>
              <w:rPr>
                <w:rFonts w:ascii="Calibri" w:hAnsi="Calibri"/>
                <w:b w:val="0"/>
                <w:i w:val="0"/>
                <w:color w:val="FFFFFF"/>
                <w:sz w:val="16"/>
              </w:rPr>
            </w:r>
          </w:p>
          <w:p>
            <w:pPr>
              <w:jc w:val="center"/>
            </w:pPr>
            <w:r>
              <w:rPr>
                <w:rFonts w:ascii="Calibri" w:hAnsi="Calibri"/>
                <w:b/>
                <w:i w:val="0"/>
                <w:color w:val="FFFFFF"/>
                <w:sz w:val="40"/>
              </w:rPr>
              <w:t>MODULE G11</w:t>
            </w:r>
          </w:p>
          <w:p>
            <w:pPr>
              <w:jc w:val="center"/>
            </w:pPr>
            <w:r>
              <w:rPr>
                <w:rFonts w:ascii="Calibri" w:hAnsi="Calibri"/>
                <w:b/>
                <w:i w:val="0"/>
                <w:color w:val="F0A800"/>
                <w:sz w:val="32"/>
              </w:rPr>
              <w:t>Reconciliations &amp; Custody</w:t>
            </w:r>
          </w:p>
          <w:p>
            <w:pPr>
              <w:jc w:val="center"/>
            </w:pPr>
            <w:r>
              <w:rPr>
                <w:rFonts w:ascii="Calibri" w:hAnsi="Calibri"/>
                <w:b w:val="0"/>
                <w:i w:val="0"/>
                <w:color w:val="FFFFFF"/>
                <w:sz w:val="16"/>
              </w:rPr>
            </w:r>
          </w:p>
          <w:p>
            <w:pPr>
              <w:jc w:val="center"/>
            </w:pPr>
            <w:r>
              <w:rPr>
                <w:rFonts w:ascii="Calibri" w:hAnsi="Calibri"/>
                <w:b/>
                <w:i w:val="0"/>
                <w:color w:val="FFFFFF"/>
                <w:sz w:val="26"/>
              </w:rPr>
              <w:t>ASSESSMENT BANK</w:t>
            </w:r>
          </w:p>
          <w:p>
            <w:pPr>
              <w:jc w:val="center"/>
            </w:pPr>
            <w:r>
              <w:rPr>
                <w:rFonts w:ascii="Calibri" w:hAnsi="Calibri"/>
                <w:b w:val="0"/>
                <w:i w:val="0"/>
                <w:color w:val="F5F6FA"/>
                <w:sz w:val="20"/>
              </w:rPr>
              <w:t>40 Multiple-Choice Questions  |  4 Questions per UOR</w:t>
            </w:r>
          </w:p>
        </w:tc>
      </w:tr>
    </w:tbl>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G11.1  |  Introduction to Reconciliation in Financial Services</w:t>
            </w:r>
          </w:p>
        </w:tc>
      </w:tr>
    </w:tbl>
    <w:p/>
    <w:p>
      <w:pPr>
        <w:spacing w:before="80"/>
      </w:pPr>
      <w:r>
        <w:rPr>
          <w:rFonts w:ascii="Calibri" w:hAnsi="Calibri"/>
          <w:b/>
          <w:i w:val="0"/>
          <w:color w:val="101C4F"/>
          <w:sz w:val="22"/>
        </w:rPr>
        <w:t xml:space="preserve">Q1.  </w:t>
      </w:r>
      <w:r>
        <w:rPr>
          <w:rFonts w:ascii="Calibri" w:hAnsi="Calibri"/>
          <w:b w:val="0"/>
          <w:i w:val="0"/>
          <w:color w:val="404040"/>
          <w:sz w:val="22"/>
        </w:rPr>
        <w:t>What is the primary purpose of reconciliation in financial operations?</w:t>
      </w:r>
    </w:p>
    <w:p>
      <w:pPr>
        <w:spacing w:before="20"/>
        <w:ind w:left="432"/>
      </w:pPr>
      <w:r>
        <w:rPr>
          <w:rFonts w:ascii="Calibri" w:hAnsi="Calibri"/>
          <w:b w:val="0"/>
          <w:i w:val="0"/>
          <w:color w:val="404040"/>
          <w:sz w:val="21"/>
        </w:rPr>
        <w:t>A. To generate profit for the trading desk</w:t>
      </w:r>
    </w:p>
    <w:p>
      <w:pPr>
        <w:spacing w:before="20"/>
        <w:ind w:left="432"/>
      </w:pPr>
      <w:r>
        <w:rPr>
          <w:rFonts w:ascii="Calibri" w:hAnsi="Calibri"/>
          <w:b w:val="0"/>
          <w:i w:val="0"/>
          <w:color w:val="404040"/>
          <w:sz w:val="21"/>
        </w:rPr>
        <w:t>B. To ensure two sets of records agree and discrepancies are identified and resolved</w:t>
      </w:r>
    </w:p>
    <w:p>
      <w:pPr>
        <w:spacing w:before="20"/>
        <w:ind w:left="432"/>
      </w:pPr>
      <w:r>
        <w:rPr>
          <w:rFonts w:ascii="Calibri" w:hAnsi="Calibri"/>
          <w:b w:val="0"/>
          <w:i w:val="0"/>
          <w:color w:val="404040"/>
          <w:sz w:val="21"/>
        </w:rPr>
        <w:t>C. To confirm a trade has been executed at the best price</w:t>
      </w:r>
    </w:p>
    <w:p>
      <w:pPr>
        <w:spacing w:before="20"/>
        <w:ind w:left="432"/>
      </w:pPr>
      <w:r>
        <w:rPr>
          <w:rFonts w:ascii="Calibri" w:hAnsi="Calibri"/>
          <w:b w:val="0"/>
          <w:i w:val="0"/>
          <w:color w:val="404040"/>
          <w:sz w:val="21"/>
        </w:rPr>
        <w:t>D. To allocate costs across business units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Reconciliation compares two sets of records (e.g., internal books vs. counterparty or custodian statements) to verify they match and to investigate any breaks.</w:t>
            </w:r>
          </w:p>
        </w:tc>
      </w:tr>
    </w:tbl>
    <w:p>
      <w:pPr>
        <w:spacing w:after="40"/>
      </w:pPr>
    </w:p>
    <w:p>
      <w:pPr>
        <w:spacing w:before="80"/>
      </w:pPr>
      <w:r>
        <w:rPr>
          <w:rFonts w:ascii="Calibri" w:hAnsi="Calibri"/>
          <w:b/>
          <w:i w:val="0"/>
          <w:color w:val="101C4F"/>
          <w:sz w:val="22"/>
        </w:rPr>
        <w:t xml:space="preserve">Q2.  </w:t>
      </w:r>
      <w:r>
        <w:rPr>
          <w:rFonts w:ascii="Calibri" w:hAnsi="Calibri"/>
          <w:b w:val="0"/>
          <w:i w:val="0"/>
          <w:color w:val="404040"/>
          <w:sz w:val="22"/>
        </w:rPr>
        <w:t>Which of the following best describes a 'break' in reconciliation terminology?</w:t>
      </w:r>
    </w:p>
    <w:p>
      <w:pPr>
        <w:spacing w:before="20"/>
        <w:ind w:left="432"/>
      </w:pPr>
      <w:r>
        <w:rPr>
          <w:rFonts w:ascii="Calibri" w:hAnsi="Calibri"/>
          <w:b w:val="0"/>
          <w:i w:val="0"/>
          <w:color w:val="404040"/>
          <w:sz w:val="21"/>
        </w:rPr>
        <w:t>A. A failed trade that needs to be cancelled</w:t>
      </w:r>
    </w:p>
    <w:p>
      <w:pPr>
        <w:spacing w:before="20"/>
        <w:ind w:left="432"/>
      </w:pPr>
      <w:r>
        <w:rPr>
          <w:rFonts w:ascii="Calibri" w:hAnsi="Calibri"/>
          <w:b w:val="0"/>
          <w:i w:val="0"/>
          <w:color w:val="404040"/>
          <w:sz w:val="21"/>
        </w:rPr>
        <w:t>B. A discrepancy between two data sources that has not yet been resolved</w:t>
      </w:r>
    </w:p>
    <w:p>
      <w:pPr>
        <w:spacing w:before="20"/>
        <w:ind w:left="432"/>
      </w:pPr>
      <w:r>
        <w:rPr>
          <w:rFonts w:ascii="Calibri" w:hAnsi="Calibri"/>
          <w:b w:val="0"/>
          <w:i w:val="0"/>
          <w:color w:val="404040"/>
          <w:sz w:val="21"/>
        </w:rPr>
        <w:t>C. A scheduled maintenance window for the settlement system</w:t>
      </w:r>
    </w:p>
    <w:p>
      <w:pPr>
        <w:spacing w:before="20"/>
        <w:ind w:left="432"/>
      </w:pPr>
      <w:r>
        <w:rPr>
          <w:rFonts w:ascii="Calibri" w:hAnsi="Calibri"/>
          <w:b w:val="0"/>
          <w:i w:val="0"/>
          <w:color w:val="404040"/>
          <w:sz w:val="21"/>
        </w:rPr>
        <w:t>D. An approved exception granted by risk management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A 'break' is any unresolved difference between two sets of records, such as a position or cash amount that does not agree between the firm's ledger and an external statement.</w:t>
            </w:r>
          </w:p>
        </w:tc>
      </w:tr>
    </w:tbl>
    <w:p>
      <w:pPr>
        <w:spacing w:after="40"/>
      </w:pPr>
    </w:p>
    <w:p>
      <w:pPr>
        <w:spacing w:before="80"/>
      </w:pPr>
      <w:r>
        <w:rPr>
          <w:rFonts w:ascii="Calibri" w:hAnsi="Calibri"/>
          <w:b/>
          <w:i w:val="0"/>
          <w:color w:val="101C4F"/>
          <w:sz w:val="22"/>
        </w:rPr>
        <w:t xml:space="preserve">Q3.  </w:t>
      </w:r>
      <w:r>
        <w:rPr>
          <w:rFonts w:ascii="Calibri" w:hAnsi="Calibri"/>
          <w:b w:val="0"/>
          <w:i w:val="0"/>
          <w:color w:val="404040"/>
          <w:sz w:val="22"/>
        </w:rPr>
        <w:t>Which regulatory framework explicitly requires firms to perform daily position reconciliation for client assets?</w:t>
      </w:r>
    </w:p>
    <w:p>
      <w:pPr>
        <w:spacing w:before="20"/>
        <w:ind w:left="432"/>
      </w:pPr>
      <w:r>
        <w:rPr>
          <w:rFonts w:ascii="Calibri" w:hAnsi="Calibri"/>
          <w:b w:val="0"/>
          <w:i w:val="0"/>
          <w:color w:val="404040"/>
          <w:sz w:val="21"/>
        </w:rPr>
        <w:t>A. Basel III</w:t>
      </w:r>
    </w:p>
    <w:p>
      <w:pPr>
        <w:spacing w:before="20"/>
        <w:ind w:left="432"/>
      </w:pPr>
      <w:r>
        <w:rPr>
          <w:rFonts w:ascii="Calibri" w:hAnsi="Calibri"/>
          <w:b w:val="0"/>
          <w:i w:val="0"/>
          <w:color w:val="404040"/>
          <w:sz w:val="21"/>
        </w:rPr>
        <w:t>B. EMIR</w:t>
      </w:r>
    </w:p>
    <w:p>
      <w:pPr>
        <w:spacing w:before="20"/>
        <w:ind w:left="432"/>
      </w:pPr>
      <w:r>
        <w:rPr>
          <w:rFonts w:ascii="Calibri" w:hAnsi="Calibri"/>
          <w:b w:val="0"/>
          <w:i w:val="0"/>
          <w:color w:val="404040"/>
          <w:sz w:val="21"/>
        </w:rPr>
        <w:t>C. MiFID II / CASS</w:t>
      </w:r>
    </w:p>
    <w:p>
      <w:pPr>
        <w:spacing w:before="20"/>
        <w:ind w:left="432"/>
      </w:pPr>
      <w:r>
        <w:rPr>
          <w:rFonts w:ascii="Calibri" w:hAnsi="Calibri"/>
          <w:b w:val="0"/>
          <w:i w:val="0"/>
          <w:color w:val="404040"/>
          <w:sz w:val="21"/>
        </w:rPr>
        <w:t>D. Sarbanes-Oxley (SOX)</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MiFID II and the FCA's Client Asset Sourcebook (CASS) mandate that firms reconcile client positions and cash at least daily to protect client assets.</w:t>
            </w:r>
          </w:p>
        </w:tc>
      </w:tr>
    </w:tbl>
    <w:p>
      <w:pPr>
        <w:spacing w:after="40"/>
      </w:pPr>
    </w:p>
    <w:p>
      <w:pPr>
        <w:spacing w:before="80"/>
      </w:pPr>
      <w:r>
        <w:rPr>
          <w:rFonts w:ascii="Calibri" w:hAnsi="Calibri"/>
          <w:b/>
          <w:i w:val="0"/>
          <w:color w:val="101C4F"/>
          <w:sz w:val="22"/>
        </w:rPr>
        <w:t xml:space="preserve">Q4.  </w:t>
      </w:r>
      <w:r>
        <w:rPr>
          <w:rFonts w:ascii="Calibri" w:hAnsi="Calibri"/>
          <w:b w:val="0"/>
          <w:i w:val="0"/>
          <w:color w:val="404040"/>
          <w:sz w:val="22"/>
        </w:rPr>
        <w:t>In a typical bank operations workflow, who is primarily responsible for investigating and resolving reconciliation breaks?</w:t>
      </w:r>
    </w:p>
    <w:p>
      <w:pPr>
        <w:spacing w:before="20"/>
        <w:ind w:left="432"/>
      </w:pPr>
      <w:r>
        <w:rPr>
          <w:rFonts w:ascii="Calibri" w:hAnsi="Calibri"/>
          <w:b w:val="0"/>
          <w:i w:val="0"/>
          <w:color w:val="404040"/>
          <w:sz w:val="21"/>
        </w:rPr>
        <w:t>A. The front-office trader</w:t>
      </w:r>
    </w:p>
    <w:p>
      <w:pPr>
        <w:spacing w:before="20"/>
        <w:ind w:left="432"/>
      </w:pPr>
      <w:r>
        <w:rPr>
          <w:rFonts w:ascii="Calibri" w:hAnsi="Calibri"/>
          <w:b w:val="0"/>
          <w:i w:val="0"/>
          <w:color w:val="404040"/>
          <w:sz w:val="21"/>
        </w:rPr>
        <w:t>B. The compliance officer</w:t>
      </w:r>
    </w:p>
    <w:p>
      <w:pPr>
        <w:spacing w:before="20"/>
        <w:ind w:left="432"/>
      </w:pPr>
      <w:r>
        <w:rPr>
          <w:rFonts w:ascii="Calibri" w:hAnsi="Calibri"/>
          <w:b w:val="0"/>
          <w:i w:val="0"/>
          <w:color w:val="404040"/>
          <w:sz w:val="21"/>
        </w:rPr>
        <w:t>C. The operations / middle-office reconciliation team</w:t>
      </w:r>
    </w:p>
    <w:p>
      <w:pPr>
        <w:spacing w:before="20"/>
        <w:ind w:left="432"/>
      </w:pPr>
      <w:r>
        <w:rPr>
          <w:rFonts w:ascii="Calibri" w:hAnsi="Calibri"/>
          <w:b w:val="0"/>
          <w:i w:val="0"/>
          <w:color w:val="404040"/>
          <w:sz w:val="21"/>
        </w:rPr>
        <w:t>D. The external auditor</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operations or middle-office reconciliation team owns the daily break investigation process, escalating to front-office or compliance only when required.</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G11.2  |  Types of Reconciliation</w:t>
            </w:r>
          </w:p>
        </w:tc>
      </w:tr>
    </w:tbl>
    <w:p/>
    <w:p>
      <w:pPr>
        <w:spacing w:before="80"/>
      </w:pPr>
      <w:r>
        <w:rPr>
          <w:rFonts w:ascii="Calibri" w:hAnsi="Calibri"/>
          <w:b/>
          <w:i w:val="0"/>
          <w:color w:val="101C4F"/>
          <w:sz w:val="22"/>
        </w:rPr>
        <w:t xml:space="preserve">Q5.  </w:t>
      </w:r>
      <w:r>
        <w:rPr>
          <w:rFonts w:ascii="Calibri" w:hAnsi="Calibri"/>
          <w:b w:val="0"/>
          <w:i w:val="0"/>
          <w:color w:val="404040"/>
          <w:sz w:val="22"/>
        </w:rPr>
        <w:t>A cash reconciliation compares the firm's internal cash ledger against which external source?</w:t>
      </w:r>
    </w:p>
    <w:p>
      <w:pPr>
        <w:spacing w:before="20"/>
        <w:ind w:left="432"/>
      </w:pPr>
      <w:r>
        <w:rPr>
          <w:rFonts w:ascii="Calibri" w:hAnsi="Calibri"/>
          <w:b w:val="0"/>
          <w:i w:val="0"/>
          <w:color w:val="404040"/>
          <w:sz w:val="21"/>
        </w:rPr>
        <w:t>A. The central counterparty (CCP) margin call report</w:t>
      </w:r>
    </w:p>
    <w:p>
      <w:pPr>
        <w:spacing w:before="20"/>
        <w:ind w:left="432"/>
      </w:pPr>
      <w:r>
        <w:rPr>
          <w:rFonts w:ascii="Calibri" w:hAnsi="Calibri"/>
          <w:b w:val="0"/>
          <w:i w:val="0"/>
          <w:color w:val="404040"/>
          <w:sz w:val="21"/>
        </w:rPr>
        <w:t>B. The nostro account statement received from the correspondent bank</w:t>
      </w:r>
    </w:p>
    <w:p>
      <w:pPr>
        <w:spacing w:before="20"/>
        <w:ind w:left="432"/>
      </w:pPr>
      <w:r>
        <w:rPr>
          <w:rFonts w:ascii="Calibri" w:hAnsi="Calibri"/>
          <w:b w:val="0"/>
          <w:i w:val="0"/>
          <w:color w:val="404040"/>
          <w:sz w:val="21"/>
        </w:rPr>
        <w:t>C. The prime brokerage collateral inventory</w:t>
      </w:r>
    </w:p>
    <w:p>
      <w:pPr>
        <w:spacing w:before="20"/>
        <w:ind w:left="432"/>
      </w:pPr>
      <w:r>
        <w:rPr>
          <w:rFonts w:ascii="Calibri" w:hAnsi="Calibri"/>
          <w:b w:val="0"/>
          <w:i w:val="0"/>
          <w:color w:val="404040"/>
          <w:sz w:val="21"/>
        </w:rPr>
        <w:t>D. The SWIFT payment confirmation message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Nostro reconciliation matches the firm's internal records of cash movements against the statement provided by the correspondent (nostro) bank.</w:t>
            </w:r>
          </w:p>
        </w:tc>
      </w:tr>
    </w:tbl>
    <w:p>
      <w:pPr>
        <w:spacing w:after="40"/>
      </w:pPr>
    </w:p>
    <w:p>
      <w:pPr>
        <w:spacing w:before="80"/>
      </w:pPr>
      <w:r>
        <w:rPr>
          <w:rFonts w:ascii="Calibri" w:hAnsi="Calibri"/>
          <w:b/>
          <w:i w:val="0"/>
          <w:color w:val="101C4F"/>
          <w:sz w:val="22"/>
        </w:rPr>
        <w:t xml:space="preserve">Q6.  </w:t>
      </w:r>
      <w:r>
        <w:rPr>
          <w:rFonts w:ascii="Calibri" w:hAnsi="Calibri"/>
          <w:b w:val="0"/>
          <w:i w:val="0"/>
          <w:color w:val="404040"/>
          <w:sz w:val="22"/>
        </w:rPr>
        <w:t>Position reconciliation compares a firm's internal holdings with which external record?</w:t>
      </w:r>
    </w:p>
    <w:p>
      <w:pPr>
        <w:spacing w:before="20"/>
        <w:ind w:left="432"/>
      </w:pPr>
      <w:r>
        <w:rPr>
          <w:rFonts w:ascii="Calibri" w:hAnsi="Calibri"/>
          <w:b w:val="0"/>
          <w:i w:val="0"/>
          <w:color w:val="404040"/>
          <w:sz w:val="21"/>
        </w:rPr>
        <w:t>A. The trade confirmation from the executing broker</w:t>
      </w:r>
    </w:p>
    <w:p>
      <w:pPr>
        <w:spacing w:before="20"/>
        <w:ind w:left="432"/>
      </w:pPr>
      <w:r>
        <w:rPr>
          <w:rFonts w:ascii="Calibri" w:hAnsi="Calibri"/>
          <w:b w:val="0"/>
          <w:i w:val="0"/>
          <w:color w:val="404040"/>
          <w:sz w:val="21"/>
        </w:rPr>
        <w:t>B. The custodian or depository statement of securities held</w:t>
      </w:r>
    </w:p>
    <w:p>
      <w:pPr>
        <w:spacing w:before="20"/>
        <w:ind w:left="432"/>
      </w:pPr>
      <w:r>
        <w:rPr>
          <w:rFonts w:ascii="Calibri" w:hAnsi="Calibri"/>
          <w:b w:val="0"/>
          <w:i w:val="0"/>
          <w:color w:val="404040"/>
          <w:sz w:val="21"/>
        </w:rPr>
        <w:t>C. The valuation report produced by the risk team</w:t>
      </w:r>
    </w:p>
    <w:p>
      <w:pPr>
        <w:spacing w:before="20"/>
        <w:ind w:left="432"/>
      </w:pPr>
      <w:r>
        <w:rPr>
          <w:rFonts w:ascii="Calibri" w:hAnsi="Calibri"/>
          <w:b w:val="0"/>
          <w:i w:val="0"/>
          <w:color w:val="404040"/>
          <w:sz w:val="21"/>
        </w:rPr>
        <w:t>D. The ISDA credit support annex schedule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Position (depot) reconciliation matches the firm's book-of-record securities positions against the custodian's or depository's (e.g., DTC, Euroclear) holdings statement.</w:t>
            </w:r>
          </w:p>
        </w:tc>
      </w:tr>
    </w:tbl>
    <w:p>
      <w:pPr>
        <w:spacing w:after="40"/>
      </w:pPr>
    </w:p>
    <w:p>
      <w:pPr>
        <w:spacing w:before="80"/>
      </w:pPr>
      <w:r>
        <w:rPr>
          <w:rFonts w:ascii="Calibri" w:hAnsi="Calibri"/>
          <w:b/>
          <w:i w:val="0"/>
          <w:color w:val="101C4F"/>
          <w:sz w:val="22"/>
        </w:rPr>
        <w:t xml:space="preserve">Q7.  </w:t>
      </w:r>
      <w:r>
        <w:rPr>
          <w:rFonts w:ascii="Calibri" w:hAnsi="Calibri"/>
          <w:b w:val="0"/>
          <w:i w:val="0"/>
          <w:color w:val="404040"/>
          <w:sz w:val="22"/>
        </w:rPr>
        <w:t>Which type of reconciliation specifically checks that the P&amp;L reported by the front office matches the independently computed P&amp;L from the back office?</w:t>
      </w:r>
    </w:p>
    <w:p>
      <w:pPr>
        <w:spacing w:before="20"/>
        <w:ind w:left="432"/>
      </w:pPr>
      <w:r>
        <w:rPr>
          <w:rFonts w:ascii="Calibri" w:hAnsi="Calibri"/>
          <w:b w:val="0"/>
          <w:i w:val="0"/>
          <w:color w:val="404040"/>
          <w:sz w:val="21"/>
        </w:rPr>
        <w:t>A. Nostro reconciliation</w:t>
      </w:r>
    </w:p>
    <w:p>
      <w:pPr>
        <w:spacing w:before="20"/>
        <w:ind w:left="432"/>
      </w:pPr>
      <w:r>
        <w:rPr>
          <w:rFonts w:ascii="Calibri" w:hAnsi="Calibri"/>
          <w:b w:val="0"/>
          <w:i w:val="0"/>
          <w:color w:val="404040"/>
          <w:sz w:val="21"/>
        </w:rPr>
        <w:t>B. Trade reconciliation</w:t>
      </w:r>
    </w:p>
    <w:p>
      <w:pPr>
        <w:spacing w:before="20"/>
        <w:ind w:left="432"/>
      </w:pPr>
      <w:r>
        <w:rPr>
          <w:rFonts w:ascii="Calibri" w:hAnsi="Calibri"/>
          <w:b w:val="0"/>
          <w:i w:val="0"/>
          <w:color w:val="404040"/>
          <w:sz w:val="21"/>
        </w:rPr>
        <w:t>C. P&amp;L (profit &amp; loss) reconciliation</w:t>
      </w:r>
    </w:p>
    <w:p>
      <w:pPr>
        <w:spacing w:before="20"/>
        <w:ind w:left="432"/>
      </w:pPr>
      <w:r>
        <w:rPr>
          <w:rFonts w:ascii="Calibri" w:hAnsi="Calibri"/>
          <w:b w:val="0"/>
          <w:i w:val="0"/>
          <w:color w:val="404040"/>
          <w:sz w:val="21"/>
        </w:rPr>
        <w:t>D. Collateral reconciliation</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P&amp;L reconciliation (IPV – Independent Price Verification) ensures that the valuation and profit reported by traders agrees with the independently computed figures from risk/finance.</w:t>
            </w:r>
          </w:p>
        </w:tc>
      </w:tr>
    </w:tbl>
    <w:p>
      <w:pPr>
        <w:spacing w:after="40"/>
      </w:pPr>
    </w:p>
    <w:p>
      <w:pPr>
        <w:spacing w:before="80"/>
      </w:pPr>
      <w:r>
        <w:rPr>
          <w:rFonts w:ascii="Calibri" w:hAnsi="Calibri"/>
          <w:b/>
          <w:i w:val="0"/>
          <w:color w:val="101C4F"/>
          <w:sz w:val="22"/>
        </w:rPr>
        <w:t xml:space="preserve">Q8.  </w:t>
      </w:r>
      <w:r>
        <w:rPr>
          <w:rFonts w:ascii="Calibri" w:hAnsi="Calibri"/>
          <w:b w:val="0"/>
          <w:i w:val="0"/>
          <w:color w:val="404040"/>
          <w:sz w:val="22"/>
        </w:rPr>
        <w:t>A collateral reconciliation under a bilateral OTC agreement primarily compares:</w:t>
      </w:r>
    </w:p>
    <w:p>
      <w:pPr>
        <w:spacing w:before="20"/>
        <w:ind w:left="432"/>
      </w:pPr>
      <w:r>
        <w:rPr>
          <w:rFonts w:ascii="Calibri" w:hAnsi="Calibri"/>
          <w:b w:val="0"/>
          <w:i w:val="0"/>
          <w:color w:val="404040"/>
          <w:sz w:val="21"/>
        </w:rPr>
        <w:t>A. Each counterparty's independently calculated mark-to-market exposure and margin call amount</w:t>
      </w:r>
    </w:p>
    <w:p>
      <w:pPr>
        <w:spacing w:before="20"/>
        <w:ind w:left="432"/>
      </w:pPr>
      <w:r>
        <w:rPr>
          <w:rFonts w:ascii="Calibri" w:hAnsi="Calibri"/>
          <w:b w:val="0"/>
          <w:i w:val="0"/>
          <w:color w:val="404040"/>
          <w:sz w:val="21"/>
        </w:rPr>
        <w:t>B. The exchange's published closing prices against internal models</w:t>
      </w:r>
    </w:p>
    <w:p>
      <w:pPr>
        <w:spacing w:before="20"/>
        <w:ind w:left="432"/>
      </w:pPr>
      <w:r>
        <w:rPr>
          <w:rFonts w:ascii="Calibri" w:hAnsi="Calibri"/>
          <w:b w:val="0"/>
          <w:i w:val="0"/>
          <w:color w:val="404040"/>
          <w:sz w:val="21"/>
        </w:rPr>
        <w:t>C. The DTCC trade repository record versus the SWIFT instruction</w:t>
      </w:r>
    </w:p>
    <w:p>
      <w:pPr>
        <w:spacing w:before="20"/>
        <w:ind w:left="432"/>
      </w:pPr>
      <w:r>
        <w:rPr>
          <w:rFonts w:ascii="Calibri" w:hAnsi="Calibri"/>
          <w:b w:val="0"/>
          <w:i w:val="0"/>
          <w:color w:val="404040"/>
          <w:sz w:val="21"/>
        </w:rPr>
        <w:t>D. The custodian statement versus the prime broker report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A</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Collateral reconciliation under a CSA involves each party comparing their exposure calculations and the resulting margin call, resolving differences before transferring collateral.</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G11.3  |  The Reconciliation Process and Break Management</w:t>
            </w:r>
          </w:p>
        </w:tc>
      </w:tr>
    </w:tbl>
    <w:p/>
    <w:p>
      <w:pPr>
        <w:spacing w:before="80"/>
      </w:pPr>
      <w:r>
        <w:rPr>
          <w:rFonts w:ascii="Calibri" w:hAnsi="Calibri"/>
          <w:b/>
          <w:i w:val="0"/>
          <w:color w:val="101C4F"/>
          <w:sz w:val="22"/>
        </w:rPr>
        <w:t xml:space="preserve">Q9.  </w:t>
      </w:r>
      <w:r>
        <w:rPr>
          <w:rFonts w:ascii="Calibri" w:hAnsi="Calibri"/>
          <w:b w:val="0"/>
          <w:i w:val="0"/>
          <w:color w:val="404040"/>
          <w:sz w:val="22"/>
        </w:rPr>
        <w:t>What is the correct sequence of a standard reconciliation process?</w:t>
      </w:r>
    </w:p>
    <w:p>
      <w:pPr>
        <w:spacing w:before="20"/>
        <w:ind w:left="432"/>
      </w:pPr>
      <w:r>
        <w:rPr>
          <w:rFonts w:ascii="Calibri" w:hAnsi="Calibri"/>
          <w:b w:val="0"/>
          <w:i w:val="0"/>
          <w:color w:val="404040"/>
          <w:sz w:val="21"/>
        </w:rPr>
        <w:t>A. Resolve break → Load data → Match records → Escalate</w:t>
      </w:r>
    </w:p>
    <w:p>
      <w:pPr>
        <w:spacing w:before="20"/>
        <w:ind w:left="432"/>
      </w:pPr>
      <w:r>
        <w:rPr>
          <w:rFonts w:ascii="Calibri" w:hAnsi="Calibri"/>
          <w:b w:val="0"/>
          <w:i w:val="0"/>
          <w:color w:val="404040"/>
          <w:sz w:val="21"/>
        </w:rPr>
        <w:t>B. Load data → Match records → Identify breaks → Investigate → Resolve</w:t>
      </w:r>
    </w:p>
    <w:p>
      <w:pPr>
        <w:spacing w:before="20"/>
        <w:ind w:left="432"/>
      </w:pPr>
      <w:r>
        <w:rPr>
          <w:rFonts w:ascii="Calibri" w:hAnsi="Calibri"/>
          <w:b w:val="0"/>
          <w:i w:val="0"/>
          <w:color w:val="404040"/>
          <w:sz w:val="21"/>
        </w:rPr>
        <w:t>C. Identify breaks → Load data → Match records → Report</w:t>
      </w:r>
    </w:p>
    <w:p>
      <w:pPr>
        <w:spacing w:before="20"/>
        <w:ind w:left="432"/>
      </w:pPr>
      <w:r>
        <w:rPr>
          <w:rFonts w:ascii="Calibri" w:hAnsi="Calibri"/>
          <w:b w:val="0"/>
          <w:i w:val="0"/>
          <w:color w:val="404040"/>
          <w:sz w:val="21"/>
        </w:rPr>
        <w:t>D. Match records → Load data → Investigate → Resolve → Escalate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standard workflow is: load both data sets → apply matching rules → identify unmatched items (breaks) → investigate root cause → resolve or escalate.</w:t>
            </w:r>
          </w:p>
        </w:tc>
      </w:tr>
    </w:tbl>
    <w:p>
      <w:pPr>
        <w:spacing w:after="40"/>
      </w:pPr>
    </w:p>
    <w:p>
      <w:pPr>
        <w:spacing w:before="80"/>
      </w:pPr>
      <w:r>
        <w:rPr>
          <w:rFonts w:ascii="Calibri" w:hAnsi="Calibri"/>
          <w:b/>
          <w:i w:val="0"/>
          <w:color w:val="101C4F"/>
          <w:sz w:val="22"/>
        </w:rPr>
        <w:t xml:space="preserve">Q10.  </w:t>
      </w:r>
      <w:r>
        <w:rPr>
          <w:rFonts w:ascii="Calibri" w:hAnsi="Calibri"/>
          <w:b w:val="0"/>
          <w:i w:val="0"/>
          <w:color w:val="404040"/>
          <w:sz w:val="22"/>
        </w:rPr>
        <w:t>Which of the following is NOT a common root cause of a reconciliation break?</w:t>
      </w:r>
    </w:p>
    <w:p>
      <w:pPr>
        <w:spacing w:before="20"/>
        <w:ind w:left="432"/>
      </w:pPr>
      <w:r>
        <w:rPr>
          <w:rFonts w:ascii="Calibri" w:hAnsi="Calibri"/>
          <w:b w:val="0"/>
          <w:i w:val="0"/>
          <w:color w:val="404040"/>
          <w:sz w:val="21"/>
        </w:rPr>
        <w:t>A. Timing differences caused by cut-off time mismatches</w:t>
      </w:r>
    </w:p>
    <w:p>
      <w:pPr>
        <w:spacing w:before="20"/>
        <w:ind w:left="432"/>
      </w:pPr>
      <w:r>
        <w:rPr>
          <w:rFonts w:ascii="Calibri" w:hAnsi="Calibri"/>
          <w:b w:val="0"/>
          <w:i w:val="0"/>
          <w:color w:val="404040"/>
          <w:sz w:val="21"/>
        </w:rPr>
        <w:t>B. Incorrect static data (e.g., wrong ISIN mapping)</w:t>
      </w:r>
    </w:p>
    <w:p>
      <w:pPr>
        <w:spacing w:before="20"/>
        <w:ind w:left="432"/>
      </w:pPr>
      <w:r>
        <w:rPr>
          <w:rFonts w:ascii="Calibri" w:hAnsi="Calibri"/>
          <w:b w:val="0"/>
          <w:i w:val="0"/>
          <w:color w:val="404040"/>
          <w:sz w:val="21"/>
        </w:rPr>
        <w:t>C. A trade executed at the best available price</w:t>
      </w:r>
    </w:p>
    <w:p>
      <w:pPr>
        <w:spacing w:before="20"/>
        <w:ind w:left="432"/>
      </w:pPr>
      <w:r>
        <w:rPr>
          <w:rFonts w:ascii="Calibri" w:hAnsi="Calibri"/>
          <w:b w:val="0"/>
          <w:i w:val="0"/>
          <w:color w:val="404040"/>
          <w:sz w:val="21"/>
        </w:rPr>
        <w:t>D. A settlement failure on one side only</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Best-execution pricing is a trade quality measure, not a reconciliation issue. Common break causes include timing, static data errors, failed settlements, and corporate action differences.</w:t>
            </w:r>
          </w:p>
        </w:tc>
      </w:tr>
    </w:tbl>
    <w:p>
      <w:pPr>
        <w:spacing w:after="40"/>
      </w:pPr>
    </w:p>
    <w:p>
      <w:pPr>
        <w:spacing w:before="80"/>
      </w:pPr>
      <w:r>
        <w:rPr>
          <w:rFonts w:ascii="Calibri" w:hAnsi="Calibri"/>
          <w:b/>
          <w:i w:val="0"/>
          <w:color w:val="101C4F"/>
          <w:sz w:val="22"/>
        </w:rPr>
        <w:t xml:space="preserve">Q11.  </w:t>
      </w:r>
      <w:r>
        <w:rPr>
          <w:rFonts w:ascii="Calibri" w:hAnsi="Calibri"/>
          <w:b w:val="0"/>
          <w:i w:val="0"/>
          <w:color w:val="404040"/>
          <w:sz w:val="22"/>
        </w:rPr>
        <w:t>An aged break is best described as:</w:t>
      </w:r>
    </w:p>
    <w:p>
      <w:pPr>
        <w:spacing w:before="20"/>
        <w:ind w:left="432"/>
      </w:pPr>
      <w:r>
        <w:rPr>
          <w:rFonts w:ascii="Calibri" w:hAnsi="Calibri"/>
          <w:b w:val="0"/>
          <w:i w:val="0"/>
          <w:color w:val="404040"/>
          <w:sz w:val="21"/>
        </w:rPr>
        <w:t>A. A discrepancy that arose from a trade executed more than one year ago</w:t>
      </w:r>
    </w:p>
    <w:p>
      <w:pPr>
        <w:spacing w:before="20"/>
        <w:ind w:left="432"/>
      </w:pPr>
      <w:r>
        <w:rPr>
          <w:rFonts w:ascii="Calibri" w:hAnsi="Calibri"/>
          <w:b w:val="0"/>
          <w:i w:val="0"/>
          <w:color w:val="404040"/>
          <w:sz w:val="21"/>
        </w:rPr>
        <w:t>B. An unresolved reconciliation difference that has remained open beyond the firm's defined tolerance period</w:t>
      </w:r>
    </w:p>
    <w:p>
      <w:pPr>
        <w:spacing w:before="20"/>
        <w:ind w:left="432"/>
      </w:pPr>
      <w:r>
        <w:rPr>
          <w:rFonts w:ascii="Calibri" w:hAnsi="Calibri"/>
          <w:b w:val="0"/>
          <w:i w:val="0"/>
          <w:color w:val="404040"/>
          <w:sz w:val="21"/>
        </w:rPr>
        <w:t>C. A break caused by an incorrect aging schedule applied to a bond</w:t>
      </w:r>
    </w:p>
    <w:p>
      <w:pPr>
        <w:spacing w:before="20"/>
        <w:ind w:left="432"/>
      </w:pPr>
      <w:r>
        <w:rPr>
          <w:rFonts w:ascii="Calibri" w:hAnsi="Calibri"/>
          <w:b w:val="0"/>
          <w:i w:val="0"/>
          <w:color w:val="404040"/>
          <w:sz w:val="21"/>
        </w:rPr>
        <w:t>D. A nostro item pending approval from a senior manager</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An aged break is any reconciliation difference that persists beyond the firm's set resolution deadline (e.g., 3, 5, or 10 business days), triggering escalation procedures.</w:t>
            </w:r>
          </w:p>
        </w:tc>
      </w:tr>
    </w:tbl>
    <w:p>
      <w:pPr>
        <w:spacing w:after="40"/>
      </w:pPr>
    </w:p>
    <w:p>
      <w:pPr>
        <w:spacing w:before="80"/>
      </w:pPr>
      <w:r>
        <w:rPr>
          <w:rFonts w:ascii="Calibri" w:hAnsi="Calibri"/>
          <w:b/>
          <w:i w:val="0"/>
          <w:color w:val="101C4F"/>
          <w:sz w:val="22"/>
        </w:rPr>
        <w:t xml:space="preserve">Q12.  </w:t>
      </w:r>
      <w:r>
        <w:rPr>
          <w:rFonts w:ascii="Calibri" w:hAnsi="Calibri"/>
          <w:b w:val="0"/>
          <w:i w:val="0"/>
          <w:color w:val="404040"/>
          <w:sz w:val="22"/>
        </w:rPr>
        <w:t>Which key performance indicator (KPI) measures how quickly breaks are resolved relative to the total number raised?</w:t>
      </w:r>
    </w:p>
    <w:p>
      <w:pPr>
        <w:spacing w:before="20"/>
        <w:ind w:left="432"/>
      </w:pPr>
      <w:r>
        <w:rPr>
          <w:rFonts w:ascii="Calibri" w:hAnsi="Calibri"/>
          <w:b w:val="0"/>
          <w:i w:val="0"/>
          <w:color w:val="404040"/>
          <w:sz w:val="21"/>
        </w:rPr>
        <w:t>A. Break-to-trade ratio</w:t>
      </w:r>
    </w:p>
    <w:p>
      <w:pPr>
        <w:spacing w:before="20"/>
        <w:ind w:left="432"/>
      </w:pPr>
      <w:r>
        <w:rPr>
          <w:rFonts w:ascii="Calibri" w:hAnsi="Calibri"/>
          <w:b w:val="0"/>
          <w:i w:val="0"/>
          <w:color w:val="404040"/>
          <w:sz w:val="21"/>
        </w:rPr>
        <w:t>B. Break aging rate</w:t>
      </w:r>
    </w:p>
    <w:p>
      <w:pPr>
        <w:spacing w:before="20"/>
        <w:ind w:left="432"/>
      </w:pPr>
      <w:r>
        <w:rPr>
          <w:rFonts w:ascii="Calibri" w:hAnsi="Calibri"/>
          <w:b w:val="0"/>
          <w:i w:val="0"/>
          <w:color w:val="404040"/>
          <w:sz w:val="21"/>
        </w:rPr>
        <w:t>C. Break resolution rate (% closed within SLA)</w:t>
      </w:r>
    </w:p>
    <w:p>
      <w:pPr>
        <w:spacing w:before="20"/>
        <w:ind w:left="432"/>
      </w:pPr>
      <w:r>
        <w:rPr>
          <w:rFonts w:ascii="Calibri" w:hAnsi="Calibri"/>
          <w:b w:val="0"/>
          <w:i w:val="0"/>
          <w:color w:val="404040"/>
          <w:sz w:val="21"/>
        </w:rPr>
        <w:t>D. Nostro utilisation rate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Break resolution rate measures the percentage of breaks closed within the agreed service level, indicating the efficiency and effectiveness of the reconciliation team.</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G11.4  |  Custody: Safekeeping and Administration of Securities</w:t>
            </w:r>
          </w:p>
        </w:tc>
      </w:tr>
    </w:tbl>
    <w:p/>
    <w:p>
      <w:pPr>
        <w:spacing w:before="80"/>
      </w:pPr>
      <w:r>
        <w:rPr>
          <w:rFonts w:ascii="Calibri" w:hAnsi="Calibri"/>
          <w:b/>
          <w:i w:val="0"/>
          <w:color w:val="101C4F"/>
          <w:sz w:val="22"/>
        </w:rPr>
        <w:t xml:space="preserve">Q13.  </w:t>
      </w:r>
      <w:r>
        <w:rPr>
          <w:rFonts w:ascii="Calibri" w:hAnsi="Calibri"/>
          <w:b w:val="0"/>
          <w:i w:val="0"/>
          <w:color w:val="404040"/>
          <w:sz w:val="22"/>
        </w:rPr>
        <w:t>What is the core function of a custodian bank?</w:t>
      </w:r>
    </w:p>
    <w:p>
      <w:pPr>
        <w:spacing w:before="20"/>
        <w:ind w:left="432"/>
      </w:pPr>
      <w:r>
        <w:rPr>
          <w:rFonts w:ascii="Calibri" w:hAnsi="Calibri"/>
          <w:b w:val="0"/>
          <w:i w:val="0"/>
          <w:color w:val="404040"/>
          <w:sz w:val="21"/>
        </w:rPr>
        <w:t>A. To execute trades on behalf of institutional clients</w:t>
      </w:r>
    </w:p>
    <w:p>
      <w:pPr>
        <w:spacing w:before="20"/>
        <w:ind w:left="432"/>
      </w:pPr>
      <w:r>
        <w:rPr>
          <w:rFonts w:ascii="Calibri" w:hAnsi="Calibri"/>
          <w:b w:val="0"/>
          <w:i w:val="0"/>
          <w:color w:val="404040"/>
          <w:sz w:val="21"/>
        </w:rPr>
        <w:t>B. To provide leverage and margin financing to hedge funds</w:t>
      </w:r>
    </w:p>
    <w:p>
      <w:pPr>
        <w:spacing w:before="20"/>
        <w:ind w:left="432"/>
      </w:pPr>
      <w:r>
        <w:rPr>
          <w:rFonts w:ascii="Calibri" w:hAnsi="Calibri"/>
          <w:b w:val="0"/>
          <w:i w:val="0"/>
          <w:color w:val="404040"/>
          <w:sz w:val="21"/>
        </w:rPr>
        <w:t>C. To hold and safeguard financial assets (securities and cash) on behalf of clients</w:t>
      </w:r>
    </w:p>
    <w:p>
      <w:pPr>
        <w:spacing w:before="20"/>
        <w:ind w:left="432"/>
      </w:pPr>
      <w:r>
        <w:rPr>
          <w:rFonts w:ascii="Calibri" w:hAnsi="Calibri"/>
          <w:b w:val="0"/>
          <w:i w:val="0"/>
          <w:color w:val="404040"/>
          <w:sz w:val="21"/>
        </w:rPr>
        <w:t>D. To act as the central counterparty for cleared derivatives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A custodian bank's primary role is the safekeeping of client assets — securities and cash — in segregated accounts, together with related administrative services.</w:t>
            </w:r>
          </w:p>
        </w:tc>
      </w:tr>
    </w:tbl>
    <w:p>
      <w:pPr>
        <w:spacing w:after="40"/>
      </w:pPr>
    </w:p>
    <w:p>
      <w:pPr>
        <w:spacing w:before="80"/>
      </w:pPr>
      <w:r>
        <w:rPr>
          <w:rFonts w:ascii="Calibri" w:hAnsi="Calibri"/>
          <w:b/>
          <w:i w:val="0"/>
          <w:color w:val="101C4F"/>
          <w:sz w:val="22"/>
        </w:rPr>
        <w:t xml:space="preserve">Q14.  </w:t>
      </w:r>
      <w:r>
        <w:rPr>
          <w:rFonts w:ascii="Calibri" w:hAnsi="Calibri"/>
          <w:b w:val="0"/>
          <w:i w:val="0"/>
          <w:color w:val="404040"/>
          <w:sz w:val="22"/>
        </w:rPr>
        <w:t>Which of the following is an administrative service typically provided by a custodian?</w:t>
      </w:r>
    </w:p>
    <w:p>
      <w:pPr>
        <w:spacing w:before="20"/>
        <w:ind w:left="432"/>
      </w:pPr>
      <w:r>
        <w:rPr>
          <w:rFonts w:ascii="Calibri" w:hAnsi="Calibri"/>
          <w:b w:val="0"/>
          <w:i w:val="0"/>
          <w:color w:val="404040"/>
          <w:sz w:val="21"/>
        </w:rPr>
        <w:t>A. Proprietary algorithmic trading</w:t>
      </w:r>
    </w:p>
    <w:p>
      <w:pPr>
        <w:spacing w:before="20"/>
        <w:ind w:left="432"/>
      </w:pPr>
      <w:r>
        <w:rPr>
          <w:rFonts w:ascii="Calibri" w:hAnsi="Calibri"/>
          <w:b w:val="0"/>
          <w:i w:val="0"/>
          <w:color w:val="404040"/>
          <w:sz w:val="21"/>
        </w:rPr>
        <w:t>B. Corporate action processing (e.g., dividend collection, rights issues)</w:t>
      </w:r>
    </w:p>
    <w:p>
      <w:pPr>
        <w:spacing w:before="20"/>
        <w:ind w:left="432"/>
      </w:pPr>
      <w:r>
        <w:rPr>
          <w:rFonts w:ascii="Calibri" w:hAnsi="Calibri"/>
          <w:b w:val="0"/>
          <w:i w:val="0"/>
          <w:color w:val="404040"/>
          <w:sz w:val="21"/>
        </w:rPr>
        <w:t>C. Credit rating assessment of the client</w:t>
      </w:r>
    </w:p>
    <w:p>
      <w:pPr>
        <w:spacing w:before="20"/>
        <w:ind w:left="432"/>
      </w:pPr>
      <w:r>
        <w:rPr>
          <w:rFonts w:ascii="Calibri" w:hAnsi="Calibri"/>
          <w:b w:val="0"/>
          <w:i w:val="0"/>
          <w:color w:val="404040"/>
          <w:sz w:val="21"/>
        </w:rPr>
        <w:t>D. Regulatory lobbying on behalf of the client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Custodians process corporate actions such as dividend collection, rights issue subscriptions, stock splits, and tender offers on behalf of asset owners.</w:t>
            </w:r>
          </w:p>
        </w:tc>
      </w:tr>
    </w:tbl>
    <w:p>
      <w:pPr>
        <w:spacing w:after="40"/>
      </w:pPr>
    </w:p>
    <w:p>
      <w:pPr>
        <w:spacing w:before="80"/>
      </w:pPr>
      <w:r>
        <w:rPr>
          <w:rFonts w:ascii="Calibri" w:hAnsi="Calibri"/>
          <w:b/>
          <w:i w:val="0"/>
          <w:color w:val="101C4F"/>
          <w:sz w:val="22"/>
        </w:rPr>
        <w:t xml:space="preserve">Q15.  </w:t>
      </w:r>
      <w:r>
        <w:rPr>
          <w:rFonts w:ascii="Calibri" w:hAnsi="Calibri"/>
          <w:b w:val="0"/>
          <w:i w:val="0"/>
          <w:color w:val="404040"/>
          <w:sz w:val="22"/>
        </w:rPr>
        <w:t>What distinguishes a global custodian from a sub-custodian?</w:t>
      </w:r>
    </w:p>
    <w:p>
      <w:pPr>
        <w:spacing w:before="20"/>
        <w:ind w:left="432"/>
      </w:pPr>
      <w:r>
        <w:rPr>
          <w:rFonts w:ascii="Calibri" w:hAnsi="Calibri"/>
          <w:b w:val="0"/>
          <w:i w:val="0"/>
          <w:color w:val="404040"/>
          <w:sz w:val="21"/>
        </w:rPr>
        <w:t>A. Global custodians only hold domestic securities; sub-custodians hold foreign assets</w:t>
      </w:r>
    </w:p>
    <w:p>
      <w:pPr>
        <w:spacing w:before="20"/>
        <w:ind w:left="432"/>
      </w:pPr>
      <w:r>
        <w:rPr>
          <w:rFonts w:ascii="Calibri" w:hAnsi="Calibri"/>
          <w:b w:val="0"/>
          <w:i w:val="0"/>
          <w:color w:val="404040"/>
          <w:sz w:val="21"/>
        </w:rPr>
        <w:t>B. A global custodian provides a single point of contact across multiple markets, appointing local sub-custodians in each market</w:t>
      </w:r>
    </w:p>
    <w:p>
      <w:pPr>
        <w:spacing w:before="20"/>
        <w:ind w:left="432"/>
      </w:pPr>
      <w:r>
        <w:rPr>
          <w:rFonts w:ascii="Calibri" w:hAnsi="Calibri"/>
          <w:b w:val="0"/>
          <w:i w:val="0"/>
          <w:color w:val="404040"/>
          <w:sz w:val="21"/>
        </w:rPr>
        <w:t>C. Sub-custodians are regulated; global custodians are exempt from regulation</w:t>
      </w:r>
    </w:p>
    <w:p>
      <w:pPr>
        <w:spacing w:before="20"/>
        <w:ind w:left="432"/>
      </w:pPr>
      <w:r>
        <w:rPr>
          <w:rFonts w:ascii="Calibri" w:hAnsi="Calibri"/>
          <w:b w:val="0"/>
          <w:i w:val="0"/>
          <w:color w:val="404040"/>
          <w:sz w:val="21"/>
        </w:rPr>
        <w:t>D. Global custodians execute trades while sub-custodians only hold cash</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Global custodians offer a one-stop service by maintaining local sub-custody arrangements in each market, giving clients consolidated reporting across all their holdings.</w:t>
            </w:r>
          </w:p>
        </w:tc>
      </w:tr>
    </w:tbl>
    <w:p>
      <w:pPr>
        <w:spacing w:after="40"/>
      </w:pPr>
    </w:p>
    <w:p>
      <w:pPr>
        <w:spacing w:before="80"/>
      </w:pPr>
      <w:r>
        <w:rPr>
          <w:rFonts w:ascii="Calibri" w:hAnsi="Calibri"/>
          <w:b/>
          <w:i w:val="0"/>
          <w:color w:val="101C4F"/>
          <w:sz w:val="22"/>
        </w:rPr>
        <w:t xml:space="preserve">Q16.  </w:t>
      </w:r>
      <w:r>
        <w:rPr>
          <w:rFonts w:ascii="Calibri" w:hAnsi="Calibri"/>
          <w:b w:val="0"/>
          <w:i w:val="0"/>
          <w:color w:val="404040"/>
          <w:sz w:val="22"/>
        </w:rPr>
        <w:t>Why is 'segregation of client assets' a fundamental requirement for custodians?</w:t>
      </w:r>
    </w:p>
    <w:p>
      <w:pPr>
        <w:spacing w:before="20"/>
        <w:ind w:left="432"/>
      </w:pPr>
      <w:r>
        <w:rPr>
          <w:rFonts w:ascii="Calibri" w:hAnsi="Calibri"/>
          <w:b w:val="0"/>
          <w:i w:val="0"/>
          <w:color w:val="404040"/>
          <w:sz w:val="21"/>
        </w:rPr>
        <w:t>A. To maximise the custodian's own investment returns</w:t>
      </w:r>
    </w:p>
    <w:p>
      <w:pPr>
        <w:spacing w:before="20"/>
        <w:ind w:left="432"/>
      </w:pPr>
      <w:r>
        <w:rPr>
          <w:rFonts w:ascii="Calibri" w:hAnsi="Calibri"/>
          <w:b w:val="0"/>
          <w:i w:val="0"/>
          <w:color w:val="404040"/>
          <w:sz w:val="21"/>
        </w:rPr>
        <w:t>B. To ensure client assets are not commingled with the custodian's proprietary assets and are protected in the event of insolvency</w:t>
      </w:r>
    </w:p>
    <w:p>
      <w:pPr>
        <w:spacing w:before="20"/>
        <w:ind w:left="432"/>
      </w:pPr>
      <w:r>
        <w:rPr>
          <w:rFonts w:ascii="Calibri" w:hAnsi="Calibri"/>
          <w:b w:val="0"/>
          <w:i w:val="0"/>
          <w:color w:val="404040"/>
          <w:sz w:val="21"/>
        </w:rPr>
        <w:t>C. To reduce settlement costs by netting client transactions</w:t>
      </w:r>
    </w:p>
    <w:p>
      <w:pPr>
        <w:spacing w:before="20"/>
        <w:ind w:left="432"/>
      </w:pPr>
      <w:r>
        <w:rPr>
          <w:rFonts w:ascii="Calibri" w:hAnsi="Calibri"/>
          <w:b w:val="0"/>
          <w:i w:val="0"/>
          <w:color w:val="404040"/>
          <w:sz w:val="21"/>
        </w:rPr>
        <w:t>D. To facilitate the custodian's use of client securities for proprietary trading</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Segregation protects clients: if a custodian becomes insolvent, segregated client assets cannot be claimed by the custodian's creditors and are returned to clients.</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G11.5  |  Settlement and Custody Operations</w:t>
            </w:r>
          </w:p>
        </w:tc>
      </w:tr>
    </w:tbl>
    <w:p/>
    <w:p>
      <w:pPr>
        <w:spacing w:before="80"/>
      </w:pPr>
      <w:r>
        <w:rPr>
          <w:rFonts w:ascii="Calibri" w:hAnsi="Calibri"/>
          <w:b/>
          <w:i w:val="0"/>
          <w:color w:val="101C4F"/>
          <w:sz w:val="22"/>
        </w:rPr>
        <w:t xml:space="preserve">Q17.  </w:t>
      </w:r>
      <w:r>
        <w:rPr>
          <w:rFonts w:ascii="Calibri" w:hAnsi="Calibri"/>
          <w:b w:val="0"/>
          <w:i w:val="0"/>
          <w:color w:val="404040"/>
          <w:sz w:val="22"/>
        </w:rPr>
        <w:t>In a Delivery Versus Payment (DVP) settlement model, what happens simultaneously?</w:t>
      </w:r>
    </w:p>
    <w:p>
      <w:pPr>
        <w:spacing w:before="20"/>
        <w:ind w:left="432"/>
      </w:pPr>
      <w:r>
        <w:rPr>
          <w:rFonts w:ascii="Calibri" w:hAnsi="Calibri"/>
          <w:b w:val="0"/>
          <w:i w:val="0"/>
          <w:color w:val="404040"/>
          <w:sz w:val="21"/>
        </w:rPr>
        <w:t>A. The trade confirmation and allocation are exchanged</w:t>
      </w:r>
    </w:p>
    <w:p>
      <w:pPr>
        <w:spacing w:before="20"/>
        <w:ind w:left="432"/>
      </w:pPr>
      <w:r>
        <w:rPr>
          <w:rFonts w:ascii="Calibri" w:hAnsi="Calibri"/>
          <w:b w:val="0"/>
          <w:i w:val="0"/>
          <w:color w:val="404040"/>
          <w:sz w:val="21"/>
        </w:rPr>
        <w:t>B. The delivery of securities and the transfer of cash payment occur at the same time</w:t>
      </w:r>
    </w:p>
    <w:p>
      <w:pPr>
        <w:spacing w:before="20"/>
        <w:ind w:left="432"/>
      </w:pPr>
      <w:r>
        <w:rPr>
          <w:rFonts w:ascii="Calibri" w:hAnsi="Calibri"/>
          <w:b w:val="0"/>
          <w:i w:val="0"/>
          <w:color w:val="404040"/>
          <w:sz w:val="21"/>
        </w:rPr>
        <w:t>C. The margin call is issued and the collateral is pledged</w:t>
      </w:r>
    </w:p>
    <w:p>
      <w:pPr>
        <w:spacing w:before="20"/>
        <w:ind w:left="432"/>
      </w:pPr>
      <w:r>
        <w:rPr>
          <w:rFonts w:ascii="Calibri" w:hAnsi="Calibri"/>
          <w:b w:val="0"/>
          <w:i w:val="0"/>
          <w:color w:val="404040"/>
          <w:sz w:val="21"/>
        </w:rPr>
        <w:t>D. The custodian statement and the internal ledger are compared</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DVP eliminates principal risk by ensuring that securities are transferred only when the corresponding cash payment is made, so neither party faces a loss if the other defaults mid-settlement.</w:t>
            </w:r>
          </w:p>
        </w:tc>
      </w:tr>
    </w:tbl>
    <w:p>
      <w:pPr>
        <w:spacing w:after="40"/>
      </w:pPr>
    </w:p>
    <w:p>
      <w:pPr>
        <w:spacing w:before="80"/>
      </w:pPr>
      <w:r>
        <w:rPr>
          <w:rFonts w:ascii="Calibri" w:hAnsi="Calibri"/>
          <w:b/>
          <w:i w:val="0"/>
          <w:color w:val="101C4F"/>
          <w:sz w:val="22"/>
        </w:rPr>
        <w:t xml:space="preserve">Q18.  </w:t>
      </w:r>
      <w:r>
        <w:rPr>
          <w:rFonts w:ascii="Calibri" w:hAnsi="Calibri"/>
          <w:b w:val="0"/>
          <w:i w:val="0"/>
          <w:color w:val="404040"/>
          <w:sz w:val="22"/>
        </w:rPr>
        <w:t>Which Central Securities Depository (CSD) holds the majority of US equity and corporate bond securities in book-entry form?</w:t>
      </w:r>
    </w:p>
    <w:p>
      <w:pPr>
        <w:spacing w:before="20"/>
        <w:ind w:left="432"/>
      </w:pPr>
      <w:r>
        <w:rPr>
          <w:rFonts w:ascii="Calibri" w:hAnsi="Calibri"/>
          <w:b w:val="0"/>
          <w:i w:val="0"/>
          <w:color w:val="404040"/>
          <w:sz w:val="21"/>
        </w:rPr>
        <w:t>A. Euroclear</w:t>
      </w:r>
    </w:p>
    <w:p>
      <w:pPr>
        <w:spacing w:before="20"/>
        <w:ind w:left="432"/>
      </w:pPr>
      <w:r>
        <w:rPr>
          <w:rFonts w:ascii="Calibri" w:hAnsi="Calibri"/>
          <w:b w:val="0"/>
          <w:i w:val="0"/>
          <w:color w:val="404040"/>
          <w:sz w:val="21"/>
        </w:rPr>
        <w:t>B. Clearstream</w:t>
      </w:r>
    </w:p>
    <w:p>
      <w:pPr>
        <w:spacing w:before="20"/>
        <w:ind w:left="432"/>
      </w:pPr>
      <w:r>
        <w:rPr>
          <w:rFonts w:ascii="Calibri" w:hAnsi="Calibri"/>
          <w:b w:val="0"/>
          <w:i w:val="0"/>
          <w:color w:val="404040"/>
          <w:sz w:val="21"/>
        </w:rPr>
        <w:t>C. The Depository Trust Company (DTC)</w:t>
      </w:r>
    </w:p>
    <w:p>
      <w:pPr>
        <w:spacing w:before="20"/>
        <w:ind w:left="432"/>
      </w:pPr>
      <w:r>
        <w:rPr>
          <w:rFonts w:ascii="Calibri" w:hAnsi="Calibri"/>
          <w:b w:val="0"/>
          <w:i w:val="0"/>
          <w:color w:val="404040"/>
          <w:sz w:val="21"/>
        </w:rPr>
        <w:t>D. SIX SIS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DTC (part of DTCC) is the US CSD, holding virtually all US equities and many debt securities in immobilised form and processing settlement via book-entry transfer.</w:t>
            </w:r>
          </w:p>
        </w:tc>
      </w:tr>
    </w:tbl>
    <w:p>
      <w:pPr>
        <w:spacing w:after="40"/>
      </w:pPr>
    </w:p>
    <w:p>
      <w:pPr>
        <w:spacing w:before="80"/>
      </w:pPr>
      <w:r>
        <w:rPr>
          <w:rFonts w:ascii="Calibri" w:hAnsi="Calibri"/>
          <w:b/>
          <w:i w:val="0"/>
          <w:color w:val="101C4F"/>
          <w:sz w:val="22"/>
        </w:rPr>
        <w:t xml:space="preserve">Q19.  </w:t>
      </w:r>
      <w:r>
        <w:rPr>
          <w:rFonts w:ascii="Calibri" w:hAnsi="Calibri"/>
          <w:b w:val="0"/>
          <w:i w:val="0"/>
          <w:color w:val="404040"/>
          <w:sz w:val="22"/>
        </w:rPr>
        <w:t>What is the consequence of a settlement fail (failed trade)?</w:t>
      </w:r>
    </w:p>
    <w:p>
      <w:pPr>
        <w:spacing w:before="20"/>
        <w:ind w:left="432"/>
      </w:pPr>
      <w:r>
        <w:rPr>
          <w:rFonts w:ascii="Calibri" w:hAnsi="Calibri"/>
          <w:b w:val="0"/>
          <w:i w:val="0"/>
          <w:color w:val="404040"/>
          <w:sz w:val="21"/>
        </w:rPr>
        <w:t>A. The trade is automatically cancelled and re-booked at a new price</w:t>
      </w:r>
    </w:p>
    <w:p>
      <w:pPr>
        <w:spacing w:before="20"/>
        <w:ind w:left="432"/>
      </w:pPr>
      <w:r>
        <w:rPr>
          <w:rFonts w:ascii="Calibri" w:hAnsi="Calibri"/>
          <w:b w:val="0"/>
          <w:i w:val="0"/>
          <w:color w:val="404040"/>
          <w:sz w:val="21"/>
        </w:rPr>
        <w:t>B. The delivering party may be subject to buy-in procedures and fail charges</w:t>
      </w:r>
    </w:p>
    <w:p>
      <w:pPr>
        <w:spacing w:before="20"/>
        <w:ind w:left="432"/>
      </w:pPr>
      <w:r>
        <w:rPr>
          <w:rFonts w:ascii="Calibri" w:hAnsi="Calibri"/>
          <w:b w:val="0"/>
          <w:i w:val="0"/>
          <w:color w:val="404040"/>
          <w:sz w:val="21"/>
        </w:rPr>
        <w:t>C. The trade immediately triggers a margin call at the CCP</w:t>
      </w:r>
    </w:p>
    <w:p>
      <w:pPr>
        <w:spacing w:before="20"/>
        <w:ind w:left="432"/>
      </w:pPr>
      <w:r>
        <w:rPr>
          <w:rFonts w:ascii="Calibri" w:hAnsi="Calibri"/>
          <w:b w:val="0"/>
          <w:i w:val="0"/>
          <w:color w:val="404040"/>
          <w:sz w:val="21"/>
        </w:rPr>
        <w:t>D. The custodian freezes the client's entire portfolio</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Under CSDR and market convention, persistent settlement failures expose the failing party to mandatory buy-in procedures where the receiving party can purchase the securities in the market at the defaulter's cost.</w:t>
            </w:r>
          </w:p>
        </w:tc>
      </w:tr>
    </w:tbl>
    <w:p>
      <w:pPr>
        <w:spacing w:after="40"/>
      </w:pPr>
    </w:p>
    <w:p>
      <w:pPr>
        <w:spacing w:before="80"/>
      </w:pPr>
      <w:r>
        <w:rPr>
          <w:rFonts w:ascii="Calibri" w:hAnsi="Calibri"/>
          <w:b/>
          <w:i w:val="0"/>
          <w:color w:val="101C4F"/>
          <w:sz w:val="22"/>
        </w:rPr>
        <w:t xml:space="preserve">Q20.  </w:t>
      </w:r>
      <w:r>
        <w:rPr>
          <w:rFonts w:ascii="Calibri" w:hAnsi="Calibri"/>
          <w:b w:val="0"/>
          <w:i w:val="0"/>
          <w:color w:val="404040"/>
          <w:sz w:val="22"/>
        </w:rPr>
        <w:t>A SWIFT MT541 message is used to instruct:</w:t>
      </w:r>
    </w:p>
    <w:p>
      <w:pPr>
        <w:spacing w:before="20"/>
        <w:ind w:left="432"/>
      </w:pPr>
      <w:r>
        <w:rPr>
          <w:rFonts w:ascii="Calibri" w:hAnsi="Calibri"/>
          <w:b w:val="0"/>
          <w:i w:val="0"/>
          <w:color w:val="404040"/>
          <w:sz w:val="21"/>
        </w:rPr>
        <w:t>A. A free-of-payment delivery of securities</w:t>
      </w:r>
    </w:p>
    <w:p>
      <w:pPr>
        <w:spacing w:before="20"/>
        <w:ind w:left="432"/>
      </w:pPr>
      <w:r>
        <w:rPr>
          <w:rFonts w:ascii="Calibri" w:hAnsi="Calibri"/>
          <w:b w:val="0"/>
          <w:i w:val="0"/>
          <w:color w:val="404040"/>
          <w:sz w:val="21"/>
        </w:rPr>
        <w:t>B. A receive-against-payment of securities</w:t>
      </w:r>
    </w:p>
    <w:p>
      <w:pPr>
        <w:spacing w:before="20"/>
        <w:ind w:left="432"/>
      </w:pPr>
      <w:r>
        <w:rPr>
          <w:rFonts w:ascii="Calibri" w:hAnsi="Calibri"/>
          <w:b w:val="0"/>
          <w:i w:val="0"/>
          <w:color w:val="404040"/>
          <w:sz w:val="21"/>
        </w:rPr>
        <w:t>C. A deliver-against-payment of securities</w:t>
      </w:r>
    </w:p>
    <w:p>
      <w:pPr>
        <w:spacing w:before="20"/>
        <w:ind w:left="432"/>
      </w:pPr>
      <w:r>
        <w:rPr>
          <w:rFonts w:ascii="Calibri" w:hAnsi="Calibri"/>
          <w:b w:val="0"/>
          <w:i w:val="0"/>
          <w:color w:val="404040"/>
          <w:sz w:val="21"/>
        </w:rPr>
        <w:t>D. A cash credit advice from the nostro bank</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MT541 is the SWIFT message type for 'Receive Against Payment' – instructing the custodian to receive securities while simultaneously making a cash payment.</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G11.6  |  Corporate Actions Processing</w:t>
            </w:r>
          </w:p>
        </w:tc>
      </w:tr>
    </w:tbl>
    <w:p/>
    <w:p>
      <w:pPr>
        <w:spacing w:before="80"/>
      </w:pPr>
      <w:r>
        <w:rPr>
          <w:rFonts w:ascii="Calibri" w:hAnsi="Calibri"/>
          <w:b/>
          <w:i w:val="0"/>
          <w:color w:val="101C4F"/>
          <w:sz w:val="22"/>
        </w:rPr>
        <w:t xml:space="preserve">Q21.  </w:t>
      </w:r>
      <w:r>
        <w:rPr>
          <w:rFonts w:ascii="Calibri" w:hAnsi="Calibri"/>
          <w:b w:val="0"/>
          <w:i w:val="0"/>
          <w:color w:val="404040"/>
          <w:sz w:val="22"/>
        </w:rPr>
        <w:t>What is a mandatory corporate action?</w:t>
      </w:r>
    </w:p>
    <w:p>
      <w:pPr>
        <w:spacing w:before="20"/>
        <w:ind w:left="432"/>
      </w:pPr>
      <w:r>
        <w:rPr>
          <w:rFonts w:ascii="Calibri" w:hAnsi="Calibri"/>
          <w:b w:val="0"/>
          <w:i w:val="0"/>
          <w:color w:val="404040"/>
          <w:sz w:val="21"/>
        </w:rPr>
        <w:t>A. An event where shareholders must choose between cash or stock dividends</w:t>
      </w:r>
    </w:p>
    <w:p>
      <w:pPr>
        <w:spacing w:before="20"/>
        <w:ind w:left="432"/>
      </w:pPr>
      <w:r>
        <w:rPr>
          <w:rFonts w:ascii="Calibri" w:hAnsi="Calibri"/>
          <w:b w:val="0"/>
          <w:i w:val="0"/>
          <w:color w:val="404040"/>
          <w:sz w:val="21"/>
        </w:rPr>
        <w:t>B. An event that happens automatically to all eligible holders without requiring any election</w:t>
      </w:r>
    </w:p>
    <w:p>
      <w:pPr>
        <w:spacing w:before="20"/>
        <w:ind w:left="432"/>
      </w:pPr>
      <w:r>
        <w:rPr>
          <w:rFonts w:ascii="Calibri" w:hAnsi="Calibri"/>
          <w:b w:val="0"/>
          <w:i w:val="0"/>
          <w:color w:val="404040"/>
          <w:sz w:val="21"/>
        </w:rPr>
        <w:t>C. A board resolution that requires shareholder approval to proceed</w:t>
      </w:r>
    </w:p>
    <w:p>
      <w:pPr>
        <w:spacing w:before="20"/>
        <w:ind w:left="432"/>
      </w:pPr>
      <w:r>
        <w:rPr>
          <w:rFonts w:ascii="Calibri" w:hAnsi="Calibri"/>
          <w:b w:val="0"/>
          <w:i w:val="0"/>
          <w:color w:val="404040"/>
          <w:sz w:val="21"/>
        </w:rPr>
        <w:t>D. A voluntary tender offer where shareholders can accept or decline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Mandatory corporate actions (e.g., stock splits, mergers, mandatory redemptions) apply automatically to all holders without requiring any response or election.</w:t>
            </w:r>
          </w:p>
        </w:tc>
      </w:tr>
    </w:tbl>
    <w:p>
      <w:pPr>
        <w:spacing w:after="40"/>
      </w:pPr>
    </w:p>
    <w:p>
      <w:pPr>
        <w:spacing w:before="80"/>
      </w:pPr>
      <w:r>
        <w:rPr>
          <w:rFonts w:ascii="Calibri" w:hAnsi="Calibri"/>
          <w:b/>
          <w:i w:val="0"/>
          <w:color w:val="101C4F"/>
          <w:sz w:val="22"/>
        </w:rPr>
        <w:t xml:space="preserve">Q22.  </w:t>
      </w:r>
      <w:r>
        <w:rPr>
          <w:rFonts w:ascii="Calibri" w:hAnsi="Calibri"/>
          <w:b w:val="0"/>
          <w:i w:val="0"/>
          <w:color w:val="404040"/>
          <w:sz w:val="22"/>
        </w:rPr>
        <w:t>In the context of corporate actions, what is an 'ex-date'?</w:t>
      </w:r>
    </w:p>
    <w:p>
      <w:pPr>
        <w:spacing w:before="20"/>
        <w:ind w:left="432"/>
      </w:pPr>
      <w:r>
        <w:rPr>
          <w:rFonts w:ascii="Calibri" w:hAnsi="Calibri"/>
          <w:b w:val="0"/>
          <w:i w:val="0"/>
          <w:color w:val="404040"/>
          <w:sz w:val="21"/>
        </w:rPr>
        <w:t>A. The date the dividend is actually paid into the investor's account</w:t>
      </w:r>
    </w:p>
    <w:p>
      <w:pPr>
        <w:spacing w:before="20"/>
        <w:ind w:left="432"/>
      </w:pPr>
      <w:r>
        <w:rPr>
          <w:rFonts w:ascii="Calibri" w:hAnsi="Calibri"/>
          <w:b w:val="0"/>
          <w:i w:val="0"/>
          <w:color w:val="404040"/>
          <w:sz w:val="21"/>
        </w:rPr>
        <w:t>B. The date by which you must hold shares to qualify for the entitlement</w:t>
      </w:r>
    </w:p>
    <w:p>
      <w:pPr>
        <w:spacing w:before="20"/>
        <w:ind w:left="432"/>
      </w:pPr>
      <w:r>
        <w:rPr>
          <w:rFonts w:ascii="Calibri" w:hAnsi="Calibri"/>
          <w:b w:val="0"/>
          <w:i w:val="0"/>
          <w:color w:val="404040"/>
          <w:sz w:val="21"/>
        </w:rPr>
        <w:t>C. The first date on which a security trades without the upcoming dividend or entitlement</w:t>
      </w:r>
    </w:p>
    <w:p>
      <w:pPr>
        <w:spacing w:before="20"/>
        <w:ind w:left="432"/>
      </w:pPr>
      <w:r>
        <w:rPr>
          <w:rFonts w:ascii="Calibri" w:hAnsi="Calibri"/>
          <w:b w:val="0"/>
          <w:i w:val="0"/>
          <w:color w:val="404040"/>
          <w:sz w:val="21"/>
        </w:rPr>
        <w:t>D. The date the corporate action is announced to the market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ex-date is when the security begins trading without the entitlement. Buyers on or after the ex-date do not receive the upcoming dividend or corporate action benefit.</w:t>
            </w:r>
          </w:p>
        </w:tc>
      </w:tr>
    </w:tbl>
    <w:p>
      <w:pPr>
        <w:spacing w:after="40"/>
      </w:pPr>
    </w:p>
    <w:p>
      <w:pPr>
        <w:spacing w:before="80"/>
      </w:pPr>
      <w:r>
        <w:rPr>
          <w:rFonts w:ascii="Calibri" w:hAnsi="Calibri"/>
          <w:b/>
          <w:i w:val="0"/>
          <w:color w:val="101C4F"/>
          <w:sz w:val="22"/>
        </w:rPr>
        <w:t xml:space="preserve">Q23.  </w:t>
      </w:r>
      <w:r>
        <w:rPr>
          <w:rFonts w:ascii="Calibri" w:hAnsi="Calibri"/>
          <w:b w:val="0"/>
          <w:i w:val="0"/>
          <w:color w:val="404040"/>
          <w:sz w:val="22"/>
        </w:rPr>
        <w:t>A rights issue is best described as:</w:t>
      </w:r>
    </w:p>
    <w:p>
      <w:pPr>
        <w:spacing w:before="20"/>
        <w:ind w:left="432"/>
      </w:pPr>
      <w:r>
        <w:rPr>
          <w:rFonts w:ascii="Calibri" w:hAnsi="Calibri"/>
          <w:b w:val="0"/>
          <w:i w:val="0"/>
          <w:color w:val="404040"/>
          <w:sz w:val="21"/>
        </w:rPr>
        <w:t>A. An event where existing shareholders are given the right to buy additional shares at a discounted price</w:t>
      </w:r>
    </w:p>
    <w:p>
      <w:pPr>
        <w:spacing w:before="20"/>
        <w:ind w:left="432"/>
      </w:pPr>
      <w:r>
        <w:rPr>
          <w:rFonts w:ascii="Calibri" w:hAnsi="Calibri"/>
          <w:b w:val="0"/>
          <w:i w:val="0"/>
          <w:color w:val="404040"/>
          <w:sz w:val="21"/>
        </w:rPr>
        <w:t>B. A mandatory buyback of shares by the company</w:t>
      </w:r>
    </w:p>
    <w:p>
      <w:pPr>
        <w:spacing w:before="20"/>
        <w:ind w:left="432"/>
      </w:pPr>
      <w:r>
        <w:rPr>
          <w:rFonts w:ascii="Calibri" w:hAnsi="Calibri"/>
          <w:b w:val="0"/>
          <w:i w:val="0"/>
          <w:color w:val="404040"/>
          <w:sz w:val="21"/>
        </w:rPr>
        <w:t>C. A special dividend paid in shares rather than cash</w:t>
      </w:r>
    </w:p>
    <w:p>
      <w:pPr>
        <w:spacing w:before="20"/>
        <w:ind w:left="432"/>
      </w:pPr>
      <w:r>
        <w:rPr>
          <w:rFonts w:ascii="Calibri" w:hAnsi="Calibri"/>
          <w:b w:val="0"/>
          <w:i w:val="0"/>
          <w:color w:val="404040"/>
          <w:sz w:val="21"/>
        </w:rPr>
        <w:t>D. A swap of ordinary shares for preference shares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A</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In a rights issue, the company offers existing shareholders the right (but not the obligation) to subscribe for new shares at a set price, typically below market price.</w:t>
            </w:r>
          </w:p>
        </w:tc>
      </w:tr>
    </w:tbl>
    <w:p>
      <w:pPr>
        <w:spacing w:after="40"/>
      </w:pPr>
    </w:p>
    <w:p>
      <w:pPr>
        <w:spacing w:before="80"/>
      </w:pPr>
      <w:r>
        <w:rPr>
          <w:rFonts w:ascii="Calibri" w:hAnsi="Calibri"/>
          <w:b/>
          <w:i w:val="0"/>
          <w:color w:val="101C4F"/>
          <w:sz w:val="22"/>
        </w:rPr>
        <w:t xml:space="preserve">Q24.  </w:t>
      </w:r>
      <w:r>
        <w:rPr>
          <w:rFonts w:ascii="Calibri" w:hAnsi="Calibri"/>
          <w:b w:val="0"/>
          <w:i w:val="0"/>
          <w:color w:val="404040"/>
          <w:sz w:val="22"/>
        </w:rPr>
        <w:t>Why is accurate record of the 'record date' critical for a custodian processing a cash dividend?</w:t>
      </w:r>
    </w:p>
    <w:p>
      <w:pPr>
        <w:spacing w:before="20"/>
        <w:ind w:left="432"/>
      </w:pPr>
      <w:r>
        <w:rPr>
          <w:rFonts w:ascii="Calibri" w:hAnsi="Calibri"/>
          <w:b w:val="0"/>
          <w:i w:val="0"/>
          <w:color w:val="404040"/>
          <w:sz w:val="21"/>
        </w:rPr>
        <w:t>A. It determines the exchange rate used for FX conversion of dividends</w:t>
      </w:r>
    </w:p>
    <w:p>
      <w:pPr>
        <w:spacing w:before="20"/>
        <w:ind w:left="432"/>
      </w:pPr>
      <w:r>
        <w:rPr>
          <w:rFonts w:ascii="Calibri" w:hAnsi="Calibri"/>
          <w:b w:val="0"/>
          <w:i w:val="0"/>
          <w:color w:val="404040"/>
          <w:sz w:val="21"/>
        </w:rPr>
        <w:t>B. It identifies which clients are eligible to receive the dividend based on their holdings at close of business on that date</w:t>
      </w:r>
    </w:p>
    <w:p>
      <w:pPr>
        <w:spacing w:before="20"/>
        <w:ind w:left="432"/>
      </w:pPr>
      <w:r>
        <w:rPr>
          <w:rFonts w:ascii="Calibri" w:hAnsi="Calibri"/>
          <w:b w:val="0"/>
          <w:i w:val="0"/>
          <w:color w:val="404040"/>
          <w:sz w:val="21"/>
        </w:rPr>
        <w:t>C. It triggers the automatic reinvestment of dividends for all clients</w:t>
      </w:r>
    </w:p>
    <w:p>
      <w:pPr>
        <w:spacing w:before="20"/>
        <w:ind w:left="432"/>
      </w:pPr>
      <w:r>
        <w:rPr>
          <w:rFonts w:ascii="Calibri" w:hAnsi="Calibri"/>
          <w:b w:val="0"/>
          <w:i w:val="0"/>
          <w:color w:val="404040"/>
          <w:sz w:val="21"/>
        </w:rPr>
        <w:t>D. It sets the maturity date for the dividend reinvestment plan</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record date is the cut-off date used by the issuer and custodian to determine which investors are entitled to the dividend; only holders on the register at close of business receive payment.</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G11.7  |  Proxy Voting and Shareholder Services</w:t>
            </w:r>
          </w:p>
        </w:tc>
      </w:tr>
    </w:tbl>
    <w:p/>
    <w:p>
      <w:pPr>
        <w:spacing w:before="80"/>
      </w:pPr>
      <w:r>
        <w:rPr>
          <w:rFonts w:ascii="Calibri" w:hAnsi="Calibri"/>
          <w:b/>
          <w:i w:val="0"/>
          <w:color w:val="101C4F"/>
          <w:sz w:val="22"/>
        </w:rPr>
        <w:t xml:space="preserve">Q25.  </w:t>
      </w:r>
      <w:r>
        <w:rPr>
          <w:rFonts w:ascii="Calibri" w:hAnsi="Calibri"/>
          <w:b w:val="0"/>
          <w:i w:val="0"/>
          <w:color w:val="404040"/>
          <w:sz w:val="22"/>
        </w:rPr>
        <w:t>What is a proxy vote?</w:t>
      </w:r>
    </w:p>
    <w:p>
      <w:pPr>
        <w:spacing w:before="20"/>
        <w:ind w:left="432"/>
      </w:pPr>
      <w:r>
        <w:rPr>
          <w:rFonts w:ascii="Calibri" w:hAnsi="Calibri"/>
          <w:b w:val="0"/>
          <w:i w:val="0"/>
          <w:color w:val="404040"/>
          <w:sz w:val="21"/>
        </w:rPr>
        <w:t>A. An emergency vote cast by the board in the absence of a quorum</w:t>
      </w:r>
    </w:p>
    <w:p>
      <w:pPr>
        <w:spacing w:before="20"/>
        <w:ind w:left="432"/>
      </w:pPr>
      <w:r>
        <w:rPr>
          <w:rFonts w:ascii="Calibri" w:hAnsi="Calibri"/>
          <w:b w:val="0"/>
          <w:i w:val="0"/>
          <w:color w:val="404040"/>
          <w:sz w:val="21"/>
        </w:rPr>
        <w:t>B. A vote cast on behalf of a shareholder by an authorised representative</w:t>
      </w:r>
    </w:p>
    <w:p>
      <w:pPr>
        <w:spacing w:before="20"/>
        <w:ind w:left="432"/>
      </w:pPr>
      <w:r>
        <w:rPr>
          <w:rFonts w:ascii="Calibri" w:hAnsi="Calibri"/>
          <w:b w:val="0"/>
          <w:i w:val="0"/>
          <w:color w:val="404040"/>
          <w:sz w:val="21"/>
        </w:rPr>
        <w:t>C. A vote to approve a merger without shareholder consent</w:t>
      </w:r>
    </w:p>
    <w:p>
      <w:pPr>
        <w:spacing w:before="20"/>
        <w:ind w:left="432"/>
      </w:pPr>
      <w:r>
        <w:rPr>
          <w:rFonts w:ascii="Calibri" w:hAnsi="Calibri"/>
          <w:b w:val="0"/>
          <w:i w:val="0"/>
          <w:color w:val="404040"/>
          <w:sz w:val="21"/>
        </w:rPr>
        <w:t>D. A regulatory override of a shareholder resolution</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A proxy vote allows a shareholder to authorise another party (the proxy) to vote on their behalf at a general meeting, enabling institutional investors to exercise governance rights across large portfolios.</w:t>
            </w:r>
          </w:p>
        </w:tc>
      </w:tr>
    </w:tbl>
    <w:p>
      <w:pPr>
        <w:spacing w:after="40"/>
      </w:pPr>
    </w:p>
    <w:p>
      <w:pPr>
        <w:spacing w:before="80"/>
      </w:pPr>
      <w:r>
        <w:rPr>
          <w:rFonts w:ascii="Calibri" w:hAnsi="Calibri"/>
          <w:b/>
          <w:i w:val="0"/>
          <w:color w:val="101C4F"/>
          <w:sz w:val="22"/>
        </w:rPr>
        <w:t xml:space="preserve">Q26.  </w:t>
      </w:r>
      <w:r>
        <w:rPr>
          <w:rFonts w:ascii="Calibri" w:hAnsi="Calibri"/>
          <w:b w:val="0"/>
          <w:i w:val="0"/>
          <w:color w:val="404040"/>
          <w:sz w:val="22"/>
        </w:rPr>
        <w:t>Which regulation specifically requires institutional investors and asset managers to disclose their voting policies and records?</w:t>
      </w:r>
    </w:p>
    <w:p>
      <w:pPr>
        <w:spacing w:before="20"/>
        <w:ind w:left="432"/>
      </w:pPr>
      <w:r>
        <w:rPr>
          <w:rFonts w:ascii="Calibri" w:hAnsi="Calibri"/>
          <w:b w:val="0"/>
          <w:i w:val="0"/>
          <w:color w:val="404040"/>
          <w:sz w:val="21"/>
        </w:rPr>
        <w:t>A. Basel III Pillar 3</w:t>
      </w:r>
    </w:p>
    <w:p>
      <w:pPr>
        <w:spacing w:before="20"/>
        <w:ind w:left="432"/>
      </w:pPr>
      <w:r>
        <w:rPr>
          <w:rFonts w:ascii="Calibri" w:hAnsi="Calibri"/>
          <w:b w:val="0"/>
          <w:i w:val="0"/>
          <w:color w:val="404040"/>
          <w:sz w:val="21"/>
        </w:rPr>
        <w:t>B. The Shareholder Rights Directive II (SRD II)</w:t>
      </w:r>
    </w:p>
    <w:p>
      <w:pPr>
        <w:spacing w:before="20"/>
        <w:ind w:left="432"/>
      </w:pPr>
      <w:r>
        <w:rPr>
          <w:rFonts w:ascii="Calibri" w:hAnsi="Calibri"/>
          <w:b w:val="0"/>
          <w:i w:val="0"/>
          <w:color w:val="404040"/>
          <w:sz w:val="21"/>
        </w:rPr>
        <w:t>C. Dodd-Frank Act Title VII</w:t>
      </w:r>
    </w:p>
    <w:p>
      <w:pPr>
        <w:spacing w:before="20"/>
        <w:ind w:left="432"/>
      </w:pPr>
      <w:r>
        <w:rPr>
          <w:rFonts w:ascii="Calibri" w:hAnsi="Calibri"/>
          <w:b w:val="0"/>
          <w:i w:val="0"/>
          <w:color w:val="404040"/>
          <w:sz w:val="21"/>
        </w:rPr>
        <w:t>D. CFTC Regulation 23</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SRD II (2020) requires institutional investors and asset managers in the EU to develop and publicly disclose an engagement and voting policy, promoting long-term shareholder engagement.</w:t>
            </w:r>
          </w:p>
        </w:tc>
      </w:tr>
    </w:tbl>
    <w:p>
      <w:pPr>
        <w:spacing w:after="40"/>
      </w:pPr>
    </w:p>
    <w:p>
      <w:pPr>
        <w:spacing w:before="80"/>
      </w:pPr>
      <w:r>
        <w:rPr>
          <w:rFonts w:ascii="Calibri" w:hAnsi="Calibri"/>
          <w:b/>
          <w:i w:val="0"/>
          <w:color w:val="101C4F"/>
          <w:sz w:val="22"/>
        </w:rPr>
        <w:t xml:space="preserve">Q27.  </w:t>
      </w:r>
      <w:r>
        <w:rPr>
          <w:rFonts w:ascii="Calibri" w:hAnsi="Calibri"/>
          <w:b w:val="0"/>
          <w:i w:val="0"/>
          <w:color w:val="404040"/>
          <w:sz w:val="22"/>
        </w:rPr>
        <w:t>What is the role of a proxy advisor (e.g., ISS or Glass Lewis)?</w:t>
      </w:r>
    </w:p>
    <w:p>
      <w:pPr>
        <w:spacing w:before="20"/>
        <w:ind w:left="432"/>
      </w:pPr>
      <w:r>
        <w:rPr>
          <w:rFonts w:ascii="Calibri" w:hAnsi="Calibri"/>
          <w:b w:val="0"/>
          <w:i w:val="0"/>
          <w:color w:val="404040"/>
          <w:sz w:val="21"/>
        </w:rPr>
        <w:t>A. To execute buy/sell orders on behalf of institutional investors</w:t>
      </w:r>
    </w:p>
    <w:p>
      <w:pPr>
        <w:spacing w:before="20"/>
        <w:ind w:left="432"/>
      </w:pPr>
      <w:r>
        <w:rPr>
          <w:rFonts w:ascii="Calibri" w:hAnsi="Calibri"/>
          <w:b w:val="0"/>
          <w:i w:val="0"/>
          <w:color w:val="404040"/>
          <w:sz w:val="21"/>
        </w:rPr>
        <w:t>B. To provide independent research and voting recommendations on corporate resolutions</w:t>
      </w:r>
    </w:p>
    <w:p>
      <w:pPr>
        <w:spacing w:before="20"/>
        <w:ind w:left="432"/>
      </w:pPr>
      <w:r>
        <w:rPr>
          <w:rFonts w:ascii="Calibri" w:hAnsi="Calibri"/>
          <w:b w:val="0"/>
          <w:i w:val="0"/>
          <w:color w:val="404040"/>
          <w:sz w:val="21"/>
        </w:rPr>
        <w:t>C. To act as the registrar of shareholders for the issuing company</w:t>
      </w:r>
    </w:p>
    <w:p>
      <w:pPr>
        <w:spacing w:before="20"/>
        <w:ind w:left="432"/>
      </w:pPr>
      <w:r>
        <w:rPr>
          <w:rFonts w:ascii="Calibri" w:hAnsi="Calibri"/>
          <w:b w:val="0"/>
          <w:i w:val="0"/>
          <w:color w:val="404040"/>
          <w:sz w:val="21"/>
        </w:rPr>
        <w:t>D. To manage the dividend reinvestment programme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Proxy advisors analyse agenda items at general meetings and provide voting recommendations to institutional clients, helping them exercise governance responsibilities at scale.</w:t>
            </w:r>
          </w:p>
        </w:tc>
      </w:tr>
    </w:tbl>
    <w:p>
      <w:pPr>
        <w:spacing w:after="40"/>
      </w:pPr>
    </w:p>
    <w:p>
      <w:pPr>
        <w:spacing w:before="80"/>
      </w:pPr>
      <w:r>
        <w:rPr>
          <w:rFonts w:ascii="Calibri" w:hAnsi="Calibri"/>
          <w:b/>
          <w:i w:val="0"/>
          <w:color w:val="101C4F"/>
          <w:sz w:val="22"/>
        </w:rPr>
        <w:t xml:space="preserve">Q28.  </w:t>
      </w:r>
      <w:r>
        <w:rPr>
          <w:rFonts w:ascii="Calibri" w:hAnsi="Calibri"/>
          <w:b w:val="0"/>
          <w:i w:val="0"/>
          <w:color w:val="404040"/>
          <w:sz w:val="22"/>
        </w:rPr>
        <w:t>What is 'empty voting' and why is it a concern in corporate governance?</w:t>
      </w:r>
    </w:p>
    <w:p>
      <w:pPr>
        <w:spacing w:before="20"/>
        <w:ind w:left="432"/>
      </w:pPr>
      <w:r>
        <w:rPr>
          <w:rFonts w:ascii="Calibri" w:hAnsi="Calibri"/>
          <w:b w:val="0"/>
          <w:i w:val="0"/>
          <w:color w:val="404040"/>
          <w:sz w:val="21"/>
        </w:rPr>
        <w:t>A. When a shareholder votes but abstains on all resolutions, weakening quorum</w:t>
      </w:r>
    </w:p>
    <w:p>
      <w:pPr>
        <w:spacing w:before="20"/>
        <w:ind w:left="432"/>
      </w:pPr>
      <w:r>
        <w:rPr>
          <w:rFonts w:ascii="Calibri" w:hAnsi="Calibri"/>
          <w:b w:val="0"/>
          <w:i w:val="0"/>
          <w:color w:val="404040"/>
          <w:sz w:val="21"/>
        </w:rPr>
        <w:t>B. When a party holds voting rights disproportionate to their economic interest, potentially distorting AGM outcomes</w:t>
      </w:r>
    </w:p>
    <w:p>
      <w:pPr>
        <w:spacing w:before="20"/>
        <w:ind w:left="432"/>
      </w:pPr>
      <w:r>
        <w:rPr>
          <w:rFonts w:ascii="Calibri" w:hAnsi="Calibri"/>
          <w:b w:val="0"/>
          <w:i w:val="0"/>
          <w:color w:val="404040"/>
          <w:sz w:val="21"/>
        </w:rPr>
        <w:t>C. When a custodian fails to transmit a client's vote before the deadline</w:t>
      </w:r>
    </w:p>
    <w:p>
      <w:pPr>
        <w:spacing w:before="20"/>
        <w:ind w:left="432"/>
      </w:pPr>
      <w:r>
        <w:rPr>
          <w:rFonts w:ascii="Calibri" w:hAnsi="Calibri"/>
          <w:b w:val="0"/>
          <w:i w:val="0"/>
          <w:color w:val="404040"/>
          <w:sz w:val="21"/>
        </w:rPr>
        <w:t>D. When the board cancels an AGM due to lack of proposals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Empty voting occurs when someone acquires voting rights (e.g., via stock lending or derivatives) without bearing the corresponding economic risk, allowing them to influence votes in ways misaligned with economic ownership.</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G11.8  |  Securities Lending and Borrowing</w:t>
            </w:r>
          </w:p>
        </w:tc>
      </w:tr>
    </w:tbl>
    <w:p/>
    <w:p>
      <w:pPr>
        <w:spacing w:before="80"/>
      </w:pPr>
      <w:r>
        <w:rPr>
          <w:rFonts w:ascii="Calibri" w:hAnsi="Calibri"/>
          <w:b/>
          <w:i w:val="0"/>
          <w:color w:val="101C4F"/>
          <w:sz w:val="22"/>
        </w:rPr>
        <w:t xml:space="preserve">Q29.  </w:t>
      </w:r>
      <w:r>
        <w:rPr>
          <w:rFonts w:ascii="Calibri" w:hAnsi="Calibri"/>
          <w:b w:val="0"/>
          <w:i w:val="0"/>
          <w:color w:val="404040"/>
          <w:sz w:val="22"/>
        </w:rPr>
        <w:t>What is the primary motivation for a hedge fund to borrow securities?</w:t>
      </w:r>
    </w:p>
    <w:p>
      <w:pPr>
        <w:spacing w:before="20"/>
        <w:ind w:left="432"/>
      </w:pPr>
      <w:r>
        <w:rPr>
          <w:rFonts w:ascii="Calibri" w:hAnsi="Calibri"/>
          <w:b w:val="0"/>
          <w:i w:val="0"/>
          <w:color w:val="404040"/>
          <w:sz w:val="21"/>
        </w:rPr>
        <w:t>A. To earn a lending fee income on long positions</w:t>
      </w:r>
    </w:p>
    <w:p>
      <w:pPr>
        <w:spacing w:before="20"/>
        <w:ind w:left="432"/>
      </w:pPr>
      <w:r>
        <w:rPr>
          <w:rFonts w:ascii="Calibri" w:hAnsi="Calibri"/>
          <w:b w:val="0"/>
          <w:i w:val="0"/>
          <w:color w:val="404040"/>
          <w:sz w:val="21"/>
        </w:rPr>
        <w:t>B. To facilitate a short sale – selling borrowed shares hoping to repurchase at a lower price</w:t>
      </w:r>
    </w:p>
    <w:p>
      <w:pPr>
        <w:spacing w:before="20"/>
        <w:ind w:left="432"/>
      </w:pPr>
      <w:r>
        <w:rPr>
          <w:rFonts w:ascii="Calibri" w:hAnsi="Calibri"/>
          <w:b w:val="0"/>
          <w:i w:val="0"/>
          <w:color w:val="404040"/>
          <w:sz w:val="21"/>
        </w:rPr>
        <w:t>C. To earn proxy voting rights on the borrowed securities</w:t>
      </w:r>
    </w:p>
    <w:p>
      <w:pPr>
        <w:spacing w:before="20"/>
        <w:ind w:left="432"/>
      </w:pPr>
      <w:r>
        <w:rPr>
          <w:rFonts w:ascii="Calibri" w:hAnsi="Calibri"/>
          <w:b w:val="0"/>
          <w:i w:val="0"/>
          <w:color w:val="404040"/>
          <w:sz w:val="21"/>
        </w:rPr>
        <w:t>D. To reduce custodian fees by consolidating positions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Borrowing enables short selling: the hedge fund borrows shares, sells them in the market, and hopes to buy them back cheaper later, returning them to the lender and pocketing the difference.</w:t>
            </w:r>
          </w:p>
        </w:tc>
      </w:tr>
    </w:tbl>
    <w:p>
      <w:pPr>
        <w:spacing w:after="40"/>
      </w:pPr>
    </w:p>
    <w:p>
      <w:pPr>
        <w:spacing w:before="80"/>
      </w:pPr>
      <w:r>
        <w:rPr>
          <w:rFonts w:ascii="Calibri" w:hAnsi="Calibri"/>
          <w:b/>
          <w:i w:val="0"/>
          <w:color w:val="101C4F"/>
          <w:sz w:val="22"/>
        </w:rPr>
        <w:t xml:space="preserve">Q30.  </w:t>
      </w:r>
      <w:r>
        <w:rPr>
          <w:rFonts w:ascii="Calibri" w:hAnsi="Calibri"/>
          <w:b w:val="0"/>
          <w:i w:val="0"/>
          <w:color w:val="404040"/>
          <w:sz w:val="22"/>
        </w:rPr>
        <w:t>In a securities lending transaction, the lender typically receives which form of collateral?</w:t>
      </w:r>
    </w:p>
    <w:p>
      <w:pPr>
        <w:spacing w:before="20"/>
        <w:ind w:left="432"/>
      </w:pPr>
      <w:r>
        <w:rPr>
          <w:rFonts w:ascii="Calibri" w:hAnsi="Calibri"/>
          <w:b w:val="0"/>
          <w:i w:val="0"/>
          <w:color w:val="404040"/>
          <w:sz w:val="21"/>
        </w:rPr>
        <w:t>A. Nothing – the lending fee alone compensates the lender</w:t>
      </w:r>
    </w:p>
    <w:p>
      <w:pPr>
        <w:spacing w:before="20"/>
        <w:ind w:left="432"/>
      </w:pPr>
      <w:r>
        <w:rPr>
          <w:rFonts w:ascii="Calibri" w:hAnsi="Calibri"/>
          <w:b w:val="0"/>
          <w:i w:val="0"/>
          <w:color w:val="404040"/>
          <w:sz w:val="21"/>
        </w:rPr>
        <w:t>B. Cash or high-quality liquid assets (HQLA) such as government bonds, pledged or transferred as security</w:t>
      </w:r>
    </w:p>
    <w:p>
      <w:pPr>
        <w:spacing w:before="20"/>
        <w:ind w:left="432"/>
      </w:pPr>
      <w:r>
        <w:rPr>
          <w:rFonts w:ascii="Calibri" w:hAnsi="Calibri"/>
          <w:b w:val="0"/>
          <w:i w:val="0"/>
          <w:color w:val="404040"/>
          <w:sz w:val="21"/>
        </w:rPr>
        <w:t>C. Equity shares in the borrower's parent company</w:t>
      </w:r>
    </w:p>
    <w:p>
      <w:pPr>
        <w:spacing w:before="20"/>
        <w:ind w:left="432"/>
      </w:pPr>
      <w:r>
        <w:rPr>
          <w:rFonts w:ascii="Calibri" w:hAnsi="Calibri"/>
          <w:b w:val="0"/>
          <w:i w:val="0"/>
          <w:color w:val="404040"/>
          <w:sz w:val="21"/>
        </w:rPr>
        <w:t>D. A letter of credit from the borrower's legal counsel</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borrower provides collateral (cash or HQLA) worth at least 100–105% of the lent securities' market value to protect the lender against borrower default.</w:t>
            </w:r>
          </w:p>
        </w:tc>
      </w:tr>
    </w:tbl>
    <w:p>
      <w:pPr>
        <w:spacing w:after="40"/>
      </w:pPr>
    </w:p>
    <w:p>
      <w:pPr>
        <w:spacing w:before="80"/>
      </w:pPr>
      <w:r>
        <w:rPr>
          <w:rFonts w:ascii="Calibri" w:hAnsi="Calibri"/>
          <w:b/>
          <w:i w:val="0"/>
          <w:color w:val="101C4F"/>
          <w:sz w:val="22"/>
        </w:rPr>
        <w:t xml:space="preserve">Q31.  </w:t>
      </w:r>
      <w:r>
        <w:rPr>
          <w:rFonts w:ascii="Calibri" w:hAnsi="Calibri"/>
          <w:b w:val="0"/>
          <w:i w:val="0"/>
          <w:color w:val="404040"/>
          <w:sz w:val="22"/>
        </w:rPr>
        <w:t>Under a securities lending agreement, who retains the economic benefits (e.g., dividends) of the lent securities?</w:t>
      </w:r>
    </w:p>
    <w:p>
      <w:pPr>
        <w:spacing w:before="20"/>
        <w:ind w:left="432"/>
      </w:pPr>
      <w:r>
        <w:rPr>
          <w:rFonts w:ascii="Calibri" w:hAnsi="Calibri"/>
          <w:b w:val="0"/>
          <w:i w:val="0"/>
          <w:color w:val="404040"/>
          <w:sz w:val="21"/>
        </w:rPr>
        <w:t>A. The borrower, as legal title has transferred</w:t>
      </w:r>
    </w:p>
    <w:p>
      <w:pPr>
        <w:spacing w:before="20"/>
        <w:ind w:left="432"/>
      </w:pPr>
      <w:r>
        <w:rPr>
          <w:rFonts w:ascii="Calibri" w:hAnsi="Calibri"/>
          <w:b w:val="0"/>
          <w:i w:val="0"/>
          <w:color w:val="404040"/>
          <w:sz w:val="21"/>
        </w:rPr>
        <w:t>B. The lender, via 'manufactured' or 'substitute' payments from the borrower</w:t>
      </w:r>
    </w:p>
    <w:p>
      <w:pPr>
        <w:spacing w:before="20"/>
        <w:ind w:left="432"/>
      </w:pPr>
      <w:r>
        <w:rPr>
          <w:rFonts w:ascii="Calibri" w:hAnsi="Calibri"/>
          <w:b w:val="0"/>
          <w:i w:val="0"/>
          <w:color w:val="404040"/>
          <w:sz w:val="21"/>
        </w:rPr>
        <w:t>C. The custodian, as the registered holder</w:t>
      </w:r>
    </w:p>
    <w:p>
      <w:pPr>
        <w:spacing w:before="20"/>
        <w:ind w:left="432"/>
      </w:pPr>
      <w:r>
        <w:rPr>
          <w:rFonts w:ascii="Calibri" w:hAnsi="Calibri"/>
          <w:b w:val="0"/>
          <w:i w:val="0"/>
          <w:color w:val="404040"/>
          <w:sz w:val="21"/>
        </w:rPr>
        <w:t>D. Neither party – dividends are withheld until the securities are returned</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Although legal title passes to the borrower, the lender is entitled to receive 'manufactured dividends' (equivalent payments) so they are economically no worse off than if they had retained the securities.</w:t>
            </w:r>
          </w:p>
        </w:tc>
      </w:tr>
    </w:tbl>
    <w:p>
      <w:pPr>
        <w:spacing w:after="40"/>
      </w:pPr>
    </w:p>
    <w:p>
      <w:pPr>
        <w:spacing w:before="80"/>
      </w:pPr>
      <w:r>
        <w:rPr>
          <w:rFonts w:ascii="Calibri" w:hAnsi="Calibri"/>
          <w:b/>
          <w:i w:val="0"/>
          <w:color w:val="101C4F"/>
          <w:sz w:val="22"/>
        </w:rPr>
        <w:t xml:space="preserve">Q32.  </w:t>
      </w:r>
      <w:r>
        <w:rPr>
          <w:rFonts w:ascii="Calibri" w:hAnsi="Calibri"/>
          <w:b w:val="0"/>
          <w:i w:val="0"/>
          <w:color w:val="404040"/>
          <w:sz w:val="22"/>
        </w:rPr>
        <w:t>What is a mark-to-market margin call in the context of a securities lending transaction?</w:t>
      </w:r>
    </w:p>
    <w:p>
      <w:pPr>
        <w:spacing w:before="20"/>
        <w:ind w:left="432"/>
      </w:pPr>
      <w:r>
        <w:rPr>
          <w:rFonts w:ascii="Calibri" w:hAnsi="Calibri"/>
          <w:b w:val="0"/>
          <w:i w:val="0"/>
          <w:color w:val="404040"/>
          <w:sz w:val="21"/>
        </w:rPr>
        <w:t>A. An instruction to reprice the lending fee to current market rates</w:t>
      </w:r>
    </w:p>
    <w:p>
      <w:pPr>
        <w:spacing w:before="20"/>
        <w:ind w:left="432"/>
      </w:pPr>
      <w:r>
        <w:rPr>
          <w:rFonts w:ascii="Calibri" w:hAnsi="Calibri"/>
          <w:b w:val="0"/>
          <w:i w:val="0"/>
          <w:color w:val="404040"/>
          <w:sz w:val="21"/>
        </w:rPr>
        <w:t>B. A call to top up collateral when the value of the loaned securities has risen above the collateral threshold</w:t>
      </w:r>
    </w:p>
    <w:p>
      <w:pPr>
        <w:spacing w:before="20"/>
        <w:ind w:left="432"/>
      </w:pPr>
      <w:r>
        <w:rPr>
          <w:rFonts w:ascii="Calibri" w:hAnsi="Calibri"/>
          <w:b w:val="0"/>
          <w:i w:val="0"/>
          <w:color w:val="404040"/>
          <w:sz w:val="21"/>
        </w:rPr>
        <w:t>C. A request to terminate the loan and return all securities immediately</w:t>
      </w:r>
    </w:p>
    <w:p>
      <w:pPr>
        <w:spacing w:before="20"/>
        <w:ind w:left="432"/>
      </w:pPr>
      <w:r>
        <w:rPr>
          <w:rFonts w:ascii="Calibri" w:hAnsi="Calibri"/>
          <w:b w:val="0"/>
          <w:i w:val="0"/>
          <w:color w:val="404040"/>
          <w:sz w:val="21"/>
        </w:rPr>
        <w:t>D. A regulatory report submitted to the central bank</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Collateral is marked to market daily; if the loaned securities' value exceeds the collateral's value by more than an agreed threshold, the borrower must top up the collateral to maintain the agreed margin ratio.</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G11.9  |  Prime Brokerage and Custody</w:t>
            </w:r>
          </w:p>
        </w:tc>
      </w:tr>
    </w:tbl>
    <w:p/>
    <w:p>
      <w:pPr>
        <w:spacing w:before="80"/>
      </w:pPr>
      <w:r>
        <w:rPr>
          <w:rFonts w:ascii="Calibri" w:hAnsi="Calibri"/>
          <w:b/>
          <w:i w:val="0"/>
          <w:color w:val="101C4F"/>
          <w:sz w:val="22"/>
        </w:rPr>
        <w:t xml:space="preserve">Q33.  </w:t>
      </w:r>
      <w:r>
        <w:rPr>
          <w:rFonts w:ascii="Calibri" w:hAnsi="Calibri"/>
          <w:b w:val="0"/>
          <w:i w:val="0"/>
          <w:color w:val="404040"/>
          <w:sz w:val="22"/>
        </w:rPr>
        <w:t>What distinguishes a prime broker from a traditional custodian?</w:t>
      </w:r>
    </w:p>
    <w:p>
      <w:pPr>
        <w:spacing w:before="20"/>
        <w:ind w:left="432"/>
      </w:pPr>
      <w:r>
        <w:rPr>
          <w:rFonts w:ascii="Calibri" w:hAnsi="Calibri"/>
          <w:b w:val="0"/>
          <w:i w:val="0"/>
          <w:color w:val="404040"/>
          <w:sz w:val="21"/>
        </w:rPr>
        <w:t>A. Prime brokers only hold bonds; custodians hold equities</w:t>
      </w:r>
    </w:p>
    <w:p>
      <w:pPr>
        <w:spacing w:before="20"/>
        <w:ind w:left="432"/>
      </w:pPr>
      <w:r>
        <w:rPr>
          <w:rFonts w:ascii="Calibri" w:hAnsi="Calibri"/>
          <w:b w:val="0"/>
          <w:i w:val="0"/>
          <w:color w:val="404040"/>
          <w:sz w:val="21"/>
        </w:rPr>
        <w:t>B. Prime brokers provide a bundled service including financing (margin), securities lending, and execution in addition to custody</w:t>
      </w:r>
    </w:p>
    <w:p>
      <w:pPr>
        <w:spacing w:before="20"/>
        <w:ind w:left="432"/>
      </w:pPr>
      <w:r>
        <w:rPr>
          <w:rFonts w:ascii="Calibri" w:hAnsi="Calibri"/>
          <w:b w:val="0"/>
          <w:i w:val="0"/>
          <w:color w:val="404040"/>
          <w:sz w:val="21"/>
        </w:rPr>
        <w:t>C. Custodians are not regulated; prime brokers are subject to FCA rules</w:t>
      </w:r>
    </w:p>
    <w:p>
      <w:pPr>
        <w:spacing w:before="20"/>
        <w:ind w:left="432"/>
      </w:pPr>
      <w:r>
        <w:rPr>
          <w:rFonts w:ascii="Calibri" w:hAnsi="Calibri"/>
          <w:b w:val="0"/>
          <w:i w:val="0"/>
          <w:color w:val="404040"/>
          <w:sz w:val="21"/>
        </w:rPr>
        <w:t>D. Prime brokers operate exclusively in emerging markets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While a custodian primarily safeguards assets, a prime broker adds financing (leveraged margin), securities borrowing, and multi-broker clearing – key services for hedge funds.</w:t>
            </w:r>
          </w:p>
        </w:tc>
      </w:tr>
    </w:tbl>
    <w:p>
      <w:pPr>
        <w:spacing w:after="40"/>
      </w:pPr>
    </w:p>
    <w:p>
      <w:pPr>
        <w:spacing w:before="80"/>
      </w:pPr>
      <w:r>
        <w:rPr>
          <w:rFonts w:ascii="Calibri" w:hAnsi="Calibri"/>
          <w:b/>
          <w:i w:val="0"/>
          <w:color w:val="101C4F"/>
          <w:sz w:val="22"/>
        </w:rPr>
        <w:t xml:space="preserve">Q34.  </w:t>
      </w:r>
      <w:r>
        <w:rPr>
          <w:rFonts w:ascii="Calibri" w:hAnsi="Calibri"/>
          <w:b w:val="0"/>
          <w:i w:val="0"/>
          <w:color w:val="404040"/>
          <w:sz w:val="22"/>
        </w:rPr>
        <w:t>What is 'rehypothecation' in a prime brokerage context?</w:t>
      </w:r>
    </w:p>
    <w:p>
      <w:pPr>
        <w:spacing w:before="20"/>
        <w:ind w:left="432"/>
      </w:pPr>
      <w:r>
        <w:rPr>
          <w:rFonts w:ascii="Calibri" w:hAnsi="Calibri"/>
          <w:b w:val="0"/>
          <w:i w:val="0"/>
          <w:color w:val="404040"/>
          <w:sz w:val="21"/>
        </w:rPr>
        <w:t>A. The prime broker's right to use client collateral as its own collateral for funding purposes</w:t>
      </w:r>
    </w:p>
    <w:p>
      <w:pPr>
        <w:spacing w:before="20"/>
        <w:ind w:left="432"/>
      </w:pPr>
      <w:r>
        <w:rPr>
          <w:rFonts w:ascii="Calibri" w:hAnsi="Calibri"/>
          <w:b w:val="0"/>
          <w:i w:val="0"/>
          <w:color w:val="404040"/>
          <w:sz w:val="21"/>
        </w:rPr>
        <w:t>B. The process of repricing derivatives at mid-market rates</w:t>
      </w:r>
    </w:p>
    <w:p>
      <w:pPr>
        <w:spacing w:before="20"/>
        <w:ind w:left="432"/>
      </w:pPr>
      <w:r>
        <w:rPr>
          <w:rFonts w:ascii="Calibri" w:hAnsi="Calibri"/>
          <w:b w:val="0"/>
          <w:i w:val="0"/>
          <w:color w:val="404040"/>
          <w:sz w:val="21"/>
        </w:rPr>
        <w:t>C. A method of allocating multi-leg trades across multiple client accounts</w:t>
      </w:r>
    </w:p>
    <w:p>
      <w:pPr>
        <w:spacing w:before="20"/>
        <w:ind w:left="432"/>
      </w:pPr>
      <w:r>
        <w:rPr>
          <w:rFonts w:ascii="Calibri" w:hAnsi="Calibri"/>
          <w:b w:val="0"/>
          <w:i w:val="0"/>
          <w:color w:val="404040"/>
          <w:sz w:val="21"/>
        </w:rPr>
        <w:t>D. The custodian's practice of holding physical share certificates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A</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Rehypothecation allows a prime broker to repledge client collateral to its own lenders, reducing funding costs – but it exposes clients to the prime broker's insolvency risk.</w:t>
            </w:r>
          </w:p>
        </w:tc>
      </w:tr>
    </w:tbl>
    <w:p>
      <w:pPr>
        <w:spacing w:after="40"/>
      </w:pPr>
    </w:p>
    <w:p>
      <w:pPr>
        <w:spacing w:before="80"/>
      </w:pPr>
      <w:r>
        <w:rPr>
          <w:rFonts w:ascii="Calibri" w:hAnsi="Calibri"/>
          <w:b/>
          <w:i w:val="0"/>
          <w:color w:val="101C4F"/>
          <w:sz w:val="22"/>
        </w:rPr>
        <w:t xml:space="preserve">Q35.  </w:t>
      </w:r>
      <w:r>
        <w:rPr>
          <w:rFonts w:ascii="Calibri" w:hAnsi="Calibri"/>
          <w:b w:val="0"/>
          <w:i w:val="0"/>
          <w:color w:val="404040"/>
          <w:sz w:val="22"/>
        </w:rPr>
        <w:t>Why did the Lehman Brothers collapse (2008) reshape prime brokerage practices?</w:t>
      </w:r>
    </w:p>
    <w:p>
      <w:pPr>
        <w:spacing w:before="20"/>
        <w:ind w:left="432"/>
      </w:pPr>
      <w:r>
        <w:rPr>
          <w:rFonts w:ascii="Calibri" w:hAnsi="Calibri"/>
          <w:b w:val="0"/>
          <w:i w:val="0"/>
          <w:color w:val="404040"/>
          <w:sz w:val="21"/>
        </w:rPr>
        <w:t>A. Lehman's collapse demonstrated that equity markets could operate without prime brokers</w:t>
      </w:r>
    </w:p>
    <w:p>
      <w:pPr>
        <w:spacing w:before="20"/>
        <w:ind w:left="432"/>
      </w:pPr>
      <w:r>
        <w:rPr>
          <w:rFonts w:ascii="Calibri" w:hAnsi="Calibri"/>
          <w:b w:val="0"/>
          <w:i w:val="0"/>
          <w:color w:val="404040"/>
          <w:sz w:val="21"/>
        </w:rPr>
        <w:t>B. Clients lost assets held at Lehman due to rehypothecation, leading to tighter limits on collateral reuse and increased use of tri-party custody</w:t>
      </w:r>
    </w:p>
    <w:p>
      <w:pPr>
        <w:spacing w:before="20"/>
        <w:ind w:left="432"/>
      </w:pPr>
      <w:r>
        <w:rPr>
          <w:rFonts w:ascii="Calibri" w:hAnsi="Calibri"/>
          <w:b w:val="0"/>
          <w:i w:val="0"/>
          <w:color w:val="404040"/>
          <w:sz w:val="21"/>
        </w:rPr>
        <w:t>C. Regulators banned prime brokerage entirely in the US following the collapse</w:t>
      </w:r>
    </w:p>
    <w:p>
      <w:pPr>
        <w:spacing w:before="20"/>
        <w:ind w:left="432"/>
      </w:pPr>
      <w:r>
        <w:rPr>
          <w:rFonts w:ascii="Calibri" w:hAnsi="Calibri"/>
          <w:b w:val="0"/>
          <w:i w:val="0"/>
          <w:color w:val="404040"/>
          <w:sz w:val="21"/>
        </w:rPr>
        <w:t>D. Lehman's failure proved that DVP settlement was inadequate for complex strategies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When Lehman failed, many hedge fund clients discovered their assets had been rehypothecated and were trapped in the insolvency estate, prompting widespread use of segregated custody and limits on rehypothecation.</w:t>
            </w:r>
          </w:p>
        </w:tc>
      </w:tr>
    </w:tbl>
    <w:p>
      <w:pPr>
        <w:spacing w:after="40"/>
      </w:pPr>
    </w:p>
    <w:p>
      <w:pPr>
        <w:spacing w:before="80"/>
      </w:pPr>
      <w:r>
        <w:rPr>
          <w:rFonts w:ascii="Calibri" w:hAnsi="Calibri"/>
          <w:b/>
          <w:i w:val="0"/>
          <w:color w:val="101C4F"/>
          <w:sz w:val="22"/>
        </w:rPr>
        <w:t xml:space="preserve">Q36.  </w:t>
      </w:r>
      <w:r>
        <w:rPr>
          <w:rFonts w:ascii="Calibri" w:hAnsi="Calibri"/>
          <w:b w:val="0"/>
          <w:i w:val="0"/>
          <w:color w:val="404040"/>
          <w:sz w:val="22"/>
        </w:rPr>
        <w:t>What is a 'tri-party repo' arrangement and how does it relate to custody?</w:t>
      </w:r>
    </w:p>
    <w:p>
      <w:pPr>
        <w:spacing w:before="20"/>
        <w:ind w:left="432"/>
      </w:pPr>
      <w:r>
        <w:rPr>
          <w:rFonts w:ascii="Calibri" w:hAnsi="Calibri"/>
          <w:b w:val="0"/>
          <w:i w:val="0"/>
          <w:color w:val="404040"/>
          <w:sz w:val="21"/>
        </w:rPr>
        <w:t>A. A repo where three counterparties split the interest income equally</w:t>
      </w:r>
    </w:p>
    <w:p>
      <w:pPr>
        <w:spacing w:before="20"/>
        <w:ind w:left="432"/>
      </w:pPr>
      <w:r>
        <w:rPr>
          <w:rFonts w:ascii="Calibri" w:hAnsi="Calibri"/>
          <w:b w:val="0"/>
          <w:i w:val="0"/>
          <w:color w:val="404040"/>
          <w:sz w:val="21"/>
        </w:rPr>
        <w:t>B. A repo where a neutral third-party custodian (e.g., Euroclear, BNY Mellon) manages collateral selection, margin, and substitution between the cash borrower and lender</w:t>
      </w:r>
    </w:p>
    <w:p>
      <w:pPr>
        <w:spacing w:before="20"/>
        <w:ind w:left="432"/>
      </w:pPr>
      <w:r>
        <w:rPr>
          <w:rFonts w:ascii="Calibri" w:hAnsi="Calibri"/>
          <w:b w:val="0"/>
          <w:i w:val="0"/>
          <w:color w:val="404040"/>
          <w:sz w:val="21"/>
        </w:rPr>
        <w:t>C. A three-year forward repurchase agreement used for balance sheet management</w:t>
      </w:r>
    </w:p>
    <w:p>
      <w:pPr>
        <w:spacing w:before="20"/>
        <w:ind w:left="432"/>
      </w:pPr>
      <w:r>
        <w:rPr>
          <w:rFonts w:ascii="Calibri" w:hAnsi="Calibri"/>
          <w:b w:val="0"/>
          <w:i w:val="0"/>
          <w:color w:val="404040"/>
          <w:sz w:val="21"/>
        </w:rPr>
        <w:t>D. A repo confirmed via three simultaneous SWIFT messages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In a tri-party repo, the custodian/collateral agent handles all operational aspects – collateral eligibility checks, valuation, margining, and substitutions – reducing operational burden on both counterparties.</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G11.10  |  Technology and Automation in Reconciliation &amp; Custody</w:t>
            </w:r>
          </w:p>
        </w:tc>
      </w:tr>
    </w:tbl>
    <w:p/>
    <w:p>
      <w:pPr>
        <w:spacing w:before="80"/>
      </w:pPr>
      <w:r>
        <w:rPr>
          <w:rFonts w:ascii="Calibri" w:hAnsi="Calibri"/>
          <w:b/>
          <w:i w:val="0"/>
          <w:color w:val="101C4F"/>
          <w:sz w:val="22"/>
        </w:rPr>
        <w:t xml:space="preserve">Q37.  </w:t>
      </w:r>
      <w:r>
        <w:rPr>
          <w:rFonts w:ascii="Calibri" w:hAnsi="Calibri"/>
          <w:b w:val="0"/>
          <w:i w:val="0"/>
          <w:color w:val="404040"/>
          <w:sz w:val="22"/>
        </w:rPr>
        <w:t>Which technology has been widely adopted to automate the matching of large volumes of trade confirmations and reconciliation items?</w:t>
      </w:r>
    </w:p>
    <w:p>
      <w:pPr>
        <w:spacing w:before="20"/>
        <w:ind w:left="432"/>
      </w:pPr>
      <w:r>
        <w:rPr>
          <w:rFonts w:ascii="Calibri" w:hAnsi="Calibri"/>
          <w:b w:val="0"/>
          <w:i w:val="0"/>
          <w:color w:val="404040"/>
          <w:sz w:val="21"/>
        </w:rPr>
        <w:t>A. Blockchain-only smart contracts</w:t>
      </w:r>
    </w:p>
    <w:p>
      <w:pPr>
        <w:spacing w:before="20"/>
        <w:ind w:left="432"/>
      </w:pPr>
      <w:r>
        <w:rPr>
          <w:rFonts w:ascii="Calibri" w:hAnsi="Calibri"/>
          <w:b w:val="0"/>
          <w:i w:val="0"/>
          <w:color w:val="404040"/>
          <w:sz w:val="21"/>
        </w:rPr>
        <w:t>B. Rule-based matching engines and AI/ML-driven exception management platforms</w:t>
      </w:r>
    </w:p>
    <w:p>
      <w:pPr>
        <w:spacing w:before="20"/>
        <w:ind w:left="432"/>
      </w:pPr>
      <w:r>
        <w:rPr>
          <w:rFonts w:ascii="Calibri" w:hAnsi="Calibri"/>
          <w:b w:val="0"/>
          <w:i w:val="0"/>
          <w:color w:val="404040"/>
          <w:sz w:val="21"/>
        </w:rPr>
        <w:t>C. Spreadsheet-based manual matching by operations staff</w:t>
      </w:r>
    </w:p>
    <w:p>
      <w:pPr>
        <w:spacing w:before="20"/>
        <w:ind w:left="432"/>
      </w:pPr>
      <w:r>
        <w:rPr>
          <w:rFonts w:ascii="Calibri" w:hAnsi="Calibri"/>
          <w:b w:val="0"/>
          <w:i w:val="0"/>
          <w:color w:val="404040"/>
          <w:sz w:val="21"/>
        </w:rPr>
        <w:t>D. Voice-based confirmation via telephone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Modern reconciliation platforms use rule-based auto-matching for standard items and increasingly apply AI/ML to classify, prioritise, and suggest resolutions for exception items, dramatically reducing manual effort.</w:t>
            </w:r>
          </w:p>
        </w:tc>
      </w:tr>
    </w:tbl>
    <w:p>
      <w:pPr>
        <w:spacing w:after="40"/>
      </w:pPr>
    </w:p>
    <w:p>
      <w:pPr>
        <w:spacing w:before="80"/>
      </w:pPr>
      <w:r>
        <w:rPr>
          <w:rFonts w:ascii="Calibri" w:hAnsi="Calibri"/>
          <w:b/>
          <w:i w:val="0"/>
          <w:color w:val="101C4F"/>
          <w:sz w:val="22"/>
        </w:rPr>
        <w:t xml:space="preserve">Q38.  </w:t>
      </w:r>
      <w:r>
        <w:rPr>
          <w:rFonts w:ascii="Calibri" w:hAnsi="Calibri"/>
          <w:b w:val="0"/>
          <w:i w:val="0"/>
          <w:color w:val="404040"/>
          <w:sz w:val="22"/>
        </w:rPr>
        <w:t>What is the significance of distributed ledger technology (DLT) for post-trade settlement?</w:t>
      </w:r>
    </w:p>
    <w:p>
      <w:pPr>
        <w:spacing w:before="20"/>
        <w:ind w:left="432"/>
      </w:pPr>
      <w:r>
        <w:rPr>
          <w:rFonts w:ascii="Calibri" w:hAnsi="Calibri"/>
          <w:b w:val="0"/>
          <w:i w:val="0"/>
          <w:color w:val="404040"/>
          <w:sz w:val="21"/>
        </w:rPr>
        <w:t>A. DLT eliminates the need for any form of trade execution</w:t>
      </w:r>
    </w:p>
    <w:p>
      <w:pPr>
        <w:spacing w:before="20"/>
        <w:ind w:left="432"/>
      </w:pPr>
      <w:r>
        <w:rPr>
          <w:rFonts w:ascii="Calibri" w:hAnsi="Calibri"/>
          <w:b w:val="0"/>
          <w:i w:val="0"/>
          <w:color w:val="404040"/>
          <w:sz w:val="21"/>
        </w:rPr>
        <w:t>B. DLT enables near-real-time settlement with a single shared ledger, reducing the need for reconciliation between multiple parties' siloed records</w:t>
      </w:r>
    </w:p>
    <w:p>
      <w:pPr>
        <w:spacing w:before="20"/>
        <w:ind w:left="432"/>
      </w:pPr>
      <w:r>
        <w:rPr>
          <w:rFonts w:ascii="Calibri" w:hAnsi="Calibri"/>
          <w:b w:val="0"/>
          <w:i w:val="0"/>
          <w:color w:val="404040"/>
          <w:sz w:val="21"/>
        </w:rPr>
        <w:t>C. DLT replaces custodians with retail banks</w:t>
      </w:r>
    </w:p>
    <w:p>
      <w:pPr>
        <w:spacing w:before="20"/>
        <w:ind w:left="432"/>
      </w:pPr>
      <w:r>
        <w:rPr>
          <w:rFonts w:ascii="Calibri" w:hAnsi="Calibri"/>
          <w:b w:val="0"/>
          <w:i w:val="0"/>
          <w:color w:val="404040"/>
          <w:sz w:val="21"/>
        </w:rPr>
        <w:t>D. DLT is only applicable to cryptocurrency and has no application in traditional securities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A shared DLT ledger means all participants see the same version of the truth, reducing the reconciliation overhead that arises from each party maintaining separate records that need to be matched.</w:t>
            </w:r>
          </w:p>
        </w:tc>
      </w:tr>
    </w:tbl>
    <w:p>
      <w:pPr>
        <w:spacing w:after="40"/>
      </w:pPr>
    </w:p>
    <w:p>
      <w:pPr>
        <w:spacing w:before="80"/>
      </w:pPr>
      <w:r>
        <w:rPr>
          <w:rFonts w:ascii="Calibri" w:hAnsi="Calibri"/>
          <w:b/>
          <w:i w:val="0"/>
          <w:color w:val="101C4F"/>
          <w:sz w:val="22"/>
        </w:rPr>
        <w:t xml:space="preserve">Q39.  </w:t>
      </w:r>
      <w:r>
        <w:rPr>
          <w:rFonts w:ascii="Calibri" w:hAnsi="Calibri"/>
          <w:b w:val="0"/>
          <w:i w:val="0"/>
          <w:color w:val="404040"/>
          <w:sz w:val="22"/>
        </w:rPr>
        <w:t>What is a 'golden record' in the context of securities data management?</w:t>
      </w:r>
    </w:p>
    <w:p>
      <w:pPr>
        <w:spacing w:before="20"/>
        <w:ind w:left="432"/>
      </w:pPr>
      <w:r>
        <w:rPr>
          <w:rFonts w:ascii="Calibri" w:hAnsi="Calibri"/>
          <w:b w:val="0"/>
          <w:i w:val="0"/>
          <w:color w:val="404040"/>
          <w:sz w:val="21"/>
        </w:rPr>
        <w:t>A. A physical certificate kept in a bank vault</w:t>
      </w:r>
    </w:p>
    <w:p>
      <w:pPr>
        <w:spacing w:before="20"/>
        <w:ind w:left="432"/>
      </w:pPr>
      <w:r>
        <w:rPr>
          <w:rFonts w:ascii="Calibri" w:hAnsi="Calibri"/>
          <w:b w:val="0"/>
          <w:i w:val="0"/>
          <w:color w:val="404040"/>
          <w:sz w:val="21"/>
        </w:rPr>
        <w:t>B. The single, authoritative, master data record for a security or position that all downstream systems rely upon</w:t>
      </w:r>
    </w:p>
    <w:p>
      <w:pPr>
        <w:spacing w:before="20"/>
        <w:ind w:left="432"/>
      </w:pPr>
      <w:r>
        <w:rPr>
          <w:rFonts w:ascii="Calibri" w:hAnsi="Calibri"/>
          <w:b w:val="0"/>
          <w:i w:val="0"/>
          <w:color w:val="404040"/>
          <w:sz w:val="21"/>
        </w:rPr>
        <w:t>C. A regulatory filing submitted to the SEC</w:t>
      </w:r>
    </w:p>
    <w:p>
      <w:pPr>
        <w:spacing w:before="20"/>
        <w:ind w:left="432"/>
      </w:pPr>
      <w:r>
        <w:rPr>
          <w:rFonts w:ascii="Calibri" w:hAnsi="Calibri"/>
          <w:b w:val="0"/>
          <w:i w:val="0"/>
          <w:color w:val="404040"/>
          <w:sz w:val="21"/>
        </w:rPr>
        <w:t>D. A record of the highest-value trade executed in a given day</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A golden record is the single trusted source of truth for a data entity (instrument, position, counterparty), maintained in a master data management system to ensure consistency across reconciliation and custody systems.</w:t>
            </w:r>
          </w:p>
        </w:tc>
      </w:tr>
    </w:tbl>
    <w:p>
      <w:pPr>
        <w:spacing w:after="40"/>
      </w:pPr>
    </w:p>
    <w:p>
      <w:pPr>
        <w:spacing w:before="80"/>
      </w:pPr>
      <w:r>
        <w:rPr>
          <w:rFonts w:ascii="Calibri" w:hAnsi="Calibri"/>
          <w:b/>
          <w:i w:val="0"/>
          <w:color w:val="101C4F"/>
          <w:sz w:val="22"/>
        </w:rPr>
        <w:t xml:space="preserve">Q40.  </w:t>
      </w:r>
      <w:r>
        <w:rPr>
          <w:rFonts w:ascii="Calibri" w:hAnsi="Calibri"/>
          <w:b w:val="0"/>
          <w:i w:val="0"/>
          <w:color w:val="404040"/>
          <w:sz w:val="22"/>
        </w:rPr>
        <w:t>Which SWIFT initiative provides a standardised ISO 20022 messaging format that helps reduce reconciliation breaks caused by data format inconsistencies?</w:t>
      </w:r>
    </w:p>
    <w:p>
      <w:pPr>
        <w:spacing w:before="20"/>
        <w:ind w:left="432"/>
      </w:pPr>
      <w:r>
        <w:rPr>
          <w:rFonts w:ascii="Calibri" w:hAnsi="Calibri"/>
          <w:b w:val="0"/>
          <w:i w:val="0"/>
          <w:color w:val="404040"/>
          <w:sz w:val="21"/>
        </w:rPr>
        <w:t>A. SWIFT gpi (Global Payments Innovation)</w:t>
      </w:r>
    </w:p>
    <w:p>
      <w:pPr>
        <w:spacing w:before="20"/>
        <w:ind w:left="432"/>
      </w:pPr>
      <w:r>
        <w:rPr>
          <w:rFonts w:ascii="Calibri" w:hAnsi="Calibri"/>
          <w:b w:val="0"/>
          <w:i w:val="0"/>
          <w:color w:val="404040"/>
          <w:sz w:val="21"/>
        </w:rPr>
        <w:t>B. SWIFT ISO 20022 migration for securities (sese / camt messages)</w:t>
      </w:r>
    </w:p>
    <w:p>
      <w:pPr>
        <w:spacing w:before="20"/>
        <w:ind w:left="432"/>
      </w:pPr>
      <w:r>
        <w:rPr>
          <w:rFonts w:ascii="Calibri" w:hAnsi="Calibri"/>
          <w:b w:val="0"/>
          <w:i w:val="0"/>
          <w:color w:val="404040"/>
          <w:sz w:val="21"/>
        </w:rPr>
        <w:t>C. SWIFT KYC Registry</w:t>
      </w:r>
    </w:p>
    <w:p>
      <w:pPr>
        <w:spacing w:before="20"/>
        <w:ind w:left="432"/>
      </w:pPr>
      <w:r>
        <w:rPr>
          <w:rFonts w:ascii="Calibri" w:hAnsi="Calibri"/>
          <w:b w:val="0"/>
          <w:i w:val="0"/>
          <w:color w:val="404040"/>
          <w:sz w:val="21"/>
        </w:rPr>
        <w:t>D. SWIFT Alliance Access upgrade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ISO 20022-based SWIFT messages (e.g., sese.023 for settlement instructions) carry richer, structured data compared to legacy MT messages, reducing formatting mismatches that cause reconciliation breaks.</w:t>
            </w:r>
          </w:p>
        </w:tc>
      </w:tr>
    </w:tbl>
    <w:p>
      <w:pPr>
        <w:spacing w:after="40"/>
      </w:pPr>
    </w:p>
    <w:p>
      <w:pPr>
        <w:pBdr>
          <w:bottom w:val="single" w:sz="6" w:space="1" w:color="007A87"/>
        </w:pBdr>
        <w:spacing w:after="40"/>
      </w:pPr>
    </w:p>
    <w:p/>
    <w:p>
      <w:r>
        <w:rPr>
          <w:rFonts w:ascii="Calibri" w:hAnsi="Calibri"/>
          <w:b/>
          <w:i w:val="0"/>
          <w:color w:val="101C4F"/>
          <w:sz w:val="26"/>
        </w:rPr>
        <w:t>Assessment Summary</w:t>
      </w:r>
    </w:p>
    <w:p>
      <w:pPr>
        <w:pBdr>
          <w:bottom w:val="single" w:sz="6" w:space="1" w:color="101C4F"/>
        </w:pBdr>
        <w:spacing w:after="4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01C4F"/>
          </w:tcPr>
          <w:p/>
          <w:p>
            <w:pPr>
              <w:jc w:val="center"/>
            </w:pPr>
            <w:r>
              <w:rPr>
                <w:rFonts w:ascii="Calibri" w:hAnsi="Calibri"/>
                <w:b/>
                <w:i w:val="0"/>
                <w:color w:val="FFFFFF"/>
                <w:sz w:val="20"/>
              </w:rPr>
              <w:t>UOR</w:t>
            </w:r>
          </w:p>
        </w:tc>
        <w:tc>
          <w:tcPr>
            <w:tcW w:type="dxa" w:w="3120"/>
            <w:shd w:val="clear" w:color="auto" w:fill="101C4F"/>
          </w:tcPr>
          <w:p/>
          <w:p>
            <w:pPr>
              <w:jc w:val="center"/>
            </w:pPr>
            <w:r>
              <w:rPr>
                <w:rFonts w:ascii="Calibri" w:hAnsi="Calibri"/>
                <w:b/>
                <w:i w:val="0"/>
                <w:color w:val="FFFFFF"/>
                <w:sz w:val="20"/>
              </w:rPr>
              <w:t>Topic</w:t>
            </w:r>
          </w:p>
        </w:tc>
        <w:tc>
          <w:tcPr>
            <w:tcW w:type="dxa" w:w="3120"/>
            <w:shd w:val="clear" w:color="auto" w:fill="101C4F"/>
          </w:tcPr>
          <w:p/>
          <w:p>
            <w:pPr>
              <w:jc w:val="center"/>
            </w:pPr>
            <w:r>
              <w:rPr>
                <w:rFonts w:ascii="Calibri" w:hAnsi="Calibri"/>
                <w:b/>
                <w:i w:val="0"/>
                <w:color w:val="FFFFFF"/>
                <w:sz w:val="20"/>
              </w:rPr>
              <w:t>Questions</w:t>
            </w:r>
          </w:p>
        </w:tc>
      </w:tr>
      <w:tr>
        <w:tc>
          <w:tcPr>
            <w:tcW w:type="dxa" w:w="3120"/>
            <w:shd w:val="clear" w:color="auto" w:fill="F5F6FA"/>
          </w:tcPr>
          <w:p/>
          <w:p>
            <w:pPr>
              <w:jc w:val="left"/>
            </w:pPr>
            <w:r>
              <w:rPr>
                <w:rFonts w:ascii="Calibri" w:hAnsi="Calibri"/>
                <w:b w:val="0"/>
                <w:i w:val="0"/>
                <w:color w:val="404040"/>
                <w:sz w:val="20"/>
              </w:rPr>
              <w:t>G11.1</w:t>
            </w:r>
          </w:p>
        </w:tc>
        <w:tc>
          <w:tcPr>
            <w:tcW w:type="dxa" w:w="3120"/>
            <w:shd w:val="clear" w:color="auto" w:fill="F5F6FA"/>
          </w:tcPr>
          <w:p/>
          <w:p>
            <w:pPr>
              <w:jc w:val="left"/>
            </w:pPr>
            <w:r>
              <w:rPr>
                <w:rFonts w:ascii="Calibri" w:hAnsi="Calibri"/>
                <w:b w:val="0"/>
                <w:i w:val="0"/>
                <w:color w:val="404040"/>
                <w:sz w:val="20"/>
              </w:rPr>
              <w:t>Introduction to Reconciliation in Financial Services</w:t>
            </w:r>
          </w:p>
        </w:tc>
        <w:tc>
          <w:tcPr>
            <w:tcW w:type="dxa" w:w="3120"/>
            <w:shd w:val="clear" w:color="auto" w:fill="F5F6FA"/>
          </w:tcPr>
          <w:p/>
          <w:p>
            <w:pPr>
              <w:jc w:val="center"/>
            </w:pPr>
            <w:r>
              <w:rPr>
                <w:rFonts w:ascii="Calibri" w:hAnsi="Calibri"/>
                <w:b w:val="0"/>
                <w:i w:val="0"/>
                <w:color w:val="404040"/>
                <w:sz w:val="20"/>
              </w:rPr>
              <w:t>4</w:t>
            </w:r>
          </w:p>
        </w:tc>
      </w:tr>
      <w:tr>
        <w:tc>
          <w:tcPr>
            <w:tcW w:type="dxa" w:w="3120"/>
            <w:shd w:val="clear" w:color="auto" w:fill="FFFFFF"/>
          </w:tcPr>
          <w:p/>
          <w:p>
            <w:pPr>
              <w:jc w:val="left"/>
            </w:pPr>
            <w:r>
              <w:rPr>
                <w:rFonts w:ascii="Calibri" w:hAnsi="Calibri"/>
                <w:b w:val="0"/>
                <w:i w:val="0"/>
                <w:color w:val="404040"/>
                <w:sz w:val="20"/>
              </w:rPr>
              <w:t>G11.2</w:t>
            </w:r>
          </w:p>
        </w:tc>
        <w:tc>
          <w:tcPr>
            <w:tcW w:type="dxa" w:w="3120"/>
            <w:shd w:val="clear" w:color="auto" w:fill="FFFFFF"/>
          </w:tcPr>
          <w:p/>
          <w:p>
            <w:pPr>
              <w:jc w:val="left"/>
            </w:pPr>
            <w:r>
              <w:rPr>
                <w:rFonts w:ascii="Calibri" w:hAnsi="Calibri"/>
                <w:b w:val="0"/>
                <w:i w:val="0"/>
                <w:color w:val="404040"/>
                <w:sz w:val="20"/>
              </w:rPr>
              <w:t>Types of Reconciliation</w:t>
            </w:r>
          </w:p>
        </w:tc>
        <w:tc>
          <w:tcPr>
            <w:tcW w:type="dxa" w:w="3120"/>
            <w:shd w:val="clear" w:color="auto" w:fill="FFFFFF"/>
          </w:tcPr>
          <w:p/>
          <w:p>
            <w:pPr>
              <w:jc w:val="center"/>
            </w:pPr>
            <w:r>
              <w:rPr>
                <w:rFonts w:ascii="Calibri" w:hAnsi="Calibri"/>
                <w:b w:val="0"/>
                <w:i w:val="0"/>
                <w:color w:val="404040"/>
                <w:sz w:val="20"/>
              </w:rPr>
              <w:t>4</w:t>
            </w:r>
          </w:p>
        </w:tc>
      </w:tr>
      <w:tr>
        <w:tc>
          <w:tcPr>
            <w:tcW w:type="dxa" w:w="3120"/>
            <w:shd w:val="clear" w:color="auto" w:fill="F5F6FA"/>
          </w:tcPr>
          <w:p/>
          <w:p>
            <w:pPr>
              <w:jc w:val="left"/>
            </w:pPr>
            <w:r>
              <w:rPr>
                <w:rFonts w:ascii="Calibri" w:hAnsi="Calibri"/>
                <w:b w:val="0"/>
                <w:i w:val="0"/>
                <w:color w:val="404040"/>
                <w:sz w:val="20"/>
              </w:rPr>
              <w:t>G11.3</w:t>
            </w:r>
          </w:p>
        </w:tc>
        <w:tc>
          <w:tcPr>
            <w:tcW w:type="dxa" w:w="3120"/>
            <w:shd w:val="clear" w:color="auto" w:fill="F5F6FA"/>
          </w:tcPr>
          <w:p/>
          <w:p>
            <w:pPr>
              <w:jc w:val="left"/>
            </w:pPr>
            <w:r>
              <w:rPr>
                <w:rFonts w:ascii="Calibri" w:hAnsi="Calibri"/>
                <w:b w:val="0"/>
                <w:i w:val="0"/>
                <w:color w:val="404040"/>
                <w:sz w:val="20"/>
              </w:rPr>
              <w:t>The Reconciliation Process and Break Management</w:t>
            </w:r>
          </w:p>
        </w:tc>
        <w:tc>
          <w:tcPr>
            <w:tcW w:type="dxa" w:w="3120"/>
            <w:shd w:val="clear" w:color="auto" w:fill="F5F6FA"/>
          </w:tcPr>
          <w:p/>
          <w:p>
            <w:pPr>
              <w:jc w:val="center"/>
            </w:pPr>
            <w:r>
              <w:rPr>
                <w:rFonts w:ascii="Calibri" w:hAnsi="Calibri"/>
                <w:b w:val="0"/>
                <w:i w:val="0"/>
                <w:color w:val="404040"/>
                <w:sz w:val="20"/>
              </w:rPr>
              <w:t>4</w:t>
            </w:r>
          </w:p>
        </w:tc>
      </w:tr>
      <w:tr>
        <w:tc>
          <w:tcPr>
            <w:tcW w:type="dxa" w:w="3120"/>
            <w:shd w:val="clear" w:color="auto" w:fill="FFFFFF"/>
          </w:tcPr>
          <w:p/>
          <w:p>
            <w:pPr>
              <w:jc w:val="left"/>
            </w:pPr>
            <w:r>
              <w:rPr>
                <w:rFonts w:ascii="Calibri" w:hAnsi="Calibri"/>
                <w:b w:val="0"/>
                <w:i w:val="0"/>
                <w:color w:val="404040"/>
                <w:sz w:val="20"/>
              </w:rPr>
              <w:t>G11.4</w:t>
            </w:r>
          </w:p>
        </w:tc>
        <w:tc>
          <w:tcPr>
            <w:tcW w:type="dxa" w:w="3120"/>
            <w:shd w:val="clear" w:color="auto" w:fill="FFFFFF"/>
          </w:tcPr>
          <w:p/>
          <w:p>
            <w:pPr>
              <w:jc w:val="left"/>
            </w:pPr>
            <w:r>
              <w:rPr>
                <w:rFonts w:ascii="Calibri" w:hAnsi="Calibri"/>
                <w:b w:val="0"/>
                <w:i w:val="0"/>
                <w:color w:val="404040"/>
                <w:sz w:val="20"/>
              </w:rPr>
              <w:t>Custody: Safekeeping and Administration of Securities</w:t>
            </w:r>
          </w:p>
        </w:tc>
        <w:tc>
          <w:tcPr>
            <w:tcW w:type="dxa" w:w="3120"/>
            <w:shd w:val="clear" w:color="auto" w:fill="FFFFFF"/>
          </w:tcPr>
          <w:p/>
          <w:p>
            <w:pPr>
              <w:jc w:val="center"/>
            </w:pPr>
            <w:r>
              <w:rPr>
                <w:rFonts w:ascii="Calibri" w:hAnsi="Calibri"/>
                <w:b w:val="0"/>
                <w:i w:val="0"/>
                <w:color w:val="404040"/>
                <w:sz w:val="20"/>
              </w:rPr>
              <w:t>4</w:t>
            </w:r>
          </w:p>
        </w:tc>
      </w:tr>
      <w:tr>
        <w:tc>
          <w:tcPr>
            <w:tcW w:type="dxa" w:w="3120"/>
            <w:shd w:val="clear" w:color="auto" w:fill="F5F6FA"/>
          </w:tcPr>
          <w:p/>
          <w:p>
            <w:pPr>
              <w:jc w:val="left"/>
            </w:pPr>
            <w:r>
              <w:rPr>
                <w:rFonts w:ascii="Calibri" w:hAnsi="Calibri"/>
                <w:b w:val="0"/>
                <w:i w:val="0"/>
                <w:color w:val="404040"/>
                <w:sz w:val="20"/>
              </w:rPr>
              <w:t>G11.5</w:t>
            </w:r>
          </w:p>
        </w:tc>
        <w:tc>
          <w:tcPr>
            <w:tcW w:type="dxa" w:w="3120"/>
            <w:shd w:val="clear" w:color="auto" w:fill="F5F6FA"/>
          </w:tcPr>
          <w:p/>
          <w:p>
            <w:pPr>
              <w:jc w:val="left"/>
            </w:pPr>
            <w:r>
              <w:rPr>
                <w:rFonts w:ascii="Calibri" w:hAnsi="Calibri"/>
                <w:b w:val="0"/>
                <w:i w:val="0"/>
                <w:color w:val="404040"/>
                <w:sz w:val="20"/>
              </w:rPr>
              <w:t>Settlement and Custody Operations</w:t>
            </w:r>
          </w:p>
        </w:tc>
        <w:tc>
          <w:tcPr>
            <w:tcW w:type="dxa" w:w="3120"/>
            <w:shd w:val="clear" w:color="auto" w:fill="F5F6FA"/>
          </w:tcPr>
          <w:p/>
          <w:p>
            <w:pPr>
              <w:jc w:val="center"/>
            </w:pPr>
            <w:r>
              <w:rPr>
                <w:rFonts w:ascii="Calibri" w:hAnsi="Calibri"/>
                <w:b w:val="0"/>
                <w:i w:val="0"/>
                <w:color w:val="404040"/>
                <w:sz w:val="20"/>
              </w:rPr>
              <w:t>4</w:t>
            </w:r>
          </w:p>
        </w:tc>
      </w:tr>
      <w:tr>
        <w:tc>
          <w:tcPr>
            <w:tcW w:type="dxa" w:w="3120"/>
            <w:shd w:val="clear" w:color="auto" w:fill="FFFFFF"/>
          </w:tcPr>
          <w:p/>
          <w:p>
            <w:pPr>
              <w:jc w:val="left"/>
            </w:pPr>
            <w:r>
              <w:rPr>
                <w:rFonts w:ascii="Calibri" w:hAnsi="Calibri"/>
                <w:b w:val="0"/>
                <w:i w:val="0"/>
                <w:color w:val="404040"/>
                <w:sz w:val="20"/>
              </w:rPr>
              <w:t>G11.6</w:t>
            </w:r>
          </w:p>
        </w:tc>
        <w:tc>
          <w:tcPr>
            <w:tcW w:type="dxa" w:w="3120"/>
            <w:shd w:val="clear" w:color="auto" w:fill="FFFFFF"/>
          </w:tcPr>
          <w:p/>
          <w:p>
            <w:pPr>
              <w:jc w:val="left"/>
            </w:pPr>
            <w:r>
              <w:rPr>
                <w:rFonts w:ascii="Calibri" w:hAnsi="Calibri"/>
                <w:b w:val="0"/>
                <w:i w:val="0"/>
                <w:color w:val="404040"/>
                <w:sz w:val="20"/>
              </w:rPr>
              <w:t>Corporate Actions Processing</w:t>
            </w:r>
          </w:p>
        </w:tc>
        <w:tc>
          <w:tcPr>
            <w:tcW w:type="dxa" w:w="3120"/>
            <w:shd w:val="clear" w:color="auto" w:fill="FFFFFF"/>
          </w:tcPr>
          <w:p/>
          <w:p>
            <w:pPr>
              <w:jc w:val="center"/>
            </w:pPr>
            <w:r>
              <w:rPr>
                <w:rFonts w:ascii="Calibri" w:hAnsi="Calibri"/>
                <w:b w:val="0"/>
                <w:i w:val="0"/>
                <w:color w:val="404040"/>
                <w:sz w:val="20"/>
              </w:rPr>
              <w:t>4</w:t>
            </w:r>
          </w:p>
        </w:tc>
      </w:tr>
      <w:tr>
        <w:tc>
          <w:tcPr>
            <w:tcW w:type="dxa" w:w="3120"/>
            <w:shd w:val="clear" w:color="auto" w:fill="F5F6FA"/>
          </w:tcPr>
          <w:p/>
          <w:p>
            <w:pPr>
              <w:jc w:val="left"/>
            </w:pPr>
            <w:r>
              <w:rPr>
                <w:rFonts w:ascii="Calibri" w:hAnsi="Calibri"/>
                <w:b w:val="0"/>
                <w:i w:val="0"/>
                <w:color w:val="404040"/>
                <w:sz w:val="20"/>
              </w:rPr>
              <w:t>G11.7</w:t>
            </w:r>
          </w:p>
        </w:tc>
        <w:tc>
          <w:tcPr>
            <w:tcW w:type="dxa" w:w="3120"/>
            <w:shd w:val="clear" w:color="auto" w:fill="F5F6FA"/>
          </w:tcPr>
          <w:p/>
          <w:p>
            <w:pPr>
              <w:jc w:val="left"/>
            </w:pPr>
            <w:r>
              <w:rPr>
                <w:rFonts w:ascii="Calibri" w:hAnsi="Calibri"/>
                <w:b w:val="0"/>
                <w:i w:val="0"/>
                <w:color w:val="404040"/>
                <w:sz w:val="20"/>
              </w:rPr>
              <w:t>Proxy Voting and Shareholder Services</w:t>
            </w:r>
          </w:p>
        </w:tc>
        <w:tc>
          <w:tcPr>
            <w:tcW w:type="dxa" w:w="3120"/>
            <w:shd w:val="clear" w:color="auto" w:fill="F5F6FA"/>
          </w:tcPr>
          <w:p/>
          <w:p>
            <w:pPr>
              <w:jc w:val="center"/>
            </w:pPr>
            <w:r>
              <w:rPr>
                <w:rFonts w:ascii="Calibri" w:hAnsi="Calibri"/>
                <w:b w:val="0"/>
                <w:i w:val="0"/>
                <w:color w:val="404040"/>
                <w:sz w:val="20"/>
              </w:rPr>
              <w:t>4</w:t>
            </w:r>
          </w:p>
        </w:tc>
      </w:tr>
      <w:tr>
        <w:tc>
          <w:tcPr>
            <w:tcW w:type="dxa" w:w="3120"/>
            <w:shd w:val="clear" w:color="auto" w:fill="FFFFFF"/>
          </w:tcPr>
          <w:p/>
          <w:p>
            <w:pPr>
              <w:jc w:val="left"/>
            </w:pPr>
            <w:r>
              <w:rPr>
                <w:rFonts w:ascii="Calibri" w:hAnsi="Calibri"/>
                <w:b w:val="0"/>
                <w:i w:val="0"/>
                <w:color w:val="404040"/>
                <w:sz w:val="20"/>
              </w:rPr>
              <w:t>G11.8</w:t>
            </w:r>
          </w:p>
        </w:tc>
        <w:tc>
          <w:tcPr>
            <w:tcW w:type="dxa" w:w="3120"/>
            <w:shd w:val="clear" w:color="auto" w:fill="FFFFFF"/>
          </w:tcPr>
          <w:p/>
          <w:p>
            <w:pPr>
              <w:jc w:val="left"/>
            </w:pPr>
            <w:r>
              <w:rPr>
                <w:rFonts w:ascii="Calibri" w:hAnsi="Calibri"/>
                <w:b w:val="0"/>
                <w:i w:val="0"/>
                <w:color w:val="404040"/>
                <w:sz w:val="20"/>
              </w:rPr>
              <w:t>Securities Lending and Borrowing</w:t>
            </w:r>
          </w:p>
        </w:tc>
        <w:tc>
          <w:tcPr>
            <w:tcW w:type="dxa" w:w="3120"/>
            <w:shd w:val="clear" w:color="auto" w:fill="FFFFFF"/>
          </w:tcPr>
          <w:p/>
          <w:p>
            <w:pPr>
              <w:jc w:val="center"/>
            </w:pPr>
            <w:r>
              <w:rPr>
                <w:rFonts w:ascii="Calibri" w:hAnsi="Calibri"/>
                <w:b w:val="0"/>
                <w:i w:val="0"/>
                <w:color w:val="404040"/>
                <w:sz w:val="20"/>
              </w:rPr>
              <w:t>4</w:t>
            </w:r>
          </w:p>
        </w:tc>
      </w:tr>
      <w:tr>
        <w:tc>
          <w:tcPr>
            <w:tcW w:type="dxa" w:w="3120"/>
            <w:shd w:val="clear" w:color="auto" w:fill="F5F6FA"/>
          </w:tcPr>
          <w:p/>
          <w:p>
            <w:pPr>
              <w:jc w:val="left"/>
            </w:pPr>
            <w:r>
              <w:rPr>
                <w:rFonts w:ascii="Calibri" w:hAnsi="Calibri"/>
                <w:b w:val="0"/>
                <w:i w:val="0"/>
                <w:color w:val="404040"/>
                <w:sz w:val="20"/>
              </w:rPr>
              <w:t>G11.9</w:t>
            </w:r>
          </w:p>
        </w:tc>
        <w:tc>
          <w:tcPr>
            <w:tcW w:type="dxa" w:w="3120"/>
            <w:shd w:val="clear" w:color="auto" w:fill="F5F6FA"/>
          </w:tcPr>
          <w:p/>
          <w:p>
            <w:pPr>
              <w:jc w:val="left"/>
            </w:pPr>
            <w:r>
              <w:rPr>
                <w:rFonts w:ascii="Calibri" w:hAnsi="Calibri"/>
                <w:b w:val="0"/>
                <w:i w:val="0"/>
                <w:color w:val="404040"/>
                <w:sz w:val="20"/>
              </w:rPr>
              <w:t>Prime Brokerage and Custody</w:t>
            </w:r>
          </w:p>
        </w:tc>
        <w:tc>
          <w:tcPr>
            <w:tcW w:type="dxa" w:w="3120"/>
            <w:shd w:val="clear" w:color="auto" w:fill="F5F6FA"/>
          </w:tcPr>
          <w:p/>
          <w:p>
            <w:pPr>
              <w:jc w:val="center"/>
            </w:pPr>
            <w:r>
              <w:rPr>
                <w:rFonts w:ascii="Calibri" w:hAnsi="Calibri"/>
                <w:b w:val="0"/>
                <w:i w:val="0"/>
                <w:color w:val="404040"/>
                <w:sz w:val="20"/>
              </w:rPr>
              <w:t>4</w:t>
            </w:r>
          </w:p>
        </w:tc>
      </w:tr>
      <w:tr>
        <w:tc>
          <w:tcPr>
            <w:tcW w:type="dxa" w:w="3120"/>
            <w:shd w:val="clear" w:color="auto" w:fill="FFFFFF"/>
          </w:tcPr>
          <w:p/>
          <w:p>
            <w:pPr>
              <w:jc w:val="left"/>
            </w:pPr>
            <w:r>
              <w:rPr>
                <w:rFonts w:ascii="Calibri" w:hAnsi="Calibri"/>
                <w:b w:val="0"/>
                <w:i w:val="0"/>
                <w:color w:val="404040"/>
                <w:sz w:val="20"/>
              </w:rPr>
              <w:t>G11.10</w:t>
            </w:r>
          </w:p>
        </w:tc>
        <w:tc>
          <w:tcPr>
            <w:tcW w:type="dxa" w:w="3120"/>
            <w:shd w:val="clear" w:color="auto" w:fill="FFFFFF"/>
          </w:tcPr>
          <w:p/>
          <w:p>
            <w:pPr>
              <w:jc w:val="left"/>
            </w:pPr>
            <w:r>
              <w:rPr>
                <w:rFonts w:ascii="Calibri" w:hAnsi="Calibri"/>
                <w:b w:val="0"/>
                <w:i w:val="0"/>
                <w:color w:val="404040"/>
                <w:sz w:val="20"/>
              </w:rPr>
              <w:t>Technology and Automation in Reconciliation &amp; Custody</w:t>
            </w:r>
          </w:p>
        </w:tc>
        <w:tc>
          <w:tcPr>
            <w:tcW w:type="dxa" w:w="3120"/>
            <w:shd w:val="clear" w:color="auto" w:fill="FFFFFF"/>
          </w:tcPr>
          <w:p/>
          <w:p>
            <w:pPr>
              <w:jc w:val="center"/>
            </w:pPr>
            <w:r>
              <w:rPr>
                <w:rFonts w:ascii="Calibri" w:hAnsi="Calibri"/>
                <w:b w:val="0"/>
                <w:i w:val="0"/>
                <w:color w:val="404040"/>
                <w:sz w:val="20"/>
              </w:rPr>
              <w:t>4</w:t>
            </w:r>
          </w:p>
        </w:tc>
      </w:tr>
      <w:tr>
        <w:tc>
          <w:tcPr>
            <w:tcW w:type="dxa" w:w="3120"/>
            <w:shd w:val="clear" w:color="auto" w:fill="007A87"/>
          </w:tcPr>
          <w:p/>
        </w:tc>
        <w:tc>
          <w:tcPr>
            <w:tcW w:type="dxa" w:w="3120"/>
            <w:shd w:val="clear" w:color="auto" w:fill="007A87"/>
          </w:tcPr>
          <w:p/>
          <w:p>
            <w:pPr>
              <w:jc w:val="right"/>
            </w:pPr>
            <w:r>
              <w:rPr>
                <w:rFonts w:ascii="Calibri" w:hAnsi="Calibri"/>
                <w:b/>
                <w:i w:val="0"/>
                <w:color w:val="FFFFFF"/>
                <w:sz w:val="20"/>
              </w:rPr>
              <w:t>Total</w:t>
            </w:r>
          </w:p>
        </w:tc>
        <w:tc>
          <w:tcPr>
            <w:tcW w:type="dxa" w:w="3120"/>
            <w:shd w:val="clear" w:color="auto" w:fill="007A87"/>
          </w:tcPr>
          <w:p/>
          <w:p>
            <w:pPr>
              <w:jc w:val="center"/>
            </w:pPr>
            <w:r>
              <w:rPr>
                <w:rFonts w:ascii="Calibri" w:hAnsi="Calibri"/>
                <w:b/>
                <w:i w:val="0"/>
                <w:color w:val="FFFFFF"/>
                <w:sz w:val="20"/>
              </w:rPr>
              <w:t>40</w:t>
            </w:r>
          </w:p>
        </w:tc>
      </w:tr>
    </w:tbl>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