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01C4F"/>
          <w:sz w:val="32"/>
        </w:rPr>
        <w:t>CIBOP — Certificate in Investment Banking Operations Programme</w:t>
      </w:r>
    </w:p>
    <w:p/>
    <w:p>
      <w:pPr>
        <w:jc w:val="center"/>
      </w:pPr>
      <w:r>
        <w:rPr>
          <w:rFonts w:ascii="Calibri" w:hAnsi="Calibri"/>
          <w:b/>
          <w:i w:val="0"/>
          <w:color w:val="007A87"/>
          <w:sz w:val="40"/>
        </w:rPr>
        <w:t>Module D2: Securities Operations</w:t>
      </w:r>
    </w:p>
    <w:p/>
    <w:p>
      <w:pPr>
        <w:jc w:val="center"/>
      </w:pPr>
      <w:r>
        <w:rPr>
          <w:rFonts w:ascii="Calibri" w:hAnsi="Calibri"/>
          <w:b w:val="0"/>
          <w:i/>
          <w:color w:val="404040"/>
          <w:sz w:val="24"/>
        </w:rPr>
        <w:t>Assessment Document  |  40 Questions  |  UORs D2.1 – D2.10</w:t>
      </w:r>
    </w:p>
    <w:p>
      <w:r>
        <w:br w:type="page"/>
      </w:r>
    </w:p>
    <w:p>
      <w:pPr>
        <w:shd w:val="clear" w:color="auto" w:fill="101C4F"/>
      </w:pPr>
      <w:r>
        <w:rPr>
          <w:rFonts w:ascii="Calibri" w:hAnsi="Calibri"/>
          <w:b/>
          <w:i w:val="0"/>
          <w:color w:val="FFFFFF"/>
          <w:sz w:val="24"/>
        </w:rPr>
        <w:t xml:space="preserve">  D2.1: Securities Trading Organization (STO)</w:t>
      </w:r>
    </w:p>
    <w:p>
      <w:r>
        <w:rPr>
          <w:rFonts w:ascii="Calibri" w:hAnsi="Calibri"/>
          <w:b/>
          <w:i w:val="0"/>
          <w:color w:val="007A87"/>
          <w:sz w:val="22"/>
        </w:rPr>
        <w:t xml:space="preserve">Q1. </w:t>
      </w:r>
      <w:r>
        <w:rPr>
          <w:rFonts w:ascii="Calibri" w:hAnsi="Calibri"/>
          <w:b/>
          <w:i w:val="0"/>
          <w:color w:val="F0A800"/>
          <w:sz w:val="18"/>
        </w:rPr>
        <w:t xml:space="preserve">[MCQ_INLINE]  </w:t>
      </w:r>
      <w:r>
        <w:rPr>
          <w:rFonts w:ascii="Calibri" w:hAnsi="Calibri"/>
          <w:b w:val="0"/>
          <w:i w:val="0"/>
          <w:sz w:val="22"/>
        </w:rPr>
        <w:t>An analyst at a large Indian bank processes trade confirmations, reconciles settlement breaks, and submits regulatory reports to SEBI. Which office tier does this analyst belong to?</w:t>
      </w:r>
    </w:p>
    <w:p>
      <w:pPr>
        <w:pStyle w:val="ListBullet"/>
        <w:ind w:left="567"/>
      </w:pPr>
      <w:r>
        <w:rPr>
          <w:rFonts w:ascii="Calibri" w:hAnsi="Calibri"/>
          <w:b w:val="0"/>
          <w:i w:val="0"/>
          <w:sz w:val="20"/>
        </w:rPr>
        <w:t>A) Front Office</w:t>
      </w:r>
    </w:p>
    <w:p>
      <w:pPr>
        <w:pStyle w:val="ListBullet"/>
        <w:ind w:left="567"/>
      </w:pPr>
      <w:r>
        <w:rPr>
          <w:rFonts w:ascii="Calibri" w:hAnsi="Calibri"/>
          <w:b w:val="0"/>
          <w:i w:val="0"/>
          <w:sz w:val="20"/>
        </w:rPr>
        <w:t>B) Middle Office</w:t>
      </w:r>
    </w:p>
    <w:p>
      <w:pPr>
        <w:pStyle w:val="ListBullet"/>
        <w:ind w:left="567"/>
      </w:pPr>
      <w:r>
        <w:rPr>
          <w:rFonts w:ascii="Calibri" w:hAnsi="Calibri"/>
          <w:b w:val="0"/>
          <w:i w:val="0"/>
          <w:sz w:val="20"/>
        </w:rPr>
        <w:t>C) Back Office</w:t>
      </w:r>
    </w:p>
    <w:p>
      <w:pPr>
        <w:pStyle w:val="ListBullet"/>
        <w:ind w:left="567"/>
      </w:pPr>
      <w:r>
        <w:rPr>
          <w:rFonts w:ascii="Calibri" w:hAnsi="Calibri"/>
          <w:b w:val="0"/>
          <w:i w:val="0"/>
          <w:sz w:val="20"/>
        </w:rPr>
        <w:t>D) Compliance Office</w:t>
      </w:r>
    </w:p>
    <w:p>
      <w:r>
        <w:rPr>
          <w:rFonts w:ascii="Calibri" w:hAnsi="Calibri"/>
          <w:b/>
          <w:i w:val="0"/>
          <w:color w:val="007A87"/>
          <w:sz w:val="20"/>
        </w:rPr>
        <w:t xml:space="preserve">Answer: </w:t>
      </w:r>
      <w:r>
        <w:rPr>
          <w:rFonts w:ascii="Calibri" w:hAnsi="Calibri"/>
          <w:b/>
          <w:i w:val="0"/>
          <w:color w:val="101C4F"/>
          <w:sz w:val="20"/>
        </w:rPr>
        <w:t>C</w:t>
      </w:r>
    </w:p>
    <w:p>
      <w:r>
        <w:rPr>
          <w:rFonts w:ascii="Calibri" w:hAnsi="Calibri"/>
          <w:b/>
          <w:i w:val="0"/>
          <w:color w:val="404040"/>
          <w:sz w:val="20"/>
        </w:rPr>
        <w:t xml:space="preserve">Explanation: </w:t>
      </w:r>
      <w:r>
        <w:rPr>
          <w:rFonts w:ascii="Calibri" w:hAnsi="Calibri"/>
          <w:b w:val="0"/>
          <w:i/>
          <w:color w:val="404040"/>
          <w:sz w:val="20"/>
        </w:rPr>
        <w:t>Back Office handles post-trade operations: settlement, reconciliation, and regulatory reporting. Front Office faces clients and executes trades. Middle Office manages risk, P&amp;L, and trade control.</w:t>
      </w:r>
    </w:p>
    <w:p/>
    <w:p>
      <w:r>
        <w:rPr>
          <w:rFonts w:ascii="Calibri" w:hAnsi="Calibri"/>
          <w:b/>
          <w:i w:val="0"/>
          <w:color w:val="007A87"/>
          <w:sz w:val="22"/>
        </w:rPr>
        <w:t xml:space="preserve">Q2. </w:t>
      </w:r>
      <w:r>
        <w:rPr>
          <w:rFonts w:ascii="Calibri" w:hAnsi="Calibri"/>
          <w:b/>
          <w:i w:val="0"/>
          <w:color w:val="F0A800"/>
          <w:sz w:val="18"/>
        </w:rPr>
        <w:t xml:space="preserve">[TRUE_FALSE_MULTI]  </w:t>
      </w:r>
      <w:r>
        <w:rPr>
          <w:rFonts w:ascii="Calibri" w:hAnsi="Calibri"/>
          <w:b w:val="0"/>
          <w:i w:val="0"/>
          <w:sz w:val="22"/>
        </w:rPr>
        <w:t>Evaluate each statement about STO structure. Mark TRUE or FALSE: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rFonts w:ascii="Calibri" w:hAnsi="Calibri"/>
                <w:b/>
                <w:i w:val="0"/>
                <w:color w:val="FFFFFF"/>
                <w:sz w:val="20"/>
              </w:rPr>
              <w:t>Statement</w:t>
            </w:r>
          </w:p>
        </w:tc>
        <w:tc>
          <w:tcPr>
            <w:tcW w:type="dxa" w:w="3324"/>
            <w:shd w:val="clear" w:color="auto" w:fill="101C4F"/>
          </w:tcPr>
          <w:p>
            <w:r>
              <w:rPr>
                <w:rFonts w:ascii="Calibri" w:hAnsi="Calibri"/>
                <w:b/>
                <w:i w:val="0"/>
                <w:color w:val="FFFFFF"/>
                <w:sz w:val="20"/>
              </w:rPr>
              <w:t>T / F</w:t>
            </w:r>
          </w:p>
        </w:tc>
        <w:tc>
          <w:tcPr>
            <w:tcW w:type="dxa" w:w="3324"/>
            <w:shd w:val="clear" w:color="auto" w:fill="101C4F"/>
          </w:tcPr>
          <w:p>
            <w:r>
              <w:rPr>
                <w:rFonts w:ascii="Calibri" w:hAnsi="Calibri"/>
                <w:b/>
                <w:i w:val="0"/>
                <w:color w:val="FFFFFF"/>
                <w:sz w:val="20"/>
              </w:rPr>
              <w:t>Explanation</w:t>
            </w:r>
          </w:p>
        </w:tc>
      </w:tr>
      <w:tr>
        <w:tc>
          <w:tcPr>
            <w:tcW w:type="dxa" w:w="3324"/>
          </w:tcPr>
          <w:p>
            <w:r>
              <w:rPr>
                <w:sz w:val="20"/>
              </w:rPr>
              <w:t>The Front Office generates revenue through client-facing trading and sales activities.</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SEBI requires segregation of trading and settlement functions at registered brokers.</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The Middle Office settles trades and manages client demat accounts.</w:t>
            </w:r>
          </w:p>
        </w:tc>
        <w:tc>
          <w:tcPr>
            <w:tcW w:type="dxa" w:w="3324"/>
          </w:tcPr>
          <w:p>
            <w:pPr>
              <w:jc w:val="center"/>
            </w:pPr>
            <w:r>
              <w:rPr>
                <w:rFonts w:ascii="Calibri" w:hAnsi="Calibri"/>
                <w:b/>
                <w:i w:val="0"/>
                <w:color w:val="C02020"/>
                <w:sz w:val="20"/>
              </w:rPr>
              <w:t>FALSE</w:t>
            </w:r>
          </w:p>
        </w:tc>
        <w:tc>
          <w:tcPr>
            <w:tcW w:type="dxa" w:w="3324"/>
          </w:tcPr>
          <w:p>
            <w:r>
              <w:rPr>
                <w:sz w:val="18"/>
              </w:rPr>
              <w:t>that is Back Office.</w:t>
            </w:r>
          </w:p>
        </w:tc>
      </w:tr>
      <w:tr>
        <w:tc>
          <w:tcPr>
            <w:tcW w:type="dxa" w:w="3324"/>
          </w:tcPr>
          <w:p>
            <w:r>
              <w:rPr>
                <w:sz w:val="20"/>
              </w:rPr>
              <w:t>Product Control (P&amp;L calculation) is a Middle Office function.</w:t>
            </w:r>
          </w:p>
        </w:tc>
        <w:tc>
          <w:tcPr>
            <w:tcW w:type="dxa" w:w="3324"/>
          </w:tcPr>
          <w:p>
            <w:pPr>
              <w:jc w:val="center"/>
            </w:pPr>
            <w:r>
              <w:rPr>
                <w:rFonts w:ascii="Calibri" w:hAnsi="Calibri"/>
                <w:b/>
                <w:i w:val="0"/>
                <w:color w:val="007A87"/>
                <w:sz w:val="20"/>
              </w:rPr>
              <w:t>TRUE</w:t>
            </w:r>
          </w:p>
        </w:tc>
        <w:tc>
          <w:tcPr>
            <w:tcW w:type="dxa" w:w="3324"/>
          </w:tcPr>
          <w:p>
            <w:r>
              <w:rPr>
                <w:sz w:val="18"/>
              </w:rPr>
            </w:r>
          </w:p>
        </w:tc>
      </w:tr>
    </w:tbl>
    <w:p/>
    <w:p>
      <w:r>
        <w:rPr>
          <w:rFonts w:ascii="Calibri" w:hAnsi="Calibri"/>
          <w:b/>
          <w:i w:val="0"/>
          <w:color w:val="007A87"/>
          <w:sz w:val="22"/>
        </w:rPr>
        <w:t xml:space="preserve">Q3. </w:t>
      </w:r>
      <w:r>
        <w:rPr>
          <w:rFonts w:ascii="Calibri" w:hAnsi="Calibri"/>
          <w:b/>
          <w:i w:val="0"/>
          <w:color w:val="F0A800"/>
          <w:sz w:val="18"/>
        </w:rPr>
        <w:t xml:space="preserve">[GAP_FILL]  </w:t>
      </w:r>
      <w:r>
        <w:rPr>
          <w:rFonts w:ascii="Calibri" w:hAnsi="Calibri"/>
          <w:b w:val="0"/>
          <w:i w:val="0"/>
          <w:sz w:val="22"/>
        </w:rPr>
        <w:t>Complete the STO function classification: 'A portfolio manager at an asset management firm communicates a buy order to a trader. The trader executes on NSE. This function belongs to the [___] office. The team that monitors whether this trade breaches the fund's concentration limit belongs to [___] office. The team that sends the settlement instruction to NSDL belongs to [___] office.'</w:t>
      </w:r>
    </w:p>
    <w:p>
      <w:r>
        <w:rPr>
          <w:rFonts w:ascii="Calibri" w:hAnsi="Calibri"/>
          <w:b/>
          <w:i w:val="0"/>
          <w:color w:val="007A87"/>
          <w:sz w:val="20"/>
        </w:rPr>
        <w:t xml:space="preserve">Select from dropdowns: </w:t>
      </w:r>
    </w:p>
    <w:p>
      <w:pPr>
        <w:ind w:left="567"/>
      </w:pPr>
      <w:r>
        <w:rPr>
          <w:rFonts w:ascii="Calibri" w:hAnsi="Calibri"/>
          <w:b/>
          <w:i w:val="0"/>
          <w:color w:val="007A87"/>
          <w:sz w:val="20"/>
        </w:rPr>
        <w:t xml:space="preserve">Blank 1 — Correct: </w:t>
      </w:r>
      <w:r>
        <w:rPr>
          <w:rFonts w:ascii="Calibri" w:hAnsi="Calibri"/>
          <w:b/>
          <w:i w:val="0"/>
          <w:color w:val="101C4F"/>
          <w:sz w:val="20"/>
        </w:rPr>
        <w:t>Front</w:t>
      </w:r>
      <w:r>
        <w:rPr>
          <w:rFonts w:ascii="Calibri" w:hAnsi="Calibri"/>
          <w:b w:val="0"/>
          <w:i w:val="0"/>
          <w:color w:val="404040"/>
          <w:sz w:val="18"/>
        </w:rPr>
        <w:t xml:space="preserve">  |  Options: Front, Middle, Back, Compliance</w:t>
      </w:r>
    </w:p>
    <w:p>
      <w:pPr>
        <w:ind w:left="567"/>
      </w:pPr>
      <w:r>
        <w:rPr>
          <w:rFonts w:ascii="Calibri" w:hAnsi="Calibri"/>
          <w:b/>
          <w:i w:val="0"/>
          <w:color w:val="007A87"/>
          <w:sz w:val="20"/>
        </w:rPr>
        <w:t xml:space="preserve">Blank 2 — Correct: </w:t>
      </w:r>
      <w:r>
        <w:rPr>
          <w:rFonts w:ascii="Calibri" w:hAnsi="Calibri"/>
          <w:b/>
          <w:i w:val="0"/>
          <w:color w:val="101C4F"/>
          <w:sz w:val="20"/>
        </w:rPr>
        <w:t>Middle</w:t>
      </w:r>
      <w:r>
        <w:rPr>
          <w:rFonts w:ascii="Calibri" w:hAnsi="Calibri"/>
          <w:b w:val="0"/>
          <w:i w:val="0"/>
          <w:color w:val="404040"/>
          <w:sz w:val="18"/>
        </w:rPr>
        <w:t xml:space="preserve">  |  Options: Front, Middle, Back, Risk</w:t>
      </w:r>
    </w:p>
    <w:p>
      <w:pPr>
        <w:ind w:left="567"/>
      </w:pPr>
      <w:r>
        <w:rPr>
          <w:rFonts w:ascii="Calibri" w:hAnsi="Calibri"/>
          <w:b/>
          <w:i w:val="0"/>
          <w:color w:val="007A87"/>
          <w:sz w:val="20"/>
        </w:rPr>
        <w:t xml:space="preserve">Blank 3 — Correct: </w:t>
      </w:r>
      <w:r>
        <w:rPr>
          <w:rFonts w:ascii="Calibri" w:hAnsi="Calibri"/>
          <w:b/>
          <w:i w:val="0"/>
          <w:color w:val="101C4F"/>
          <w:sz w:val="20"/>
        </w:rPr>
        <w:t>Back</w:t>
      </w:r>
      <w:r>
        <w:rPr>
          <w:rFonts w:ascii="Calibri" w:hAnsi="Calibri"/>
          <w:b w:val="0"/>
          <w:i w:val="0"/>
          <w:color w:val="404040"/>
          <w:sz w:val="18"/>
        </w:rPr>
        <w:t xml:space="preserve">  |  Options: Front, Middle, Back, Operations</w:t>
      </w:r>
    </w:p>
    <w:p/>
    <w:p>
      <w:r>
        <w:rPr>
          <w:rFonts w:ascii="Calibri" w:hAnsi="Calibri"/>
          <w:b/>
          <w:i w:val="0"/>
          <w:color w:val="007A87"/>
          <w:sz w:val="22"/>
        </w:rPr>
        <w:t xml:space="preserve">Q4. </w:t>
      </w:r>
      <w:r>
        <w:rPr>
          <w:rFonts w:ascii="Calibri" w:hAnsi="Calibri"/>
          <w:b/>
          <w:i w:val="0"/>
          <w:color w:val="F0A800"/>
          <w:sz w:val="18"/>
        </w:rPr>
        <w:t xml:space="preserve">[MATCHING]  </w:t>
      </w:r>
      <w:r>
        <w:rPr>
          <w:rFonts w:ascii="Calibri" w:hAnsi="Calibri"/>
          <w:b w:val="0"/>
          <w:i w:val="0"/>
          <w:sz w:val="22"/>
        </w:rPr>
        <w:t>Match each STO function to the correct office tier:</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Item</w:t>
            </w:r>
          </w:p>
        </w:tc>
        <w:tc>
          <w:tcPr>
            <w:tcW w:type="dxa" w:w="4986"/>
            <w:shd w:val="clear" w:color="auto" w:fill="007A87"/>
          </w:tcPr>
          <w:p>
            <w:r>
              <w:rPr>
                <w:rFonts w:ascii="Calibri" w:hAnsi="Calibri"/>
                <w:b/>
                <w:i w:val="0"/>
                <w:color w:val="FFFFFF"/>
                <w:sz w:val="20"/>
              </w:rPr>
              <w:t>Match</w:t>
            </w:r>
          </w:p>
        </w:tc>
      </w:tr>
      <w:tr>
        <w:tc>
          <w:tcPr>
            <w:tcW w:type="dxa" w:w="4986"/>
          </w:tcPr>
          <w:p>
            <w:r>
              <w:rPr>
                <w:sz w:val="20"/>
              </w:rPr>
              <w:t>Calculating daily mark-to-market P&amp;L</w:t>
            </w:r>
          </w:p>
        </w:tc>
        <w:tc>
          <w:tcPr>
            <w:tcW w:type="dxa" w:w="4986"/>
          </w:tcPr>
          <w:p>
            <w:r>
              <w:rPr>
                <w:rFonts w:ascii="Calibri" w:hAnsi="Calibri"/>
                <w:b/>
                <w:i w:val="0"/>
                <w:color w:val="101C4F"/>
                <w:sz w:val="20"/>
              </w:rPr>
              <w:t>Middle Office — Product Control</w:t>
            </w:r>
          </w:p>
        </w:tc>
      </w:tr>
      <w:tr>
        <w:tc>
          <w:tcPr>
            <w:tcW w:type="dxa" w:w="4986"/>
          </w:tcPr>
          <w:p>
            <w:r>
              <w:rPr>
                <w:sz w:val="20"/>
              </w:rPr>
              <w:t>Executing a client equity order on BSE</w:t>
            </w:r>
          </w:p>
        </w:tc>
        <w:tc>
          <w:tcPr>
            <w:tcW w:type="dxa" w:w="4986"/>
          </w:tcPr>
          <w:p>
            <w:r>
              <w:rPr>
                <w:rFonts w:ascii="Calibri" w:hAnsi="Calibri"/>
                <w:b/>
                <w:i w:val="0"/>
                <w:color w:val="101C4F"/>
                <w:sz w:val="20"/>
              </w:rPr>
              <w:t>Front Office — Trader</w:t>
            </w:r>
          </w:p>
        </w:tc>
      </w:tr>
      <w:tr>
        <w:tc>
          <w:tcPr>
            <w:tcW w:type="dxa" w:w="4986"/>
          </w:tcPr>
          <w:p>
            <w:r>
              <w:rPr>
                <w:sz w:val="20"/>
              </w:rPr>
              <w:t>Processing a failed trade through the NSE auction mechanism</w:t>
            </w:r>
          </w:p>
        </w:tc>
        <w:tc>
          <w:tcPr>
            <w:tcW w:type="dxa" w:w="4986"/>
          </w:tcPr>
          <w:p>
            <w:r>
              <w:rPr>
                <w:rFonts w:ascii="Calibri" w:hAnsi="Calibri"/>
                <w:b/>
                <w:i w:val="0"/>
                <w:color w:val="101C4F"/>
                <w:sz w:val="20"/>
              </w:rPr>
              <w:t>Back Office — Operations</w:t>
            </w:r>
          </w:p>
        </w:tc>
      </w:tr>
      <w:tr>
        <w:tc>
          <w:tcPr>
            <w:tcW w:type="dxa" w:w="4986"/>
          </w:tcPr>
          <w:p>
            <w:r>
              <w:rPr>
                <w:sz w:val="20"/>
              </w:rPr>
              <w:t>Monitoring counterparty credit limits in real time</w:t>
            </w:r>
          </w:p>
        </w:tc>
        <w:tc>
          <w:tcPr>
            <w:tcW w:type="dxa" w:w="4986"/>
          </w:tcPr>
          <w:p>
            <w:r>
              <w:rPr>
                <w:rFonts w:ascii="Calibri" w:hAnsi="Calibri"/>
                <w:b/>
                <w:i w:val="0"/>
                <w:color w:val="101C4F"/>
                <w:sz w:val="20"/>
              </w:rPr>
              <w:t>Middle Office — Risk Management</w:t>
            </w:r>
          </w:p>
        </w:tc>
      </w:tr>
    </w:tbl>
    <w:p/>
    <w:p>
      <w:pPr>
        <w:shd w:val="clear" w:color="auto" w:fill="101C4F"/>
      </w:pPr>
      <w:r>
        <w:rPr>
          <w:rFonts w:ascii="Calibri" w:hAnsi="Calibri"/>
          <w:b/>
          <w:i w:val="0"/>
          <w:color w:val="FFFFFF"/>
          <w:sz w:val="24"/>
        </w:rPr>
        <w:t xml:space="preserve">  D2.2: Reference Data Management (RDM)</w:t>
      </w:r>
    </w:p>
    <w:p>
      <w:r>
        <w:rPr>
          <w:rFonts w:ascii="Calibri" w:hAnsi="Calibri"/>
          <w:b/>
          <w:i w:val="0"/>
          <w:color w:val="007A87"/>
          <w:sz w:val="22"/>
        </w:rPr>
        <w:t xml:space="preserve">Q5. </w:t>
      </w:r>
      <w:r>
        <w:rPr>
          <w:rFonts w:ascii="Calibri" w:hAnsi="Calibri"/>
          <w:b/>
          <w:i w:val="0"/>
          <w:color w:val="F0A800"/>
          <w:sz w:val="18"/>
        </w:rPr>
        <w:t xml:space="preserve">[MCQ_INLINE]  </w:t>
      </w:r>
      <w:r>
        <w:rPr>
          <w:rFonts w:ascii="Calibri" w:hAnsi="Calibri"/>
          <w:b w:val="0"/>
          <w:i w:val="0"/>
          <w:sz w:val="22"/>
        </w:rPr>
        <w:t>An operations team set up a security master record for Infosys at IPO. Infosys then completed a 2:1 bonus share issue, but the RDM team did not update the record. What is the most likely immediate consequence?</w:t>
      </w:r>
    </w:p>
    <w:p>
      <w:pPr>
        <w:pStyle w:val="ListBullet"/>
        <w:ind w:left="567"/>
      </w:pPr>
      <w:r>
        <w:rPr>
          <w:rFonts w:ascii="Calibri" w:hAnsi="Calibri"/>
          <w:b w:val="0"/>
          <w:i w:val="0"/>
          <w:sz w:val="20"/>
        </w:rPr>
        <w:t>A) The ISIN code will automatically change</w:t>
      </w:r>
    </w:p>
    <w:p>
      <w:pPr>
        <w:pStyle w:val="ListBullet"/>
        <w:ind w:left="567"/>
      </w:pPr>
      <w:r>
        <w:rPr>
          <w:rFonts w:ascii="Calibri" w:hAnsi="Calibri"/>
          <w:b w:val="0"/>
          <w:i w:val="0"/>
          <w:sz w:val="20"/>
        </w:rPr>
        <w:t>B) Trades will book at pre-bonus price, causing incorrect P&amp;L and portfolio valuations</w:t>
      </w:r>
    </w:p>
    <w:p>
      <w:pPr>
        <w:pStyle w:val="ListBullet"/>
        <w:ind w:left="567"/>
      </w:pPr>
      <w:r>
        <w:rPr>
          <w:rFonts w:ascii="Calibri" w:hAnsi="Calibri"/>
          <w:b w:val="0"/>
          <w:i w:val="0"/>
          <w:sz w:val="20"/>
        </w:rPr>
        <w:t>C) NSE will suspend trading in Infosys until the data is corrected</w:t>
      </w:r>
    </w:p>
    <w:p>
      <w:pPr>
        <w:pStyle w:val="ListBullet"/>
        <w:ind w:left="567"/>
      </w:pPr>
      <w:r>
        <w:rPr>
          <w:rFonts w:ascii="Calibri" w:hAnsi="Calibri"/>
          <w:b w:val="0"/>
          <w:i w:val="0"/>
          <w:sz w:val="20"/>
        </w:rPr>
        <w:t>D) The settlement cycle will change from T+1 to T+2</w:t>
      </w:r>
    </w:p>
    <w:p>
      <w:r>
        <w:rPr>
          <w:rFonts w:ascii="Calibri" w:hAnsi="Calibri"/>
          <w:b/>
          <w:i w:val="0"/>
          <w:color w:val="007A87"/>
          <w:sz w:val="20"/>
        </w:rPr>
        <w:t xml:space="preserve">Answer: </w:t>
      </w:r>
      <w:r>
        <w:rPr>
          <w:rFonts w:ascii="Calibri" w:hAnsi="Calibri"/>
          <w:b/>
          <w:i w:val="0"/>
          <w:color w:val="101C4F"/>
          <w:sz w:val="20"/>
        </w:rPr>
        <w:t>B</w:t>
      </w:r>
    </w:p>
    <w:p>
      <w:r>
        <w:rPr>
          <w:rFonts w:ascii="Calibri" w:hAnsi="Calibri"/>
          <w:b/>
          <w:i w:val="0"/>
          <w:color w:val="404040"/>
          <w:sz w:val="20"/>
        </w:rPr>
        <w:t xml:space="preserve">Explanation: </w:t>
      </w:r>
      <w:r>
        <w:rPr>
          <w:rFonts w:ascii="Calibri" w:hAnsi="Calibri"/>
          <w:b w:val="0"/>
          <w:i/>
          <w:color w:val="404040"/>
          <w:sz w:val="20"/>
        </w:rPr>
        <w:t>Stale reference data (not updated after a bonus issue) causes trades to book at the wrong price, producing incorrect P&amp;L calculations and incorrect client portfolio valuations. NSE manages the price adjustment separately; the firm's internal records are the issue here.</w:t>
      </w:r>
    </w:p>
    <w:p/>
    <w:p>
      <w:r>
        <w:rPr>
          <w:rFonts w:ascii="Calibri" w:hAnsi="Calibri"/>
          <w:b/>
          <w:i w:val="0"/>
          <w:color w:val="007A87"/>
          <w:sz w:val="22"/>
        </w:rPr>
        <w:t xml:space="preserve">Q6. </w:t>
      </w:r>
      <w:r>
        <w:rPr>
          <w:rFonts w:ascii="Calibri" w:hAnsi="Calibri"/>
          <w:b/>
          <w:i w:val="0"/>
          <w:color w:val="F0A800"/>
          <w:sz w:val="18"/>
        </w:rPr>
        <w:t xml:space="preserve">[TRUE_FALSE_MULTI]  </w:t>
      </w:r>
      <w:r>
        <w:rPr>
          <w:rFonts w:ascii="Calibri" w:hAnsi="Calibri"/>
          <w:b w:val="0"/>
          <w:i w:val="0"/>
          <w:sz w:val="22"/>
        </w:rPr>
        <w:t>Evaluate these statements about reference data. Mark TRUE or FALSE: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rFonts w:ascii="Calibri" w:hAnsi="Calibri"/>
                <w:b/>
                <w:i w:val="0"/>
                <w:color w:val="FFFFFF"/>
                <w:sz w:val="20"/>
              </w:rPr>
              <w:t>Statement</w:t>
            </w:r>
          </w:p>
        </w:tc>
        <w:tc>
          <w:tcPr>
            <w:tcW w:type="dxa" w:w="3324"/>
            <w:shd w:val="clear" w:color="auto" w:fill="101C4F"/>
          </w:tcPr>
          <w:p>
            <w:r>
              <w:rPr>
                <w:rFonts w:ascii="Calibri" w:hAnsi="Calibri"/>
                <w:b/>
                <w:i w:val="0"/>
                <w:color w:val="FFFFFF"/>
                <w:sz w:val="20"/>
              </w:rPr>
              <w:t>T / F</w:t>
            </w:r>
          </w:p>
        </w:tc>
        <w:tc>
          <w:tcPr>
            <w:tcW w:type="dxa" w:w="3324"/>
            <w:shd w:val="clear" w:color="auto" w:fill="101C4F"/>
          </w:tcPr>
          <w:p>
            <w:r>
              <w:rPr>
                <w:rFonts w:ascii="Calibri" w:hAnsi="Calibri"/>
                <w:b/>
                <w:i w:val="0"/>
                <w:color w:val="FFFFFF"/>
                <w:sz w:val="20"/>
              </w:rPr>
              <w:t>Explanation</w:t>
            </w:r>
          </w:p>
        </w:tc>
      </w:tr>
      <w:tr>
        <w:tc>
          <w:tcPr>
            <w:tcW w:type="dxa" w:w="3324"/>
          </w:tcPr>
          <w:p>
            <w:r>
              <w:rPr>
                <w:sz w:val="20"/>
              </w:rPr>
              <w:t>ISIN is a 12-character global security identifier and the standard for Indian settlement instructions.</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Dynamic data refers to stable information such as a security's ISIN and the issuer's legal name.</w:t>
            </w:r>
          </w:p>
        </w:tc>
        <w:tc>
          <w:tcPr>
            <w:tcW w:type="dxa" w:w="3324"/>
          </w:tcPr>
          <w:p>
            <w:pPr>
              <w:jc w:val="center"/>
            </w:pPr>
            <w:r>
              <w:rPr>
                <w:rFonts w:ascii="Calibri" w:hAnsi="Calibri"/>
                <w:b/>
                <w:i w:val="0"/>
                <w:color w:val="C02020"/>
                <w:sz w:val="20"/>
              </w:rPr>
              <w:t>FALSE</w:t>
            </w:r>
          </w:p>
        </w:tc>
        <w:tc>
          <w:tcPr>
            <w:tcW w:type="dxa" w:w="3324"/>
          </w:tcPr>
          <w:p>
            <w:r>
              <w:rPr>
                <w:sz w:val="18"/>
              </w:rPr>
              <w:t>dynamic data changes continuously (prices, rates). Static data is stable.</w:t>
            </w:r>
          </w:p>
        </w:tc>
      </w:tr>
      <w:tr>
        <w:tc>
          <w:tcPr>
            <w:tcW w:type="dxa" w:w="3324"/>
          </w:tcPr>
          <w:p>
            <w:r>
              <w:rPr>
                <w:sz w:val="20"/>
              </w:rPr>
              <w:t>FBIL publishes MIBOR fixings which are an example of dynamic reference data.</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SWIFT BIC codes are used to route settlement instructions to the correct correspondent bank.</w:t>
            </w:r>
          </w:p>
        </w:tc>
        <w:tc>
          <w:tcPr>
            <w:tcW w:type="dxa" w:w="3324"/>
          </w:tcPr>
          <w:p>
            <w:pPr>
              <w:jc w:val="center"/>
            </w:pPr>
            <w:r>
              <w:rPr>
                <w:rFonts w:ascii="Calibri" w:hAnsi="Calibri"/>
                <w:b/>
                <w:i w:val="0"/>
                <w:color w:val="007A87"/>
                <w:sz w:val="20"/>
              </w:rPr>
              <w:t>TRUE</w:t>
            </w:r>
          </w:p>
        </w:tc>
        <w:tc>
          <w:tcPr>
            <w:tcW w:type="dxa" w:w="3324"/>
          </w:tcPr>
          <w:p>
            <w:r>
              <w:rPr>
                <w:sz w:val="18"/>
              </w:rPr>
            </w:r>
          </w:p>
        </w:tc>
      </w:tr>
    </w:tbl>
    <w:p/>
    <w:p>
      <w:r>
        <w:rPr>
          <w:rFonts w:ascii="Calibri" w:hAnsi="Calibri"/>
          <w:b/>
          <w:i w:val="0"/>
          <w:color w:val="007A87"/>
          <w:sz w:val="22"/>
        </w:rPr>
        <w:t xml:space="preserve">Q7. </w:t>
      </w:r>
      <w:r>
        <w:rPr>
          <w:rFonts w:ascii="Calibri" w:hAnsi="Calibri"/>
          <w:b/>
          <w:i w:val="0"/>
          <w:color w:val="F0A800"/>
          <w:sz w:val="18"/>
        </w:rPr>
        <w:t xml:space="preserve">[GAP_FILL]  </w:t>
      </w:r>
      <w:r>
        <w:rPr>
          <w:rFonts w:ascii="Calibri" w:hAnsi="Calibri"/>
          <w:b w:val="0"/>
          <w:i w:val="0"/>
          <w:sz w:val="22"/>
        </w:rPr>
        <w:t>Fill in the blanks: 'The global standard security identifier used for Indian settlement instructions is the [___]. For Indian equity and bond settlements, securities are held at [___] or [___]. Bloomberg provides [___] and [___] data to STOs, while NSE provides the [___] calendar critical for settlement date calculation.'</w:t>
      </w:r>
    </w:p>
    <w:p>
      <w:r>
        <w:rPr>
          <w:rFonts w:ascii="Calibri" w:hAnsi="Calibri"/>
          <w:b/>
          <w:i w:val="0"/>
          <w:color w:val="007A87"/>
          <w:sz w:val="20"/>
        </w:rPr>
        <w:t xml:space="preserve">Select from dropdowns: </w:t>
      </w:r>
    </w:p>
    <w:p>
      <w:pPr>
        <w:ind w:left="567"/>
      </w:pPr>
      <w:r>
        <w:rPr>
          <w:rFonts w:ascii="Calibri" w:hAnsi="Calibri"/>
          <w:b/>
          <w:i w:val="0"/>
          <w:color w:val="007A87"/>
          <w:sz w:val="20"/>
        </w:rPr>
        <w:t xml:space="preserve">Blank 1 — Correct: </w:t>
      </w:r>
      <w:r>
        <w:rPr>
          <w:rFonts w:ascii="Calibri" w:hAnsi="Calibri"/>
          <w:b/>
          <w:i w:val="0"/>
          <w:color w:val="101C4F"/>
          <w:sz w:val="20"/>
        </w:rPr>
        <w:t>ISIN</w:t>
      </w:r>
      <w:r>
        <w:rPr>
          <w:rFonts w:ascii="Calibri" w:hAnsi="Calibri"/>
          <w:b w:val="0"/>
          <w:i w:val="0"/>
          <w:color w:val="404040"/>
          <w:sz w:val="18"/>
        </w:rPr>
        <w:t xml:space="preserve">  |  Options: ISIN, CUSIP, SEDOL, Bloomberg ticker</w:t>
      </w:r>
    </w:p>
    <w:p>
      <w:pPr>
        <w:ind w:left="567"/>
      </w:pPr>
      <w:r>
        <w:rPr>
          <w:rFonts w:ascii="Calibri" w:hAnsi="Calibri"/>
          <w:b/>
          <w:i w:val="0"/>
          <w:color w:val="007A87"/>
          <w:sz w:val="20"/>
        </w:rPr>
        <w:t xml:space="preserve">Blank 2 — Correct: </w:t>
      </w:r>
      <w:r>
        <w:rPr>
          <w:rFonts w:ascii="Calibri" w:hAnsi="Calibri"/>
          <w:b/>
          <w:i w:val="0"/>
          <w:color w:val="101C4F"/>
          <w:sz w:val="20"/>
        </w:rPr>
        <w:t>NSDL</w:t>
      </w:r>
      <w:r>
        <w:rPr>
          <w:rFonts w:ascii="Calibri" w:hAnsi="Calibri"/>
          <w:b w:val="0"/>
          <w:i w:val="0"/>
          <w:color w:val="404040"/>
          <w:sz w:val="18"/>
        </w:rPr>
        <w:t xml:space="preserve">  |  Options: NSDL, BSE, CCIL, SEBI</w:t>
      </w:r>
    </w:p>
    <w:p>
      <w:pPr>
        <w:ind w:left="567"/>
      </w:pPr>
      <w:r>
        <w:rPr>
          <w:rFonts w:ascii="Calibri" w:hAnsi="Calibri"/>
          <w:b/>
          <w:i w:val="0"/>
          <w:color w:val="007A87"/>
          <w:sz w:val="20"/>
        </w:rPr>
        <w:t xml:space="preserve">Blank 3 — Correct: </w:t>
      </w:r>
      <w:r>
        <w:rPr>
          <w:rFonts w:ascii="Calibri" w:hAnsi="Calibri"/>
          <w:b/>
          <w:i w:val="0"/>
          <w:color w:val="101C4F"/>
          <w:sz w:val="20"/>
        </w:rPr>
        <w:t>CDSL</w:t>
      </w:r>
      <w:r>
        <w:rPr>
          <w:rFonts w:ascii="Calibri" w:hAnsi="Calibri"/>
          <w:b w:val="0"/>
          <w:i w:val="0"/>
          <w:color w:val="404040"/>
          <w:sz w:val="18"/>
        </w:rPr>
        <w:t xml:space="preserve">  |  Options: CDSL, RBI, SWIFT, Bloomberg</w:t>
      </w:r>
    </w:p>
    <w:p>
      <w:pPr>
        <w:ind w:left="567"/>
      </w:pPr>
      <w:r>
        <w:rPr>
          <w:rFonts w:ascii="Calibri" w:hAnsi="Calibri"/>
          <w:b/>
          <w:i w:val="0"/>
          <w:color w:val="007A87"/>
          <w:sz w:val="20"/>
        </w:rPr>
        <w:t xml:space="preserve">Blank 4 — Correct: </w:t>
      </w:r>
      <w:r>
        <w:rPr>
          <w:rFonts w:ascii="Calibri" w:hAnsi="Calibri"/>
          <w:b/>
          <w:i w:val="0"/>
          <w:color w:val="101C4F"/>
          <w:sz w:val="20"/>
        </w:rPr>
        <w:t>instrument</w:t>
      </w:r>
      <w:r>
        <w:rPr>
          <w:rFonts w:ascii="Calibri" w:hAnsi="Calibri"/>
          <w:b w:val="0"/>
          <w:i w:val="0"/>
          <w:color w:val="404040"/>
          <w:sz w:val="18"/>
        </w:rPr>
        <w:t xml:space="preserve">  |  Options: instrument, price, legal, holiday</w:t>
      </w:r>
    </w:p>
    <w:p>
      <w:pPr>
        <w:ind w:left="567"/>
      </w:pPr>
      <w:r>
        <w:rPr>
          <w:rFonts w:ascii="Calibri" w:hAnsi="Calibri"/>
          <w:b/>
          <w:i w:val="0"/>
          <w:color w:val="007A87"/>
          <w:sz w:val="20"/>
        </w:rPr>
        <w:t xml:space="preserve">Blank 5 — Correct: </w:t>
      </w:r>
      <w:r>
        <w:rPr>
          <w:rFonts w:ascii="Calibri" w:hAnsi="Calibri"/>
          <w:b/>
          <w:i w:val="0"/>
          <w:color w:val="101C4F"/>
          <w:sz w:val="20"/>
        </w:rPr>
        <w:t>corporate action</w:t>
      </w:r>
      <w:r>
        <w:rPr>
          <w:rFonts w:ascii="Calibri" w:hAnsi="Calibri"/>
          <w:b w:val="0"/>
          <w:i w:val="0"/>
          <w:color w:val="404040"/>
          <w:sz w:val="18"/>
        </w:rPr>
        <w:t xml:space="preserve">  |  Options: corporate action, trading, risk, compliance</w:t>
      </w:r>
    </w:p>
    <w:p>
      <w:pPr>
        <w:ind w:left="567"/>
      </w:pPr>
      <w:r>
        <w:rPr>
          <w:rFonts w:ascii="Calibri" w:hAnsi="Calibri"/>
          <w:b/>
          <w:i w:val="0"/>
          <w:color w:val="007A87"/>
          <w:sz w:val="20"/>
        </w:rPr>
        <w:t xml:space="preserve">Blank 6 — Correct: </w:t>
      </w:r>
      <w:r>
        <w:rPr>
          <w:rFonts w:ascii="Calibri" w:hAnsi="Calibri"/>
          <w:b/>
          <w:i w:val="0"/>
          <w:color w:val="101C4F"/>
          <w:sz w:val="20"/>
        </w:rPr>
        <w:t>holiday</w:t>
      </w:r>
      <w:r>
        <w:rPr>
          <w:rFonts w:ascii="Calibri" w:hAnsi="Calibri"/>
          <w:b w:val="0"/>
          <w:i w:val="0"/>
          <w:color w:val="404040"/>
          <w:sz w:val="18"/>
        </w:rPr>
        <w:t xml:space="preserve">  |  Options: holiday, trading, settlement, corporate action</w:t>
      </w:r>
    </w:p>
    <w:p/>
    <w:p>
      <w:r>
        <w:rPr>
          <w:rFonts w:ascii="Calibri" w:hAnsi="Calibri"/>
          <w:b/>
          <w:i w:val="0"/>
          <w:color w:val="007A87"/>
          <w:sz w:val="22"/>
        </w:rPr>
        <w:t xml:space="preserve">Q8. </w:t>
      </w:r>
      <w:r>
        <w:rPr>
          <w:rFonts w:ascii="Calibri" w:hAnsi="Calibri"/>
          <w:b/>
          <w:i w:val="0"/>
          <w:color w:val="F0A800"/>
          <w:sz w:val="18"/>
        </w:rPr>
        <w:t xml:space="preserve">[MATCHING]  </w:t>
      </w:r>
      <w:r>
        <w:rPr>
          <w:rFonts w:ascii="Calibri" w:hAnsi="Calibri"/>
          <w:b w:val="0"/>
          <w:i w:val="0"/>
          <w:sz w:val="22"/>
        </w:rPr>
        <w:t>Match each reference data element to its primary source:</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Item</w:t>
            </w:r>
          </w:p>
        </w:tc>
        <w:tc>
          <w:tcPr>
            <w:tcW w:type="dxa" w:w="4986"/>
            <w:shd w:val="clear" w:color="auto" w:fill="007A87"/>
          </w:tcPr>
          <w:p>
            <w:r>
              <w:rPr>
                <w:rFonts w:ascii="Calibri" w:hAnsi="Calibri"/>
                <w:b/>
                <w:i w:val="0"/>
                <w:color w:val="FFFFFF"/>
                <w:sz w:val="20"/>
              </w:rPr>
              <w:t>Match</w:t>
            </w:r>
          </w:p>
        </w:tc>
      </w:tr>
      <w:tr>
        <w:tc>
          <w:tcPr>
            <w:tcW w:type="dxa" w:w="4986"/>
          </w:tcPr>
          <w:p>
            <w:r>
              <w:rPr>
                <w:sz w:val="20"/>
              </w:rPr>
              <w:t>BIC code for routing settlement instructions to Deutsche Bank London</w:t>
            </w:r>
          </w:p>
        </w:tc>
        <w:tc>
          <w:tcPr>
            <w:tcW w:type="dxa" w:w="4986"/>
          </w:tcPr>
          <w:p>
            <w:r>
              <w:rPr>
                <w:rFonts w:ascii="Calibri" w:hAnsi="Calibri"/>
                <w:b/>
                <w:i w:val="0"/>
                <w:color w:val="101C4F"/>
                <w:sz w:val="20"/>
              </w:rPr>
              <w:t>SWIFT BIC Directory</w:t>
            </w:r>
          </w:p>
        </w:tc>
      </w:tr>
      <w:tr>
        <w:tc>
          <w:tcPr>
            <w:tcW w:type="dxa" w:w="4986"/>
          </w:tcPr>
          <w:p>
            <w:r>
              <w:rPr>
                <w:sz w:val="20"/>
              </w:rPr>
              <w:t>Infosys bonus share ex-date and ratio</w:t>
            </w:r>
          </w:p>
        </w:tc>
        <w:tc>
          <w:tcPr>
            <w:tcW w:type="dxa" w:w="4986"/>
          </w:tcPr>
          <w:p>
            <w:r>
              <w:rPr>
                <w:rFonts w:ascii="Calibri" w:hAnsi="Calibri"/>
                <w:b/>
                <w:i w:val="0"/>
                <w:color w:val="101C4F"/>
                <w:sz w:val="20"/>
              </w:rPr>
              <w:t>NSE Corporate Action Announcement</w:t>
            </w:r>
          </w:p>
        </w:tc>
      </w:tr>
      <w:tr>
        <w:tc>
          <w:tcPr>
            <w:tcW w:type="dxa" w:w="4986"/>
          </w:tcPr>
          <w:p>
            <w:r>
              <w:rPr>
                <w:sz w:val="20"/>
              </w:rPr>
              <w:t>3-month MIBOR overnight fixing rate</w:t>
            </w:r>
          </w:p>
        </w:tc>
        <w:tc>
          <w:tcPr>
            <w:tcW w:type="dxa" w:w="4986"/>
          </w:tcPr>
          <w:p>
            <w:r>
              <w:rPr>
                <w:rFonts w:ascii="Calibri" w:hAnsi="Calibri"/>
                <w:b/>
                <w:i w:val="0"/>
                <w:color w:val="101C4F"/>
                <w:sz w:val="20"/>
              </w:rPr>
              <w:t>FBIL (Financial Benchmarks India)</w:t>
            </w:r>
          </w:p>
        </w:tc>
      </w:tr>
      <w:tr>
        <w:tc>
          <w:tcPr>
            <w:tcW w:type="dxa" w:w="4986"/>
          </w:tcPr>
          <w:p>
            <w:r>
              <w:rPr>
                <w:sz w:val="20"/>
              </w:rPr>
              <w:t>Coupon rate and maturity date of a Tata Steel bond</w:t>
            </w:r>
          </w:p>
        </w:tc>
        <w:tc>
          <w:tcPr>
            <w:tcW w:type="dxa" w:w="4986"/>
          </w:tcPr>
          <w:p>
            <w:r>
              <w:rPr>
                <w:rFonts w:ascii="Calibri" w:hAnsi="Calibri"/>
                <w:b/>
                <w:i w:val="0"/>
                <w:color w:val="101C4F"/>
                <w:sz w:val="20"/>
              </w:rPr>
              <w:t>Bloomberg Terminal</w:t>
            </w:r>
          </w:p>
        </w:tc>
      </w:tr>
    </w:tbl>
    <w:p/>
    <w:p>
      <w:pPr>
        <w:shd w:val="clear" w:color="auto" w:fill="101C4F"/>
      </w:pPr>
      <w:r>
        <w:rPr>
          <w:rFonts w:ascii="Calibri" w:hAnsi="Calibri"/>
          <w:b/>
          <w:i w:val="0"/>
          <w:color w:val="FFFFFF"/>
          <w:sz w:val="24"/>
        </w:rPr>
        <w:t xml:space="preserve">  D2.3: Exchange Trade Lifecycle: Initiation and Execution</w:t>
      </w:r>
    </w:p>
    <w:p>
      <w:r>
        <w:rPr>
          <w:rFonts w:ascii="Calibri" w:hAnsi="Calibri"/>
          <w:b/>
          <w:i w:val="0"/>
          <w:color w:val="007A87"/>
          <w:sz w:val="22"/>
        </w:rPr>
        <w:t xml:space="preserve">Q9. </w:t>
      </w:r>
      <w:r>
        <w:rPr>
          <w:rFonts w:ascii="Calibri" w:hAnsi="Calibri"/>
          <w:b/>
          <w:i w:val="0"/>
          <w:color w:val="F0A800"/>
          <w:sz w:val="18"/>
        </w:rPr>
        <w:t xml:space="preserve">[MCQ_INLINE]  </w:t>
      </w:r>
      <w:r>
        <w:rPr>
          <w:rFonts w:ascii="Calibri" w:hAnsi="Calibri"/>
          <w:b w:val="0"/>
          <w:i w:val="0"/>
          <w:sz w:val="22"/>
        </w:rPr>
        <w:t>A mutual fund portfolio manager wants to buy 2 lakh shares of HDFC Bank but is concerned about moving the market with a large, sudden order. Which execution strategy should the fund use?</w:t>
      </w:r>
    </w:p>
    <w:p>
      <w:pPr>
        <w:pStyle w:val="ListBullet"/>
        <w:ind w:left="567"/>
      </w:pPr>
      <w:r>
        <w:rPr>
          <w:rFonts w:ascii="Calibri" w:hAnsi="Calibri"/>
          <w:b w:val="0"/>
          <w:i w:val="0"/>
          <w:sz w:val="20"/>
        </w:rPr>
        <w:t>A) A single market order to buy all 2 lakh shares immediately</w:t>
      </w:r>
    </w:p>
    <w:p>
      <w:pPr>
        <w:pStyle w:val="ListBullet"/>
        <w:ind w:left="567"/>
      </w:pPr>
      <w:r>
        <w:rPr>
          <w:rFonts w:ascii="Calibri" w:hAnsi="Calibri"/>
          <w:b w:val="0"/>
          <w:i w:val="0"/>
          <w:sz w:val="20"/>
        </w:rPr>
        <w:t>B) A limit order at a fixed price</w:t>
      </w:r>
    </w:p>
    <w:p>
      <w:pPr>
        <w:pStyle w:val="ListBullet"/>
        <w:ind w:left="567"/>
      </w:pPr>
      <w:r>
        <w:rPr>
          <w:rFonts w:ascii="Calibri" w:hAnsi="Calibri"/>
          <w:b w:val="0"/>
          <w:i w:val="0"/>
          <w:sz w:val="20"/>
        </w:rPr>
        <w:t>C) An algorithmic strategy (e.g., VWAP) to split the order into smaller pieces over the day</w:t>
      </w:r>
    </w:p>
    <w:p>
      <w:pPr>
        <w:pStyle w:val="ListBullet"/>
        <w:ind w:left="567"/>
      </w:pPr>
      <w:r>
        <w:rPr>
          <w:rFonts w:ascii="Calibri" w:hAnsi="Calibri"/>
          <w:b w:val="0"/>
          <w:i w:val="0"/>
          <w:sz w:val="20"/>
        </w:rPr>
        <w:t>D) Direct Market Access (DMA) with a single large block order</w:t>
      </w:r>
    </w:p>
    <w:p>
      <w:r>
        <w:rPr>
          <w:rFonts w:ascii="Calibri" w:hAnsi="Calibri"/>
          <w:b/>
          <w:i w:val="0"/>
          <w:color w:val="007A87"/>
          <w:sz w:val="20"/>
        </w:rPr>
        <w:t xml:space="preserve">Answer: </w:t>
      </w:r>
      <w:r>
        <w:rPr>
          <w:rFonts w:ascii="Calibri" w:hAnsi="Calibri"/>
          <w:b/>
          <w:i w:val="0"/>
          <w:color w:val="101C4F"/>
          <w:sz w:val="20"/>
        </w:rPr>
        <w:t>C</w:t>
      </w:r>
    </w:p>
    <w:p>
      <w:r>
        <w:rPr>
          <w:rFonts w:ascii="Calibri" w:hAnsi="Calibri"/>
          <w:b/>
          <w:i w:val="0"/>
          <w:color w:val="404040"/>
          <w:sz w:val="20"/>
        </w:rPr>
        <w:t xml:space="preserve">Explanation: </w:t>
      </w:r>
      <w:r>
        <w:rPr>
          <w:rFonts w:ascii="Calibri" w:hAnsi="Calibri"/>
          <w:b w:val="0"/>
          <w:i/>
          <w:color w:val="404040"/>
          <w:sz w:val="20"/>
        </w:rPr>
        <w:t>VWAP (Volume Weighted Average Price) and similar algo strategies split large orders into small tranches executed throughout the day, minimising market impact. A single large market or limit order would move the price significantly for a 2 lakh share order in a liquid but not infinite market.</w:t>
      </w:r>
    </w:p>
    <w:p/>
    <w:p>
      <w:r>
        <w:rPr>
          <w:rFonts w:ascii="Calibri" w:hAnsi="Calibri"/>
          <w:b/>
          <w:i w:val="0"/>
          <w:color w:val="007A87"/>
          <w:sz w:val="22"/>
        </w:rPr>
        <w:t xml:space="preserve">Q10. </w:t>
      </w:r>
      <w:r>
        <w:rPr>
          <w:rFonts w:ascii="Calibri" w:hAnsi="Calibri"/>
          <w:b/>
          <w:i w:val="0"/>
          <w:color w:val="F0A800"/>
          <w:sz w:val="18"/>
        </w:rPr>
        <w:t xml:space="preserve">[TRUE_FALSE_MULTI]  </w:t>
      </w:r>
      <w:r>
        <w:rPr>
          <w:rFonts w:ascii="Calibri" w:hAnsi="Calibri"/>
          <w:b w:val="0"/>
          <w:i w:val="0"/>
          <w:sz w:val="22"/>
        </w:rPr>
        <w:t>Evaluate these statements about exchange trade execution. Mark TRUE or FALSE: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rFonts w:ascii="Calibri" w:hAnsi="Calibri"/>
                <w:b/>
                <w:i w:val="0"/>
                <w:color w:val="FFFFFF"/>
                <w:sz w:val="20"/>
              </w:rPr>
              <w:t>Statement</w:t>
            </w:r>
          </w:p>
        </w:tc>
        <w:tc>
          <w:tcPr>
            <w:tcW w:type="dxa" w:w="3324"/>
            <w:shd w:val="clear" w:color="auto" w:fill="101C4F"/>
          </w:tcPr>
          <w:p>
            <w:r>
              <w:rPr>
                <w:rFonts w:ascii="Calibri" w:hAnsi="Calibri"/>
                <w:b/>
                <w:i w:val="0"/>
                <w:color w:val="FFFFFF"/>
                <w:sz w:val="20"/>
              </w:rPr>
              <w:t>T / F</w:t>
            </w:r>
          </w:p>
        </w:tc>
        <w:tc>
          <w:tcPr>
            <w:tcW w:type="dxa" w:w="3324"/>
            <w:shd w:val="clear" w:color="auto" w:fill="101C4F"/>
          </w:tcPr>
          <w:p>
            <w:r>
              <w:rPr>
                <w:rFonts w:ascii="Calibri" w:hAnsi="Calibri"/>
                <w:b/>
                <w:i w:val="0"/>
                <w:color w:val="FFFFFF"/>
                <w:sz w:val="20"/>
              </w:rPr>
              <w:t>Explanation</w:t>
            </w:r>
          </w:p>
        </w:tc>
      </w:tr>
      <w:tr>
        <w:tc>
          <w:tcPr>
            <w:tcW w:type="dxa" w:w="3324"/>
          </w:tcPr>
          <w:p>
            <w:r>
              <w:rPr>
                <w:sz w:val="20"/>
              </w:rPr>
              <w:t>NSE uses price-time priority: among orders at the same price, the earlier-placed order has higher priority.</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A limit order guarantees execution — it will always fill if placed correctly.</w:t>
            </w:r>
          </w:p>
        </w:tc>
        <w:tc>
          <w:tcPr>
            <w:tcW w:type="dxa" w:w="3324"/>
          </w:tcPr>
          <w:p>
            <w:pPr>
              <w:jc w:val="center"/>
            </w:pPr>
            <w:r>
              <w:rPr>
                <w:rFonts w:ascii="Calibri" w:hAnsi="Calibri"/>
                <w:b/>
                <w:i w:val="0"/>
                <w:color w:val="C02020"/>
                <w:sz w:val="20"/>
              </w:rPr>
              <w:t>FALSE</w:t>
            </w:r>
          </w:p>
        </w:tc>
        <w:tc>
          <w:tcPr>
            <w:tcW w:type="dxa" w:w="3324"/>
          </w:tcPr>
          <w:p>
            <w:r>
              <w:rPr>
                <w:sz w:val="18"/>
              </w:rPr>
              <w:t>a limit order only fills if the market reaches the specified price; there is no execution guarantee.</w:t>
            </w:r>
          </w:p>
        </w:tc>
      </w:tr>
      <w:tr>
        <w:tc>
          <w:tcPr>
            <w:tcW w:type="dxa" w:w="3324"/>
          </w:tcPr>
          <w:p>
            <w:r>
              <w:rPr>
                <w:sz w:val="20"/>
              </w:rPr>
              <w:t>SEBI requires all voice-executed trades to be recorded for compliance purposes.</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FPIs (Foreign Portfolio Investors) are classified as sell-side participants in Indian equity markets.</w:t>
            </w:r>
          </w:p>
        </w:tc>
        <w:tc>
          <w:tcPr>
            <w:tcW w:type="dxa" w:w="3324"/>
          </w:tcPr>
          <w:p>
            <w:pPr>
              <w:jc w:val="center"/>
            </w:pPr>
            <w:r>
              <w:rPr>
                <w:rFonts w:ascii="Calibri" w:hAnsi="Calibri"/>
                <w:b/>
                <w:i w:val="0"/>
                <w:color w:val="C02020"/>
                <w:sz w:val="20"/>
              </w:rPr>
              <w:t>FALSE</w:t>
            </w:r>
          </w:p>
        </w:tc>
        <w:tc>
          <w:tcPr>
            <w:tcW w:type="dxa" w:w="3324"/>
          </w:tcPr>
          <w:p>
            <w:r>
              <w:rPr>
                <w:sz w:val="18"/>
              </w:rPr>
              <w:t>FPIs are buy-side participants who bring capital to build investment portfolios.</w:t>
            </w:r>
          </w:p>
        </w:tc>
      </w:tr>
    </w:tbl>
    <w:p/>
    <w:p>
      <w:r>
        <w:rPr>
          <w:rFonts w:ascii="Calibri" w:hAnsi="Calibri"/>
          <w:b/>
          <w:i w:val="0"/>
          <w:color w:val="007A87"/>
          <w:sz w:val="22"/>
        </w:rPr>
        <w:t xml:space="preserve">Q11. </w:t>
      </w:r>
      <w:r>
        <w:rPr>
          <w:rFonts w:ascii="Calibri" w:hAnsi="Calibri"/>
          <w:b/>
          <w:i w:val="0"/>
          <w:color w:val="F0A800"/>
          <w:sz w:val="18"/>
        </w:rPr>
        <w:t xml:space="preserve">[GAP_FILL]  </w:t>
      </w:r>
      <w:r>
        <w:rPr>
          <w:rFonts w:ascii="Calibri" w:hAnsi="Calibri"/>
          <w:b w:val="0"/>
          <w:i w:val="0"/>
          <w:sz w:val="22"/>
        </w:rPr>
        <w:t>A trader enters: 'Sell 5,000 shares of Nifty 50 ETF; if the price falls to ₹240, execute immediately at market.' This is a [___] order. An order that buys at no more than ₹245 per share is a [___] order. Orders are matched by NSE using [___] priority: the best price wins, and between equal prices, the [___] order wins.</w:t>
      </w:r>
    </w:p>
    <w:p>
      <w:r>
        <w:rPr>
          <w:rFonts w:ascii="Calibri" w:hAnsi="Calibri"/>
          <w:b/>
          <w:i w:val="0"/>
          <w:color w:val="007A87"/>
          <w:sz w:val="20"/>
        </w:rPr>
        <w:t xml:space="preserve">Select from dropdowns: </w:t>
      </w:r>
    </w:p>
    <w:p>
      <w:pPr>
        <w:ind w:left="567"/>
      </w:pPr>
      <w:r>
        <w:rPr>
          <w:rFonts w:ascii="Calibri" w:hAnsi="Calibri"/>
          <w:b/>
          <w:i w:val="0"/>
          <w:color w:val="007A87"/>
          <w:sz w:val="20"/>
        </w:rPr>
        <w:t xml:space="preserve">Blank 1 — Correct: </w:t>
      </w:r>
      <w:r>
        <w:rPr>
          <w:rFonts w:ascii="Calibri" w:hAnsi="Calibri"/>
          <w:b/>
          <w:i w:val="0"/>
          <w:color w:val="101C4F"/>
          <w:sz w:val="20"/>
        </w:rPr>
        <w:t>stop-loss</w:t>
      </w:r>
      <w:r>
        <w:rPr>
          <w:rFonts w:ascii="Calibri" w:hAnsi="Calibri"/>
          <w:b w:val="0"/>
          <w:i w:val="0"/>
          <w:color w:val="404040"/>
          <w:sz w:val="18"/>
        </w:rPr>
        <w:t xml:space="preserve">  |  Options: stop-loss, market, limit, iceberg</w:t>
      </w:r>
    </w:p>
    <w:p>
      <w:pPr>
        <w:ind w:left="567"/>
      </w:pPr>
      <w:r>
        <w:rPr>
          <w:rFonts w:ascii="Calibri" w:hAnsi="Calibri"/>
          <w:b/>
          <w:i w:val="0"/>
          <w:color w:val="007A87"/>
          <w:sz w:val="20"/>
        </w:rPr>
        <w:t xml:space="preserve">Blank 2 — Correct: </w:t>
      </w:r>
      <w:r>
        <w:rPr>
          <w:rFonts w:ascii="Calibri" w:hAnsi="Calibri"/>
          <w:b/>
          <w:i w:val="0"/>
          <w:color w:val="101C4F"/>
          <w:sz w:val="20"/>
        </w:rPr>
        <w:t>limit</w:t>
      </w:r>
      <w:r>
        <w:rPr>
          <w:rFonts w:ascii="Calibri" w:hAnsi="Calibri"/>
          <w:b w:val="0"/>
          <w:i w:val="0"/>
          <w:color w:val="404040"/>
          <w:sz w:val="18"/>
        </w:rPr>
        <w:t xml:space="preserve">  |  Options: limit, market, stop-loss, good-till-cancelled</w:t>
      </w:r>
    </w:p>
    <w:p>
      <w:pPr>
        <w:ind w:left="567"/>
      </w:pPr>
      <w:r>
        <w:rPr>
          <w:rFonts w:ascii="Calibri" w:hAnsi="Calibri"/>
          <w:b/>
          <w:i w:val="0"/>
          <w:color w:val="007A87"/>
          <w:sz w:val="20"/>
        </w:rPr>
        <w:t xml:space="preserve">Blank 3 — Correct: </w:t>
      </w:r>
      <w:r>
        <w:rPr>
          <w:rFonts w:ascii="Calibri" w:hAnsi="Calibri"/>
          <w:b/>
          <w:i w:val="0"/>
          <w:color w:val="101C4F"/>
          <w:sz w:val="20"/>
        </w:rPr>
        <w:t>price-time</w:t>
      </w:r>
      <w:r>
        <w:rPr>
          <w:rFonts w:ascii="Calibri" w:hAnsi="Calibri"/>
          <w:b w:val="0"/>
          <w:i w:val="0"/>
          <w:color w:val="404040"/>
          <w:sz w:val="18"/>
        </w:rPr>
        <w:t xml:space="preserve">  |  Options: price-time, size-price, random, value-based</w:t>
      </w:r>
    </w:p>
    <w:p>
      <w:pPr>
        <w:ind w:left="567"/>
      </w:pPr>
      <w:r>
        <w:rPr>
          <w:rFonts w:ascii="Calibri" w:hAnsi="Calibri"/>
          <w:b/>
          <w:i w:val="0"/>
          <w:color w:val="007A87"/>
          <w:sz w:val="20"/>
        </w:rPr>
        <w:t xml:space="preserve">Blank 4 — Correct: </w:t>
      </w:r>
      <w:r>
        <w:rPr>
          <w:rFonts w:ascii="Calibri" w:hAnsi="Calibri"/>
          <w:b/>
          <w:i w:val="0"/>
          <w:color w:val="101C4F"/>
          <w:sz w:val="20"/>
        </w:rPr>
        <w:t>earlier</w:t>
      </w:r>
      <w:r>
        <w:rPr>
          <w:rFonts w:ascii="Calibri" w:hAnsi="Calibri"/>
          <w:b w:val="0"/>
          <w:i w:val="0"/>
          <w:color w:val="404040"/>
          <w:sz w:val="18"/>
        </w:rPr>
        <w:t xml:space="preserve">  |  Options: earlier, larger, smaller, later</w:t>
      </w:r>
    </w:p>
    <w:p/>
    <w:p>
      <w:r>
        <w:rPr>
          <w:rFonts w:ascii="Calibri" w:hAnsi="Calibri"/>
          <w:b/>
          <w:i w:val="0"/>
          <w:color w:val="007A87"/>
          <w:sz w:val="22"/>
        </w:rPr>
        <w:t xml:space="preserve">Q12. </w:t>
      </w:r>
      <w:r>
        <w:rPr>
          <w:rFonts w:ascii="Calibri" w:hAnsi="Calibri"/>
          <w:b/>
          <w:i w:val="0"/>
          <w:color w:val="F0A800"/>
          <w:sz w:val="18"/>
        </w:rPr>
        <w:t xml:space="preserve">[MATCHING]  </w:t>
      </w:r>
      <w:r>
        <w:rPr>
          <w:rFonts w:ascii="Calibri" w:hAnsi="Calibri"/>
          <w:b w:val="0"/>
          <w:i w:val="0"/>
          <w:sz w:val="22"/>
        </w:rPr>
        <w:t>Match each execution scenario to the most appropriate execution channel or order type:</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Item</w:t>
            </w:r>
          </w:p>
        </w:tc>
        <w:tc>
          <w:tcPr>
            <w:tcW w:type="dxa" w:w="4986"/>
            <w:shd w:val="clear" w:color="auto" w:fill="007A87"/>
          </w:tcPr>
          <w:p>
            <w:r>
              <w:rPr>
                <w:rFonts w:ascii="Calibri" w:hAnsi="Calibri"/>
                <w:b/>
                <w:i w:val="0"/>
                <w:color w:val="FFFFFF"/>
                <w:sz w:val="20"/>
              </w:rPr>
              <w:t>Match</w:t>
            </w:r>
          </w:p>
        </w:tc>
      </w:tr>
      <w:tr>
        <w:tc>
          <w:tcPr>
            <w:tcW w:type="dxa" w:w="4986"/>
          </w:tcPr>
          <w:p>
            <w:r>
              <w:rPr>
                <w:sz w:val="20"/>
              </w:rPr>
              <w:t>A sovereign wealth fund must buy ₹3,000 crore of Nifty stocks with minimal market impact over one week</w:t>
            </w:r>
          </w:p>
        </w:tc>
        <w:tc>
          <w:tcPr>
            <w:tcW w:type="dxa" w:w="4986"/>
          </w:tcPr>
          <w:p>
            <w:r>
              <w:rPr>
                <w:rFonts w:ascii="Calibri" w:hAnsi="Calibri"/>
                <w:b/>
                <w:i w:val="0"/>
                <w:color w:val="101C4F"/>
                <w:sz w:val="20"/>
              </w:rPr>
              <w:t>Algorithmic execution (VWAP/TWAP strategy)</w:t>
            </w:r>
          </w:p>
        </w:tc>
      </w:tr>
      <w:tr>
        <w:tc>
          <w:tcPr>
            <w:tcW w:type="dxa" w:w="4986"/>
          </w:tcPr>
          <w:p>
            <w:r>
              <w:rPr>
                <w:sz w:val="20"/>
              </w:rPr>
              <w:t>A retail investor wants to buy Reliance Industries shares only if the price falls to ₹2,800</w:t>
            </w:r>
          </w:p>
        </w:tc>
        <w:tc>
          <w:tcPr>
            <w:tcW w:type="dxa" w:w="4986"/>
          </w:tcPr>
          <w:p>
            <w:r>
              <w:rPr>
                <w:rFonts w:ascii="Calibri" w:hAnsi="Calibri"/>
                <w:b/>
                <w:i w:val="0"/>
                <w:color w:val="101C4F"/>
                <w:sz w:val="20"/>
              </w:rPr>
              <w:t>Limit order at ₹2,800</w:t>
            </w:r>
          </w:p>
        </w:tc>
      </w:tr>
      <w:tr>
        <w:tc>
          <w:tcPr>
            <w:tcW w:type="dxa" w:w="4986"/>
          </w:tcPr>
          <w:p>
            <w:r>
              <w:rPr>
                <w:sz w:val="20"/>
              </w:rPr>
              <w:t>A proprietary trading desk wants microsecond-speed access to the NSE order book</w:t>
            </w:r>
          </w:p>
        </w:tc>
        <w:tc>
          <w:tcPr>
            <w:tcW w:type="dxa" w:w="4986"/>
          </w:tcPr>
          <w:p>
            <w:r>
              <w:rPr>
                <w:rFonts w:ascii="Calibri" w:hAnsi="Calibri"/>
                <w:b/>
                <w:i w:val="0"/>
                <w:color w:val="101C4F"/>
                <w:sz w:val="20"/>
              </w:rPr>
              <w:t>Direct Market Access (DMA)</w:t>
            </w:r>
          </w:p>
        </w:tc>
      </w:tr>
      <w:tr>
        <w:tc>
          <w:tcPr>
            <w:tcW w:type="dxa" w:w="4986"/>
          </w:tcPr>
          <w:p>
            <w:r>
              <w:rPr>
                <w:sz w:val="20"/>
              </w:rPr>
              <w:t>A fund manager calls their broker to execute a block trade in an illiquid mid-cap stock</w:t>
            </w:r>
          </w:p>
        </w:tc>
        <w:tc>
          <w:tcPr>
            <w:tcW w:type="dxa" w:w="4986"/>
          </w:tcPr>
          <w:p>
            <w:r>
              <w:rPr>
                <w:rFonts w:ascii="Calibri" w:hAnsi="Calibri"/>
                <w:b/>
                <w:i w:val="0"/>
                <w:color w:val="101C4F"/>
                <w:sz w:val="20"/>
              </w:rPr>
              <w:t>Voice execution</w:t>
            </w:r>
          </w:p>
        </w:tc>
      </w:tr>
    </w:tbl>
    <w:p/>
    <w:p>
      <w:pPr>
        <w:shd w:val="clear" w:color="auto" w:fill="101C4F"/>
      </w:pPr>
      <w:r>
        <w:rPr>
          <w:rFonts w:ascii="Calibri" w:hAnsi="Calibri"/>
          <w:b/>
          <w:i w:val="0"/>
          <w:color w:val="FFFFFF"/>
          <w:sz w:val="24"/>
        </w:rPr>
        <w:t xml:space="preserve">  D2.4: Post-Trade Processing: Capture, Enrichment &amp; Confirmation</w:t>
      </w:r>
    </w:p>
    <w:p>
      <w:r>
        <w:rPr>
          <w:rFonts w:ascii="Calibri" w:hAnsi="Calibri"/>
          <w:b/>
          <w:i w:val="0"/>
          <w:color w:val="007A87"/>
          <w:sz w:val="22"/>
        </w:rPr>
        <w:t xml:space="preserve">Q13. </w:t>
      </w:r>
      <w:r>
        <w:rPr>
          <w:rFonts w:ascii="Calibri" w:hAnsi="Calibri"/>
          <w:b/>
          <w:i w:val="0"/>
          <w:color w:val="F0A800"/>
          <w:sz w:val="18"/>
        </w:rPr>
        <w:t xml:space="preserve">[MCQ_INLINE]  </w:t>
      </w:r>
      <w:r>
        <w:rPr>
          <w:rFonts w:ascii="Calibri" w:hAnsi="Calibri"/>
          <w:b w:val="0"/>
          <w:i w:val="0"/>
          <w:sz w:val="22"/>
        </w:rPr>
        <w:t>During trade enrichment, a system automatically populates the settlement instructions for an NSE equity trade. Which of the following would NOT typically be added during trade enrichment?</w:t>
      </w:r>
    </w:p>
    <w:p>
      <w:pPr>
        <w:pStyle w:val="ListBullet"/>
        <w:ind w:left="567"/>
      </w:pPr>
      <w:r>
        <w:rPr>
          <w:rFonts w:ascii="Calibri" w:hAnsi="Calibri"/>
          <w:b w:val="0"/>
          <w:i w:val="0"/>
          <w:sz w:val="20"/>
        </w:rPr>
        <w:t>A) Settlement date (T+1 business day)</w:t>
      </w:r>
    </w:p>
    <w:p>
      <w:pPr>
        <w:pStyle w:val="ListBullet"/>
        <w:ind w:left="567"/>
      </w:pPr>
      <w:r>
        <w:rPr>
          <w:rFonts w:ascii="Calibri" w:hAnsi="Calibri"/>
          <w:b w:val="0"/>
          <w:i w:val="0"/>
          <w:sz w:val="20"/>
        </w:rPr>
        <w:t>B) Counterparty's Standard Settlement Instructions (SSI)</w:t>
      </w:r>
    </w:p>
    <w:p>
      <w:pPr>
        <w:pStyle w:val="ListBullet"/>
        <w:ind w:left="567"/>
      </w:pPr>
      <w:r>
        <w:rPr>
          <w:rFonts w:ascii="Calibri" w:hAnsi="Calibri"/>
          <w:b w:val="0"/>
          <w:i w:val="0"/>
          <w:sz w:val="20"/>
        </w:rPr>
        <w:t>C) The original trade execution price</w:t>
      </w:r>
    </w:p>
    <w:p>
      <w:pPr>
        <w:pStyle w:val="ListBullet"/>
        <w:ind w:left="567"/>
      </w:pPr>
      <w:r>
        <w:rPr>
          <w:rFonts w:ascii="Calibri" w:hAnsi="Calibri"/>
          <w:b w:val="0"/>
          <w:i w:val="0"/>
          <w:sz w:val="20"/>
        </w:rPr>
        <w:t>D) Settlement amount (quantity × price)</w:t>
      </w:r>
    </w:p>
    <w:p>
      <w:r>
        <w:rPr>
          <w:rFonts w:ascii="Calibri" w:hAnsi="Calibri"/>
          <w:b/>
          <w:i w:val="0"/>
          <w:color w:val="007A87"/>
          <w:sz w:val="20"/>
        </w:rPr>
        <w:t xml:space="preserve">Answer: </w:t>
      </w:r>
      <w:r>
        <w:rPr>
          <w:rFonts w:ascii="Calibri" w:hAnsi="Calibri"/>
          <w:b/>
          <w:i w:val="0"/>
          <w:color w:val="101C4F"/>
          <w:sz w:val="20"/>
        </w:rPr>
        <w:t>C</w:t>
      </w:r>
    </w:p>
    <w:p>
      <w:r>
        <w:rPr>
          <w:rFonts w:ascii="Calibri" w:hAnsi="Calibri"/>
          <w:b/>
          <w:i w:val="0"/>
          <w:color w:val="404040"/>
          <w:sz w:val="20"/>
        </w:rPr>
        <w:t xml:space="preserve">Explanation: </w:t>
      </w:r>
      <w:r>
        <w:rPr>
          <w:rFonts w:ascii="Calibri" w:hAnsi="Calibri"/>
          <w:b w:val="0"/>
          <w:i/>
          <w:color w:val="404040"/>
          <w:sz w:val="20"/>
        </w:rPr>
        <w:t>The execution price is captured at the time of trade execution — it is part of the raw trade ticket, not added during enrichment. Enrichment adds derived fields: settlement date, SSI (where to deliver cash/securities), and calculated settlement amounts.</w:t>
      </w:r>
    </w:p>
    <w:p/>
    <w:p>
      <w:r>
        <w:rPr>
          <w:rFonts w:ascii="Calibri" w:hAnsi="Calibri"/>
          <w:b/>
          <w:i w:val="0"/>
          <w:color w:val="007A87"/>
          <w:sz w:val="22"/>
        </w:rPr>
        <w:t xml:space="preserve">Q14. </w:t>
      </w:r>
      <w:r>
        <w:rPr>
          <w:rFonts w:ascii="Calibri" w:hAnsi="Calibri"/>
          <w:b/>
          <w:i w:val="0"/>
          <w:color w:val="F0A800"/>
          <w:sz w:val="18"/>
        </w:rPr>
        <w:t xml:space="preserve">[TRUE_FALSE_MULTI]  </w:t>
      </w:r>
      <w:r>
        <w:rPr>
          <w:rFonts w:ascii="Calibri" w:hAnsi="Calibri"/>
          <w:b w:val="0"/>
          <w:i w:val="0"/>
          <w:sz w:val="22"/>
        </w:rPr>
        <w:t>Evaluate these statements about post-trade processing. Mark TRUE or FALSE: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rFonts w:ascii="Calibri" w:hAnsi="Calibri"/>
                <w:b/>
                <w:i w:val="0"/>
                <w:color w:val="FFFFFF"/>
                <w:sz w:val="20"/>
              </w:rPr>
              <w:t>Statement</w:t>
            </w:r>
          </w:p>
        </w:tc>
        <w:tc>
          <w:tcPr>
            <w:tcW w:type="dxa" w:w="3324"/>
            <w:shd w:val="clear" w:color="auto" w:fill="101C4F"/>
          </w:tcPr>
          <w:p>
            <w:r>
              <w:rPr>
                <w:rFonts w:ascii="Calibri" w:hAnsi="Calibri"/>
                <w:b/>
                <w:i w:val="0"/>
                <w:color w:val="FFFFFF"/>
                <w:sz w:val="20"/>
              </w:rPr>
              <w:t>T / F</w:t>
            </w:r>
          </w:p>
        </w:tc>
        <w:tc>
          <w:tcPr>
            <w:tcW w:type="dxa" w:w="3324"/>
            <w:shd w:val="clear" w:color="auto" w:fill="101C4F"/>
          </w:tcPr>
          <w:p>
            <w:r>
              <w:rPr>
                <w:rFonts w:ascii="Calibri" w:hAnsi="Calibri"/>
                <w:b/>
                <w:i w:val="0"/>
                <w:color w:val="FFFFFF"/>
                <w:sz w:val="20"/>
              </w:rPr>
              <w:t>Explanation</w:t>
            </w:r>
          </w:p>
        </w:tc>
      </w:tr>
      <w:tr>
        <w:tc>
          <w:tcPr>
            <w:tcW w:type="dxa" w:w="3324"/>
          </w:tcPr>
          <w:p>
            <w:r>
              <w:rPr>
                <w:sz w:val="20"/>
              </w:rPr>
              <w:t>Straight-Through Processing (STP) refers to automated trade processing with zero manual intervention from capture to settlement.</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Trade verification (four-eyes check) is a manual process applied to high-value or complex trades.</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If a trade fails automated validation, it should proceed directly to settlement to avoid delays.</w:t>
            </w:r>
          </w:p>
        </w:tc>
        <w:tc>
          <w:tcPr>
            <w:tcW w:type="dxa" w:w="3324"/>
          </w:tcPr>
          <w:p>
            <w:pPr>
              <w:jc w:val="center"/>
            </w:pPr>
            <w:r>
              <w:rPr>
                <w:rFonts w:ascii="Calibri" w:hAnsi="Calibri"/>
                <w:b/>
                <w:i w:val="0"/>
                <w:color w:val="C02020"/>
                <w:sz w:val="20"/>
              </w:rPr>
              <w:t>FALSE</w:t>
            </w:r>
          </w:p>
        </w:tc>
        <w:tc>
          <w:tcPr>
            <w:tcW w:type="dxa" w:w="3324"/>
          </w:tcPr>
          <w:p>
            <w:r>
              <w:rPr>
                <w:sz w:val="18"/>
              </w:rPr>
              <w:t>failed validation trades are quarantined in an exception queue and must be resolved before settlement proceeds.</w:t>
            </w:r>
          </w:p>
        </w:tc>
      </w:tr>
      <w:tr>
        <w:tc>
          <w:tcPr>
            <w:tcW w:type="dxa" w:w="3324"/>
          </w:tcPr>
          <w:p>
            <w:r>
              <w:rPr>
                <w:sz w:val="20"/>
              </w:rPr>
              <w:t>SWIFT MT54x messages are used for custodian-to-custodian settlement instruction matching for institutional trades.</w:t>
            </w:r>
          </w:p>
        </w:tc>
        <w:tc>
          <w:tcPr>
            <w:tcW w:type="dxa" w:w="3324"/>
          </w:tcPr>
          <w:p>
            <w:pPr>
              <w:jc w:val="center"/>
            </w:pPr>
            <w:r>
              <w:rPr>
                <w:rFonts w:ascii="Calibri" w:hAnsi="Calibri"/>
                <w:b/>
                <w:i w:val="0"/>
                <w:color w:val="007A87"/>
                <w:sz w:val="20"/>
              </w:rPr>
              <w:t>TRUE</w:t>
            </w:r>
          </w:p>
        </w:tc>
        <w:tc>
          <w:tcPr>
            <w:tcW w:type="dxa" w:w="3324"/>
          </w:tcPr>
          <w:p>
            <w:r>
              <w:rPr>
                <w:sz w:val="18"/>
              </w:rPr>
            </w:r>
          </w:p>
        </w:tc>
      </w:tr>
    </w:tbl>
    <w:p/>
    <w:p>
      <w:r>
        <w:rPr>
          <w:rFonts w:ascii="Calibri" w:hAnsi="Calibri"/>
          <w:b/>
          <w:i w:val="0"/>
          <w:color w:val="007A87"/>
          <w:sz w:val="22"/>
        </w:rPr>
        <w:t xml:space="preserve">Q15. </w:t>
      </w:r>
      <w:r>
        <w:rPr>
          <w:rFonts w:ascii="Calibri" w:hAnsi="Calibri"/>
          <w:b/>
          <w:i w:val="0"/>
          <w:color w:val="F0A800"/>
          <w:sz w:val="18"/>
        </w:rPr>
        <w:t xml:space="preserve">[GAP_FILL]  </w:t>
      </w:r>
      <w:r>
        <w:rPr>
          <w:rFonts w:ascii="Calibri" w:hAnsi="Calibri"/>
          <w:b w:val="0"/>
          <w:i w:val="0"/>
          <w:sz w:val="22"/>
        </w:rPr>
        <w:t>The post-trade workflow sequence is: Trade [___] → Trade [___] → Trade [___] → Trade [___] → Trade [___]. Pre-agreed account details for settlement — specifying where to deliver securities and receive cash — are called [___]. Trades where both buyer and seller instructions agree at the custodian level are described as [___].</w:t>
      </w:r>
    </w:p>
    <w:p>
      <w:r>
        <w:rPr>
          <w:rFonts w:ascii="Calibri" w:hAnsi="Calibri"/>
          <w:b/>
          <w:i w:val="0"/>
          <w:color w:val="007A87"/>
          <w:sz w:val="20"/>
        </w:rPr>
        <w:t xml:space="preserve">Select from dropdowns: </w:t>
      </w:r>
    </w:p>
    <w:p>
      <w:pPr>
        <w:ind w:left="567"/>
      </w:pPr>
      <w:r>
        <w:rPr>
          <w:rFonts w:ascii="Calibri" w:hAnsi="Calibri"/>
          <w:b/>
          <w:i w:val="0"/>
          <w:color w:val="007A87"/>
          <w:sz w:val="20"/>
        </w:rPr>
        <w:t xml:space="preserve">Blank 1 — Correct: </w:t>
      </w:r>
      <w:r>
        <w:rPr>
          <w:rFonts w:ascii="Calibri" w:hAnsi="Calibri"/>
          <w:b/>
          <w:i w:val="0"/>
          <w:color w:val="101C4F"/>
          <w:sz w:val="20"/>
        </w:rPr>
        <w:t>Capture</w:t>
      </w:r>
      <w:r>
        <w:rPr>
          <w:rFonts w:ascii="Calibri" w:hAnsi="Calibri"/>
          <w:b w:val="0"/>
          <w:i w:val="0"/>
          <w:color w:val="404040"/>
          <w:sz w:val="18"/>
        </w:rPr>
        <w:t xml:space="preserve">  |  Options: Capture, Execution, Initiation, Booking</w:t>
      </w:r>
    </w:p>
    <w:p>
      <w:pPr>
        <w:ind w:left="567"/>
      </w:pPr>
      <w:r>
        <w:rPr>
          <w:rFonts w:ascii="Calibri" w:hAnsi="Calibri"/>
          <w:b/>
          <w:i w:val="0"/>
          <w:color w:val="007A87"/>
          <w:sz w:val="20"/>
        </w:rPr>
        <w:t xml:space="preserve">Blank 2 — Correct: </w:t>
      </w:r>
      <w:r>
        <w:rPr>
          <w:rFonts w:ascii="Calibri" w:hAnsi="Calibri"/>
          <w:b/>
          <w:i w:val="0"/>
          <w:color w:val="101C4F"/>
          <w:sz w:val="20"/>
        </w:rPr>
        <w:t>Enrichment</w:t>
      </w:r>
      <w:r>
        <w:rPr>
          <w:rFonts w:ascii="Calibri" w:hAnsi="Calibri"/>
          <w:b w:val="0"/>
          <w:i w:val="0"/>
          <w:color w:val="404040"/>
          <w:sz w:val="18"/>
        </w:rPr>
        <w:t xml:space="preserve">  |  Options: Enrichment, Confirmation, Reporting, Settlement</w:t>
      </w:r>
    </w:p>
    <w:p>
      <w:pPr>
        <w:ind w:left="567"/>
      </w:pPr>
      <w:r>
        <w:rPr>
          <w:rFonts w:ascii="Calibri" w:hAnsi="Calibri"/>
          <w:b/>
          <w:i w:val="0"/>
          <w:color w:val="007A87"/>
          <w:sz w:val="20"/>
        </w:rPr>
        <w:t xml:space="preserve">Blank 3 — Correct: </w:t>
      </w:r>
      <w:r>
        <w:rPr>
          <w:rFonts w:ascii="Calibri" w:hAnsi="Calibri"/>
          <w:b/>
          <w:i w:val="0"/>
          <w:color w:val="101C4F"/>
          <w:sz w:val="20"/>
        </w:rPr>
        <w:t>Validation</w:t>
      </w:r>
      <w:r>
        <w:rPr>
          <w:rFonts w:ascii="Calibri" w:hAnsi="Calibri"/>
          <w:b w:val="0"/>
          <w:i w:val="0"/>
          <w:color w:val="404040"/>
          <w:sz w:val="18"/>
        </w:rPr>
        <w:t xml:space="preserve">  |  Options: Validation, Execution, Capture, Enrichment</w:t>
      </w:r>
    </w:p>
    <w:p>
      <w:pPr>
        <w:ind w:left="567"/>
      </w:pPr>
      <w:r>
        <w:rPr>
          <w:rFonts w:ascii="Calibri" w:hAnsi="Calibri"/>
          <w:b/>
          <w:i w:val="0"/>
          <w:color w:val="007A87"/>
          <w:sz w:val="20"/>
        </w:rPr>
        <w:t xml:space="preserve">Blank 4 — Correct: </w:t>
      </w:r>
      <w:r>
        <w:rPr>
          <w:rFonts w:ascii="Calibri" w:hAnsi="Calibri"/>
          <w:b/>
          <w:i w:val="0"/>
          <w:color w:val="101C4F"/>
          <w:sz w:val="20"/>
        </w:rPr>
        <w:t>Confirmation</w:t>
      </w:r>
      <w:r>
        <w:rPr>
          <w:rFonts w:ascii="Calibri" w:hAnsi="Calibri"/>
          <w:b w:val="0"/>
          <w:i w:val="0"/>
          <w:color w:val="404040"/>
          <w:sz w:val="18"/>
        </w:rPr>
        <w:t xml:space="preserve">  |  Options: Confirmation, Settlement, Reporting, Clearance</w:t>
      </w:r>
    </w:p>
    <w:p>
      <w:pPr>
        <w:ind w:left="567"/>
      </w:pPr>
      <w:r>
        <w:rPr>
          <w:rFonts w:ascii="Calibri" w:hAnsi="Calibri"/>
          <w:b/>
          <w:i w:val="0"/>
          <w:color w:val="007A87"/>
          <w:sz w:val="20"/>
        </w:rPr>
        <w:t xml:space="preserve">Blank 5 — Correct: </w:t>
      </w:r>
      <w:r>
        <w:rPr>
          <w:rFonts w:ascii="Calibri" w:hAnsi="Calibri"/>
          <w:b/>
          <w:i w:val="0"/>
          <w:color w:val="101C4F"/>
          <w:sz w:val="20"/>
        </w:rPr>
        <w:t>Settlement</w:t>
      </w:r>
      <w:r>
        <w:rPr>
          <w:rFonts w:ascii="Calibri" w:hAnsi="Calibri"/>
          <w:b w:val="0"/>
          <w:i w:val="0"/>
          <w:color w:val="404040"/>
          <w:sz w:val="18"/>
        </w:rPr>
        <w:t xml:space="preserve">  |  Options: Settlement, Reporting, Archiving, Reconciliation</w:t>
      </w:r>
    </w:p>
    <w:p>
      <w:pPr>
        <w:ind w:left="567"/>
      </w:pPr>
      <w:r>
        <w:rPr>
          <w:rFonts w:ascii="Calibri" w:hAnsi="Calibri"/>
          <w:b/>
          <w:i w:val="0"/>
          <w:color w:val="007A87"/>
          <w:sz w:val="20"/>
        </w:rPr>
        <w:t xml:space="preserve">Blank 6 — Correct: </w:t>
      </w:r>
      <w:r>
        <w:rPr>
          <w:rFonts w:ascii="Calibri" w:hAnsi="Calibri"/>
          <w:b/>
          <w:i w:val="0"/>
          <w:color w:val="101C4F"/>
          <w:sz w:val="20"/>
        </w:rPr>
        <w:t>SSIs (Standard Settlement Instructions)</w:t>
      </w:r>
      <w:r>
        <w:rPr>
          <w:rFonts w:ascii="Calibri" w:hAnsi="Calibri"/>
          <w:b w:val="0"/>
          <w:i w:val="0"/>
          <w:color w:val="404040"/>
          <w:sz w:val="18"/>
        </w:rPr>
        <w:t xml:space="preserve">  |  Options: SSIs (Standard Settlement Instructions), ISINs, BIC codes, FIX messages</w:t>
      </w:r>
    </w:p>
    <w:p>
      <w:pPr>
        <w:ind w:left="567"/>
      </w:pPr>
      <w:r>
        <w:rPr>
          <w:rFonts w:ascii="Calibri" w:hAnsi="Calibri"/>
          <w:b/>
          <w:i w:val="0"/>
          <w:color w:val="007A87"/>
          <w:sz w:val="20"/>
        </w:rPr>
        <w:t xml:space="preserve">Blank 7 — Correct: </w:t>
      </w:r>
      <w:r>
        <w:rPr>
          <w:rFonts w:ascii="Calibri" w:hAnsi="Calibri"/>
          <w:b/>
          <w:i w:val="0"/>
          <w:color w:val="101C4F"/>
          <w:sz w:val="20"/>
        </w:rPr>
        <w:t>Matched</w:t>
      </w:r>
      <w:r>
        <w:rPr>
          <w:rFonts w:ascii="Calibri" w:hAnsi="Calibri"/>
          <w:b w:val="0"/>
          <w:i w:val="0"/>
          <w:color w:val="404040"/>
          <w:sz w:val="18"/>
        </w:rPr>
        <w:t xml:space="preserve">  |  Options: Matched, Confirmed, Settled, Captured</w:t>
      </w:r>
    </w:p>
    <w:p/>
    <w:p>
      <w:r>
        <w:rPr>
          <w:rFonts w:ascii="Calibri" w:hAnsi="Calibri"/>
          <w:b/>
          <w:i w:val="0"/>
          <w:color w:val="007A87"/>
          <w:sz w:val="22"/>
        </w:rPr>
        <w:t xml:space="preserve">Q16. </w:t>
      </w:r>
      <w:r>
        <w:rPr>
          <w:rFonts w:ascii="Calibri" w:hAnsi="Calibri"/>
          <w:b/>
          <w:i w:val="0"/>
          <w:color w:val="F0A800"/>
          <w:sz w:val="18"/>
        </w:rPr>
        <w:t xml:space="preserve">[MATCHING]  </w:t>
      </w:r>
      <w:r>
        <w:rPr>
          <w:rFonts w:ascii="Calibri" w:hAnsi="Calibri"/>
          <w:b w:val="0"/>
          <w:i w:val="0"/>
          <w:sz w:val="22"/>
        </w:rPr>
        <w:t>Match each post-trade event to its description:</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Item</w:t>
            </w:r>
          </w:p>
        </w:tc>
        <w:tc>
          <w:tcPr>
            <w:tcW w:type="dxa" w:w="4986"/>
            <w:shd w:val="clear" w:color="auto" w:fill="007A87"/>
          </w:tcPr>
          <w:p>
            <w:r>
              <w:rPr>
                <w:rFonts w:ascii="Calibri" w:hAnsi="Calibri"/>
                <w:b/>
                <w:i w:val="0"/>
                <w:color w:val="FFFFFF"/>
                <w:sz w:val="20"/>
              </w:rPr>
              <w:t>Match</w:t>
            </w:r>
          </w:p>
        </w:tc>
      </w:tr>
      <w:tr>
        <w:tc>
          <w:tcPr>
            <w:tcW w:type="dxa" w:w="4986"/>
          </w:tcPr>
          <w:p>
            <w:r>
              <w:rPr>
                <w:sz w:val="20"/>
              </w:rPr>
              <w:t>A second operations analyst independently checks key fields on a ₹50 crore trade against the original ticket</w:t>
            </w:r>
          </w:p>
        </w:tc>
        <w:tc>
          <w:tcPr>
            <w:tcW w:type="dxa" w:w="4986"/>
          </w:tcPr>
          <w:p>
            <w:r>
              <w:rPr>
                <w:rFonts w:ascii="Calibri" w:hAnsi="Calibri"/>
                <w:b/>
                <w:i w:val="0"/>
                <w:color w:val="101C4F"/>
                <w:sz w:val="20"/>
              </w:rPr>
              <w:t>Four-eyes verification</w:t>
            </w:r>
          </w:p>
        </w:tc>
      </w:tr>
      <w:tr>
        <w:tc>
          <w:tcPr>
            <w:tcW w:type="dxa" w:w="4986"/>
          </w:tcPr>
          <w:p>
            <w:r>
              <w:rPr>
                <w:sz w:val="20"/>
              </w:rPr>
              <w:t>The system automatically adds T+1 settlement date and counterparty SSI to a raw trade ticket</w:t>
            </w:r>
          </w:p>
        </w:tc>
        <w:tc>
          <w:tcPr>
            <w:tcW w:type="dxa" w:w="4986"/>
          </w:tcPr>
          <w:p>
            <w:r>
              <w:rPr>
                <w:rFonts w:ascii="Calibri" w:hAnsi="Calibri"/>
                <w:b/>
                <w:i w:val="0"/>
                <w:color w:val="101C4F"/>
                <w:sz w:val="20"/>
              </w:rPr>
              <w:t>Trade enrichment</w:t>
            </w:r>
          </w:p>
        </w:tc>
      </w:tr>
      <w:tr>
        <w:tc>
          <w:tcPr>
            <w:tcW w:type="dxa" w:w="4986"/>
          </w:tcPr>
          <w:p>
            <w:r>
              <w:rPr>
                <w:sz w:val="20"/>
              </w:rPr>
              <w:t>Both buyer's and seller's settlement instructions at the custodian show identical ISIN, quantity, and settlement date</w:t>
            </w:r>
          </w:p>
        </w:tc>
        <w:tc>
          <w:tcPr>
            <w:tcW w:type="dxa" w:w="4986"/>
          </w:tcPr>
          <w:p>
            <w:r>
              <w:rPr>
                <w:rFonts w:ascii="Calibri" w:hAnsi="Calibri"/>
                <w:b/>
                <w:i w:val="0"/>
                <w:color w:val="101C4F"/>
                <w:sz w:val="20"/>
              </w:rPr>
              <w:t>Matched trade — ready for settlement</w:t>
            </w:r>
          </w:p>
        </w:tc>
      </w:tr>
      <w:tr>
        <w:tc>
          <w:tcPr>
            <w:tcW w:type="dxa" w:w="4986"/>
          </w:tcPr>
          <w:p>
            <w:r>
              <w:rPr>
                <w:sz w:val="20"/>
              </w:rPr>
              <w:t>A trade is placed in a hold queue because the security ISIN does not exist in the reference data master</w:t>
            </w:r>
          </w:p>
        </w:tc>
        <w:tc>
          <w:tcPr>
            <w:tcW w:type="dxa" w:w="4986"/>
          </w:tcPr>
          <w:p>
            <w:r>
              <w:rPr>
                <w:rFonts w:ascii="Calibri" w:hAnsi="Calibri"/>
                <w:b/>
                <w:i w:val="0"/>
                <w:color w:val="101C4F"/>
                <w:sz w:val="20"/>
              </w:rPr>
              <w:t>Trade validation failure</w:t>
            </w:r>
          </w:p>
        </w:tc>
      </w:tr>
    </w:tbl>
    <w:p/>
    <w:p>
      <w:pPr>
        <w:shd w:val="clear" w:color="auto" w:fill="101C4F"/>
      </w:pPr>
      <w:r>
        <w:rPr>
          <w:rFonts w:ascii="Calibri" w:hAnsi="Calibri"/>
          <w:b/>
          <w:i w:val="0"/>
          <w:color w:val="FFFFFF"/>
          <w:sz w:val="24"/>
        </w:rPr>
        <w:t xml:space="preserve">  D2.5: Trade Settlement</w:t>
      </w:r>
    </w:p>
    <w:p>
      <w:r>
        <w:rPr>
          <w:rFonts w:ascii="Calibri" w:hAnsi="Calibri"/>
          <w:b/>
          <w:i w:val="0"/>
          <w:color w:val="007A87"/>
          <w:sz w:val="22"/>
        </w:rPr>
        <w:t xml:space="preserve">Q17. </w:t>
      </w:r>
      <w:r>
        <w:rPr>
          <w:rFonts w:ascii="Calibri" w:hAnsi="Calibri"/>
          <w:b/>
          <w:i w:val="0"/>
          <w:color w:val="F0A800"/>
          <w:sz w:val="18"/>
        </w:rPr>
        <w:t xml:space="preserve">[MCQ_INLINE]  </w:t>
      </w:r>
      <w:r>
        <w:rPr>
          <w:rFonts w:ascii="Calibri" w:hAnsi="Calibri"/>
          <w:b w:val="0"/>
          <w:i w:val="0"/>
          <w:sz w:val="22"/>
        </w:rPr>
        <w:t>A seller of Wipro shares on NSE fails to deliver the shares on the T+1 settlement day. What mechanism does NSCCL invoke?</w:t>
      </w:r>
    </w:p>
    <w:p>
      <w:pPr>
        <w:pStyle w:val="ListBullet"/>
        <w:ind w:left="567"/>
      </w:pPr>
      <w:r>
        <w:rPr>
          <w:rFonts w:ascii="Calibri" w:hAnsi="Calibri"/>
          <w:b w:val="0"/>
          <w:i w:val="0"/>
          <w:sz w:val="20"/>
        </w:rPr>
        <w:t>A) The buyer's trade is cancelled with no financial impact</w:t>
      </w:r>
    </w:p>
    <w:p>
      <w:pPr>
        <w:pStyle w:val="ListBullet"/>
        <w:ind w:left="567"/>
      </w:pPr>
      <w:r>
        <w:rPr>
          <w:rFonts w:ascii="Calibri" w:hAnsi="Calibri"/>
          <w:b w:val="0"/>
          <w:i w:val="0"/>
          <w:sz w:val="20"/>
        </w:rPr>
        <w:t>B) NSCCL conducts a close-out auction, buying the undelivered shares and charging the failing seller the shortfall plus penalty</w:t>
      </w:r>
    </w:p>
    <w:p>
      <w:pPr>
        <w:pStyle w:val="ListBullet"/>
        <w:ind w:left="567"/>
      </w:pPr>
      <w:r>
        <w:rPr>
          <w:rFonts w:ascii="Calibri" w:hAnsi="Calibri"/>
          <w:b w:val="0"/>
          <w:i w:val="0"/>
          <w:sz w:val="20"/>
        </w:rPr>
        <w:t>C) NSCCL delays settlement to T+2 and waits for the seller to deliver</w:t>
      </w:r>
    </w:p>
    <w:p>
      <w:pPr>
        <w:pStyle w:val="ListBullet"/>
        <w:ind w:left="567"/>
      </w:pPr>
      <w:r>
        <w:rPr>
          <w:rFonts w:ascii="Calibri" w:hAnsi="Calibri"/>
          <w:b w:val="0"/>
          <w:i w:val="0"/>
          <w:sz w:val="20"/>
        </w:rPr>
        <w:t>D) NSE suspends trading in Wipro shares until the seller delivers</w:t>
      </w:r>
    </w:p>
    <w:p>
      <w:r>
        <w:rPr>
          <w:rFonts w:ascii="Calibri" w:hAnsi="Calibri"/>
          <w:b/>
          <w:i w:val="0"/>
          <w:color w:val="007A87"/>
          <w:sz w:val="20"/>
        </w:rPr>
        <w:t xml:space="preserve">Answer: </w:t>
      </w:r>
      <w:r>
        <w:rPr>
          <w:rFonts w:ascii="Calibri" w:hAnsi="Calibri"/>
          <w:b/>
          <w:i w:val="0"/>
          <w:color w:val="101C4F"/>
          <w:sz w:val="20"/>
        </w:rPr>
        <w:t>B</w:t>
      </w:r>
    </w:p>
    <w:p>
      <w:r>
        <w:rPr>
          <w:rFonts w:ascii="Calibri" w:hAnsi="Calibri"/>
          <w:b/>
          <w:i w:val="0"/>
          <w:color w:val="404040"/>
          <w:sz w:val="20"/>
        </w:rPr>
        <w:t xml:space="preserve">Explanation: </w:t>
      </w:r>
      <w:r>
        <w:rPr>
          <w:rFonts w:ascii="Calibri" w:hAnsi="Calibri"/>
          <w:b w:val="0"/>
          <w:i/>
          <w:color w:val="404040"/>
          <w:sz w:val="20"/>
        </w:rPr>
        <w:t>When a seller fails to deliver on T+1, NSCCL invokes the auction mechanism: it buys the undelivered shares at the best available price on the auction day (T+2) and charges the failing seller the price difference plus a close-out penalty of up to 2% of contract value.</w:t>
      </w:r>
    </w:p>
    <w:p/>
    <w:p>
      <w:r>
        <w:rPr>
          <w:rFonts w:ascii="Calibri" w:hAnsi="Calibri"/>
          <w:b/>
          <w:i w:val="0"/>
          <w:color w:val="007A87"/>
          <w:sz w:val="22"/>
        </w:rPr>
        <w:t xml:space="preserve">Q18. </w:t>
      </w:r>
      <w:r>
        <w:rPr>
          <w:rFonts w:ascii="Calibri" w:hAnsi="Calibri"/>
          <w:b/>
          <w:i w:val="0"/>
          <w:color w:val="F0A800"/>
          <w:sz w:val="18"/>
        </w:rPr>
        <w:t xml:space="preserve">[TRUE_FALSE_MULTI]  </w:t>
      </w:r>
      <w:r>
        <w:rPr>
          <w:rFonts w:ascii="Calibri" w:hAnsi="Calibri"/>
          <w:b w:val="0"/>
          <w:i w:val="0"/>
          <w:sz w:val="22"/>
        </w:rPr>
        <w:t>Evaluate these statements about Indian trade settlement. Mark TRUE or FALSE: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rFonts w:ascii="Calibri" w:hAnsi="Calibri"/>
                <w:b/>
                <w:i w:val="0"/>
                <w:color w:val="FFFFFF"/>
                <w:sz w:val="20"/>
              </w:rPr>
              <w:t>Statement</w:t>
            </w:r>
          </w:p>
        </w:tc>
        <w:tc>
          <w:tcPr>
            <w:tcW w:type="dxa" w:w="3324"/>
            <w:shd w:val="clear" w:color="auto" w:fill="101C4F"/>
          </w:tcPr>
          <w:p>
            <w:r>
              <w:rPr>
                <w:rFonts w:ascii="Calibri" w:hAnsi="Calibri"/>
                <w:b/>
                <w:i w:val="0"/>
                <w:color w:val="FFFFFF"/>
                <w:sz w:val="20"/>
              </w:rPr>
              <w:t>T / F</w:t>
            </w:r>
          </w:p>
        </w:tc>
        <w:tc>
          <w:tcPr>
            <w:tcW w:type="dxa" w:w="3324"/>
            <w:shd w:val="clear" w:color="auto" w:fill="101C4F"/>
          </w:tcPr>
          <w:p>
            <w:r>
              <w:rPr>
                <w:rFonts w:ascii="Calibri" w:hAnsi="Calibri"/>
                <w:b/>
                <w:i w:val="0"/>
                <w:color w:val="FFFFFF"/>
                <w:sz w:val="20"/>
              </w:rPr>
              <w:t>Explanation</w:t>
            </w:r>
          </w:p>
        </w:tc>
      </w:tr>
      <w:tr>
        <w:tc>
          <w:tcPr>
            <w:tcW w:type="dxa" w:w="3324"/>
          </w:tcPr>
          <w:p>
            <w:r>
              <w:rPr>
                <w:sz w:val="20"/>
              </w:rPr>
              <w:t>India completed the transition to T+1 settlement for exchange-traded equities in January 2023.</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DVP (Delivery versus Payment) means the buyer can receive shares before paying the cash, with payment due within 2 days.</w:t>
            </w:r>
          </w:p>
        </w:tc>
        <w:tc>
          <w:tcPr>
            <w:tcW w:type="dxa" w:w="3324"/>
          </w:tcPr>
          <w:p>
            <w:pPr>
              <w:jc w:val="center"/>
            </w:pPr>
            <w:r>
              <w:rPr>
                <w:rFonts w:ascii="Calibri" w:hAnsi="Calibri"/>
                <w:b/>
                <w:i w:val="0"/>
                <w:color w:val="C02020"/>
                <w:sz w:val="20"/>
              </w:rPr>
              <w:t>FALSE</w:t>
            </w:r>
          </w:p>
        </w:tc>
        <w:tc>
          <w:tcPr>
            <w:tcW w:type="dxa" w:w="3324"/>
          </w:tcPr>
          <w:p>
            <w:r>
              <w:rPr>
                <w:sz w:val="18"/>
              </w:rPr>
              <w:t>DVP means both cash and securities are exchanged simultaneously; neither party delivers without receiving.</w:t>
            </w:r>
          </w:p>
        </w:tc>
      </w:tr>
      <w:tr>
        <w:tc>
          <w:tcPr>
            <w:tcW w:type="dxa" w:w="3324"/>
          </w:tcPr>
          <w:p>
            <w:r>
              <w:rPr>
                <w:sz w:val="20"/>
              </w:rPr>
              <w:t>NSCCL uses multilateral netting, so only the net buy/sell position in each security is settled — not every individual trade.</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FPIs were unaffected by India's T+1 transition and had no special settlement window.</w:t>
            </w:r>
          </w:p>
        </w:tc>
        <w:tc>
          <w:tcPr>
            <w:tcW w:type="dxa" w:w="3324"/>
          </w:tcPr>
          <w:p>
            <w:pPr>
              <w:jc w:val="center"/>
            </w:pPr>
            <w:r>
              <w:rPr>
                <w:rFonts w:ascii="Calibri" w:hAnsi="Calibri"/>
                <w:b/>
                <w:i w:val="0"/>
                <w:color w:val="C02020"/>
                <w:sz w:val="20"/>
              </w:rPr>
              <w:t>FALSE</w:t>
            </w:r>
          </w:p>
        </w:tc>
        <w:tc>
          <w:tcPr>
            <w:tcW w:type="dxa" w:w="3324"/>
          </w:tcPr>
          <w:p>
            <w:r>
              <w:rPr>
                <w:sz w:val="18"/>
              </w:rPr>
              <w:t>FPIs raised concerns about FX hedging constraints; RBI and SEBI introduced a special FPI settlement window.</w:t>
            </w:r>
          </w:p>
        </w:tc>
      </w:tr>
    </w:tbl>
    <w:p/>
    <w:p>
      <w:r>
        <w:rPr>
          <w:rFonts w:ascii="Calibri" w:hAnsi="Calibri"/>
          <w:b/>
          <w:i w:val="0"/>
          <w:color w:val="007A87"/>
          <w:sz w:val="22"/>
        </w:rPr>
        <w:t xml:space="preserve">Q19. </w:t>
      </w:r>
      <w:r>
        <w:rPr>
          <w:rFonts w:ascii="Calibri" w:hAnsi="Calibri"/>
          <w:b/>
          <w:i w:val="0"/>
          <w:color w:val="F0A800"/>
          <w:sz w:val="18"/>
        </w:rPr>
        <w:t xml:space="preserve">[GAP_FILL]  </w:t>
      </w:r>
      <w:r>
        <w:rPr>
          <w:rFonts w:ascii="Calibri" w:hAnsi="Calibri"/>
          <w:b w:val="0"/>
          <w:i w:val="0"/>
          <w:sz w:val="22"/>
        </w:rPr>
        <w:t>An institutional investor buys 1 lakh shares of TCS on NSE on a Monday. Under T+1 settlement, settlement occurs on [___]. The mechanism that simultaneously exchanges cash and securities — eliminating the risk that one party pays without receiving — is called [___]. Securities are held in electronic form in [___] (dematerialised) accounts at NSDL or CDSL. NSCCL's [___] process reduces gross settlement volumes by netting all buys and sells in each security.</w:t>
      </w:r>
    </w:p>
    <w:p>
      <w:r>
        <w:rPr>
          <w:rFonts w:ascii="Calibri" w:hAnsi="Calibri"/>
          <w:b/>
          <w:i w:val="0"/>
          <w:color w:val="007A87"/>
          <w:sz w:val="20"/>
        </w:rPr>
        <w:t xml:space="preserve">Select from dropdowns: </w:t>
      </w:r>
    </w:p>
    <w:p>
      <w:pPr>
        <w:ind w:left="567"/>
      </w:pPr>
      <w:r>
        <w:rPr>
          <w:rFonts w:ascii="Calibri" w:hAnsi="Calibri"/>
          <w:b/>
          <w:i w:val="0"/>
          <w:color w:val="007A87"/>
          <w:sz w:val="20"/>
        </w:rPr>
        <w:t xml:space="preserve">Blank 1 — Correct: </w:t>
      </w:r>
      <w:r>
        <w:rPr>
          <w:rFonts w:ascii="Calibri" w:hAnsi="Calibri"/>
          <w:b/>
          <w:i w:val="0"/>
          <w:color w:val="101C4F"/>
          <w:sz w:val="20"/>
        </w:rPr>
        <w:t>Tuesday</w:t>
      </w:r>
      <w:r>
        <w:rPr>
          <w:rFonts w:ascii="Calibri" w:hAnsi="Calibri"/>
          <w:b w:val="0"/>
          <w:i w:val="0"/>
          <w:color w:val="404040"/>
          <w:sz w:val="18"/>
        </w:rPr>
        <w:t xml:space="preserve">  |  Options: Tuesday, Wednesday, Thursday, Friday</w:t>
      </w:r>
    </w:p>
    <w:p>
      <w:pPr>
        <w:ind w:left="567"/>
      </w:pPr>
      <w:r>
        <w:rPr>
          <w:rFonts w:ascii="Calibri" w:hAnsi="Calibri"/>
          <w:b/>
          <w:i w:val="0"/>
          <w:color w:val="007A87"/>
          <w:sz w:val="20"/>
        </w:rPr>
        <w:t xml:space="preserve">Blank 2 — Correct: </w:t>
      </w:r>
      <w:r>
        <w:rPr>
          <w:rFonts w:ascii="Calibri" w:hAnsi="Calibri"/>
          <w:b/>
          <w:i w:val="0"/>
          <w:color w:val="101C4F"/>
          <w:sz w:val="20"/>
        </w:rPr>
        <w:t>DVP (Delivery vs Payment)</w:t>
      </w:r>
      <w:r>
        <w:rPr>
          <w:rFonts w:ascii="Calibri" w:hAnsi="Calibri"/>
          <w:b w:val="0"/>
          <w:i w:val="0"/>
          <w:color w:val="404040"/>
          <w:sz w:val="18"/>
        </w:rPr>
        <w:t xml:space="preserve">  |  Options: DVP (Delivery vs Payment), FOP (Free of Payment), RTGS, SWIFT</w:t>
      </w:r>
    </w:p>
    <w:p>
      <w:pPr>
        <w:ind w:left="567"/>
      </w:pPr>
      <w:r>
        <w:rPr>
          <w:rFonts w:ascii="Calibri" w:hAnsi="Calibri"/>
          <w:b/>
          <w:i w:val="0"/>
          <w:color w:val="007A87"/>
          <w:sz w:val="20"/>
        </w:rPr>
        <w:t xml:space="preserve">Blank 3 — Correct: </w:t>
      </w:r>
      <w:r>
        <w:rPr>
          <w:rFonts w:ascii="Calibri" w:hAnsi="Calibri"/>
          <w:b/>
          <w:i w:val="0"/>
          <w:color w:val="101C4F"/>
          <w:sz w:val="20"/>
        </w:rPr>
        <w:t>demat</w:t>
      </w:r>
      <w:r>
        <w:rPr>
          <w:rFonts w:ascii="Calibri" w:hAnsi="Calibri"/>
          <w:b w:val="0"/>
          <w:i w:val="0"/>
          <w:color w:val="404040"/>
          <w:sz w:val="18"/>
        </w:rPr>
        <w:t xml:space="preserve">  |  Options: demat, physical share certificate, custodian, nostro</w:t>
      </w:r>
    </w:p>
    <w:p>
      <w:pPr>
        <w:ind w:left="567"/>
      </w:pPr>
      <w:r>
        <w:rPr>
          <w:rFonts w:ascii="Calibri" w:hAnsi="Calibri"/>
          <w:b/>
          <w:i w:val="0"/>
          <w:color w:val="007A87"/>
          <w:sz w:val="20"/>
        </w:rPr>
        <w:t xml:space="preserve">Blank 4 — Correct: </w:t>
      </w:r>
      <w:r>
        <w:rPr>
          <w:rFonts w:ascii="Calibri" w:hAnsi="Calibri"/>
          <w:b/>
          <w:i w:val="0"/>
          <w:color w:val="101C4F"/>
          <w:sz w:val="20"/>
        </w:rPr>
        <w:t>multilateral netting</w:t>
      </w:r>
      <w:r>
        <w:rPr>
          <w:rFonts w:ascii="Calibri" w:hAnsi="Calibri"/>
          <w:b w:val="0"/>
          <w:i w:val="0"/>
          <w:color w:val="404040"/>
          <w:sz w:val="18"/>
        </w:rPr>
        <w:t xml:space="preserve">  |  Options: multilateral netting, gross settlement, bilateral netting, VWAP calculation</w:t>
      </w:r>
    </w:p>
    <w:p/>
    <w:p>
      <w:r>
        <w:rPr>
          <w:rFonts w:ascii="Calibri" w:hAnsi="Calibri"/>
          <w:b/>
          <w:i w:val="0"/>
          <w:color w:val="007A87"/>
          <w:sz w:val="22"/>
        </w:rPr>
        <w:t xml:space="preserve">Q20. </w:t>
      </w:r>
      <w:r>
        <w:rPr>
          <w:rFonts w:ascii="Calibri" w:hAnsi="Calibri"/>
          <w:b/>
          <w:i w:val="0"/>
          <w:color w:val="F0A800"/>
          <w:sz w:val="18"/>
        </w:rPr>
        <w:t xml:space="preserve">[MATCHING]  </w:t>
      </w:r>
      <w:r>
        <w:rPr>
          <w:rFonts w:ascii="Calibri" w:hAnsi="Calibri"/>
          <w:b w:val="0"/>
          <w:i w:val="0"/>
          <w:sz w:val="22"/>
        </w:rPr>
        <w:t>Match each settlement concept to its correct definition:</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Item</w:t>
            </w:r>
          </w:p>
        </w:tc>
        <w:tc>
          <w:tcPr>
            <w:tcW w:type="dxa" w:w="4986"/>
            <w:shd w:val="clear" w:color="auto" w:fill="007A87"/>
          </w:tcPr>
          <w:p>
            <w:r>
              <w:rPr>
                <w:rFonts w:ascii="Calibri" w:hAnsi="Calibri"/>
                <w:b/>
                <w:i w:val="0"/>
                <w:color w:val="FFFFFF"/>
                <w:sz w:val="20"/>
              </w:rPr>
              <w:t>Match</w:t>
            </w:r>
          </w:p>
        </w:tc>
      </w:tr>
      <w:tr>
        <w:tc>
          <w:tcPr>
            <w:tcW w:type="dxa" w:w="4986"/>
          </w:tcPr>
          <w:p>
            <w:r>
              <w:rPr>
                <w:sz w:val="20"/>
              </w:rPr>
              <w:t>The process where NSCCL buys undelivered securities and charges the failing seller</w:t>
            </w:r>
          </w:p>
        </w:tc>
        <w:tc>
          <w:tcPr>
            <w:tcW w:type="dxa" w:w="4986"/>
          </w:tcPr>
          <w:p>
            <w:r>
              <w:rPr>
                <w:rFonts w:ascii="Calibri" w:hAnsi="Calibri"/>
                <w:b/>
                <w:i w:val="0"/>
                <w:color w:val="101C4F"/>
                <w:sz w:val="20"/>
              </w:rPr>
              <w:t>Close-out auction</w:t>
            </w:r>
          </w:p>
        </w:tc>
      </w:tr>
      <w:tr>
        <w:tc>
          <w:tcPr>
            <w:tcW w:type="dxa" w:w="4986"/>
          </w:tcPr>
          <w:p>
            <w:r>
              <w:rPr>
                <w:sz w:val="20"/>
              </w:rPr>
              <w:t>Electronic holdings of securities in accounts at NSDL/CDSL — no physical share certificates</w:t>
            </w:r>
          </w:p>
        </w:tc>
        <w:tc>
          <w:tcPr>
            <w:tcW w:type="dxa" w:w="4986"/>
          </w:tcPr>
          <w:p>
            <w:r>
              <w:rPr>
                <w:rFonts w:ascii="Calibri" w:hAnsi="Calibri"/>
                <w:b/>
                <w:i w:val="0"/>
                <w:color w:val="101C4F"/>
                <w:sz w:val="20"/>
              </w:rPr>
              <w:t>Dematerialisation (demat)</w:t>
            </w:r>
          </w:p>
        </w:tc>
      </w:tr>
      <w:tr>
        <w:tc>
          <w:tcPr>
            <w:tcW w:type="dxa" w:w="4986"/>
          </w:tcPr>
          <w:p>
            <w:r>
              <w:rPr>
                <w:sz w:val="20"/>
              </w:rPr>
              <w:t>Simultaneous exchange of cash and securities — neither leg settles without the other</w:t>
            </w:r>
          </w:p>
        </w:tc>
        <w:tc>
          <w:tcPr>
            <w:tcW w:type="dxa" w:w="4986"/>
          </w:tcPr>
          <w:p>
            <w:r>
              <w:rPr>
                <w:rFonts w:ascii="Calibri" w:hAnsi="Calibri"/>
                <w:b/>
                <w:i w:val="0"/>
                <w:color w:val="101C4F"/>
                <w:sz w:val="20"/>
              </w:rPr>
              <w:t>DVP — Delivery versus Payment</w:t>
            </w:r>
          </w:p>
        </w:tc>
      </w:tr>
      <w:tr>
        <w:tc>
          <w:tcPr>
            <w:tcW w:type="dxa" w:w="4986"/>
          </w:tcPr>
          <w:p>
            <w:r>
              <w:rPr>
                <w:sz w:val="20"/>
              </w:rPr>
              <w:t>Reducing gross settlement obligations by offsetting all buys and sells in each security across all clearing members</w:t>
            </w:r>
          </w:p>
        </w:tc>
        <w:tc>
          <w:tcPr>
            <w:tcW w:type="dxa" w:w="4986"/>
          </w:tcPr>
          <w:p>
            <w:r>
              <w:rPr>
                <w:rFonts w:ascii="Calibri" w:hAnsi="Calibri"/>
                <w:b/>
                <w:i w:val="0"/>
                <w:color w:val="101C4F"/>
                <w:sz w:val="20"/>
              </w:rPr>
              <w:t>Multilateral netting</w:t>
            </w:r>
          </w:p>
        </w:tc>
      </w:tr>
    </w:tbl>
    <w:p/>
    <w:p>
      <w:pPr>
        <w:shd w:val="clear" w:color="auto" w:fill="101C4F"/>
      </w:pPr>
      <w:r>
        <w:rPr>
          <w:rFonts w:ascii="Calibri" w:hAnsi="Calibri"/>
          <w:b/>
          <w:i w:val="0"/>
          <w:color w:val="FFFFFF"/>
          <w:sz w:val="24"/>
        </w:rPr>
        <w:t xml:space="preserve">  D2.6: OTC Markets and ISDA Framework</w:t>
      </w:r>
    </w:p>
    <w:p>
      <w:r>
        <w:rPr>
          <w:rFonts w:ascii="Calibri" w:hAnsi="Calibri"/>
          <w:b/>
          <w:i w:val="0"/>
          <w:color w:val="007A87"/>
          <w:sz w:val="22"/>
        </w:rPr>
        <w:t xml:space="preserve">Q21. </w:t>
      </w:r>
      <w:r>
        <w:rPr>
          <w:rFonts w:ascii="Calibri" w:hAnsi="Calibri"/>
          <w:b/>
          <w:i w:val="0"/>
          <w:color w:val="F0A800"/>
          <w:sz w:val="18"/>
        </w:rPr>
        <w:t xml:space="preserve">[MCQ_INLINE]  </w:t>
      </w:r>
      <w:r>
        <w:rPr>
          <w:rFonts w:ascii="Calibri" w:hAnsi="Calibri"/>
          <w:b w:val="0"/>
          <w:i w:val="0"/>
          <w:sz w:val="22"/>
        </w:rPr>
        <w:t>Bank A has 12 outstanding OTC derivative trades with Bank B. Bank B becomes insolvent. Bank A's individual trade MTMs are: +₹40 crore, +₹25 crore, −₹15 crore, −₹30 crore (4 representative trades). Without ISDA close-out netting, what is Bank A's credit exposure to the estate? With ISDA netting, what is Bank A's net position?</w:t>
      </w:r>
    </w:p>
    <w:p>
      <w:pPr>
        <w:pStyle w:val="ListBullet"/>
        <w:ind w:left="567"/>
      </w:pPr>
      <w:r>
        <w:rPr>
          <w:rFonts w:ascii="Calibri" w:hAnsi="Calibri"/>
          <w:b w:val="0"/>
          <w:i w:val="0"/>
          <w:sz w:val="20"/>
        </w:rPr>
        <w:t>A) Without netting: ₹65 crore (sum of positives). With netting: ₹20 crore net receivable</w:t>
      </w:r>
    </w:p>
    <w:p>
      <w:pPr>
        <w:pStyle w:val="ListBullet"/>
        <w:ind w:left="567"/>
      </w:pPr>
      <w:r>
        <w:rPr>
          <w:rFonts w:ascii="Calibri" w:hAnsi="Calibri"/>
          <w:b w:val="0"/>
          <w:i w:val="0"/>
          <w:sz w:val="20"/>
        </w:rPr>
        <w:t>B) Without netting: ₹110 crore (sum of all absolute values). With netting: ₹20 crore</w:t>
      </w:r>
    </w:p>
    <w:p>
      <w:pPr>
        <w:pStyle w:val="ListBullet"/>
        <w:ind w:left="567"/>
      </w:pPr>
      <w:r>
        <w:rPr>
          <w:rFonts w:ascii="Calibri" w:hAnsi="Calibri"/>
          <w:b w:val="0"/>
          <w:i w:val="0"/>
          <w:sz w:val="20"/>
        </w:rPr>
        <w:t>C) Without netting: ₹65 crore. With netting: ₹110 crore</w:t>
      </w:r>
    </w:p>
    <w:p>
      <w:pPr>
        <w:pStyle w:val="ListBullet"/>
        <w:ind w:left="567"/>
      </w:pPr>
      <w:r>
        <w:rPr>
          <w:rFonts w:ascii="Calibri" w:hAnsi="Calibri"/>
          <w:b w:val="0"/>
          <w:i w:val="0"/>
          <w:sz w:val="20"/>
        </w:rPr>
        <w:t>D) Without netting: ₹20 crore. With netting: ₹65 crore</w:t>
      </w:r>
    </w:p>
    <w:p>
      <w:r>
        <w:rPr>
          <w:rFonts w:ascii="Calibri" w:hAnsi="Calibri"/>
          <w:b/>
          <w:i w:val="0"/>
          <w:color w:val="007A87"/>
          <w:sz w:val="20"/>
        </w:rPr>
        <w:t xml:space="preserve">Answer: </w:t>
      </w:r>
      <w:r>
        <w:rPr>
          <w:rFonts w:ascii="Calibri" w:hAnsi="Calibri"/>
          <w:b/>
          <w:i w:val="0"/>
          <w:color w:val="101C4F"/>
          <w:sz w:val="20"/>
        </w:rPr>
        <w:t>A</w:t>
      </w:r>
    </w:p>
    <w:p>
      <w:r>
        <w:rPr>
          <w:rFonts w:ascii="Calibri" w:hAnsi="Calibri"/>
          <w:b/>
          <w:i w:val="0"/>
          <w:color w:val="404040"/>
          <w:sz w:val="20"/>
        </w:rPr>
        <w:t xml:space="preserve">Explanation: </w:t>
      </w:r>
      <w:r>
        <w:rPr>
          <w:rFonts w:ascii="Calibri" w:hAnsi="Calibri"/>
          <w:b w:val="0"/>
          <w:i/>
          <w:color w:val="404040"/>
          <w:sz w:val="20"/>
        </w:rPr>
        <w:t>Without netting: Bank A can only claim the positive MTM trades (₹40 + ₹25 = ₹65 crore) but must pay the negative MTM trades (₹15 + ₹30 = ₹45 crore) into the insolvency estate — net economic position ₹20 crore. With ISDA netting: all trades are terminated and netted to ₹40 + ₹25 − ₹15 − ₹30 = ₹20 crore net receivable. Netting protects Bank A from 'cherry-picking' by the insolvent estate.</w:t>
      </w:r>
    </w:p>
    <w:p/>
    <w:p>
      <w:r>
        <w:rPr>
          <w:rFonts w:ascii="Calibri" w:hAnsi="Calibri"/>
          <w:b/>
          <w:i w:val="0"/>
          <w:color w:val="007A87"/>
          <w:sz w:val="22"/>
        </w:rPr>
        <w:t xml:space="preserve">Q22. </w:t>
      </w:r>
      <w:r>
        <w:rPr>
          <w:rFonts w:ascii="Calibri" w:hAnsi="Calibri"/>
          <w:b/>
          <w:i w:val="0"/>
          <w:color w:val="F0A800"/>
          <w:sz w:val="18"/>
        </w:rPr>
        <w:t xml:space="preserve">[TRUE_FALSE_MULTI]  </w:t>
      </w:r>
      <w:r>
        <w:rPr>
          <w:rFonts w:ascii="Calibri" w:hAnsi="Calibri"/>
          <w:b w:val="0"/>
          <w:i w:val="0"/>
          <w:sz w:val="22"/>
        </w:rPr>
        <w:t>Evaluate these statements about OTC markets and ISDA. Mark TRUE or FALSE: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rFonts w:ascii="Calibri" w:hAnsi="Calibri"/>
                <w:b/>
                <w:i w:val="0"/>
                <w:color w:val="FFFFFF"/>
                <w:sz w:val="20"/>
              </w:rPr>
              <w:t>Statement</w:t>
            </w:r>
          </w:p>
        </w:tc>
        <w:tc>
          <w:tcPr>
            <w:tcW w:type="dxa" w:w="3324"/>
            <w:shd w:val="clear" w:color="auto" w:fill="101C4F"/>
          </w:tcPr>
          <w:p>
            <w:r>
              <w:rPr>
                <w:rFonts w:ascii="Calibri" w:hAnsi="Calibri"/>
                <w:b/>
                <w:i w:val="0"/>
                <w:color w:val="FFFFFF"/>
                <w:sz w:val="20"/>
              </w:rPr>
              <w:t>T / F</w:t>
            </w:r>
          </w:p>
        </w:tc>
        <w:tc>
          <w:tcPr>
            <w:tcW w:type="dxa" w:w="3324"/>
            <w:shd w:val="clear" w:color="auto" w:fill="101C4F"/>
          </w:tcPr>
          <w:p>
            <w:r>
              <w:rPr>
                <w:rFonts w:ascii="Calibri" w:hAnsi="Calibri"/>
                <w:b/>
                <w:i w:val="0"/>
                <w:color w:val="FFFFFF"/>
                <w:sz w:val="20"/>
              </w:rPr>
              <w:t>Explanation</w:t>
            </w:r>
          </w:p>
        </w:tc>
      </w:tr>
      <w:tr>
        <w:tc>
          <w:tcPr>
            <w:tcW w:type="dxa" w:w="3324"/>
          </w:tcPr>
          <w:p>
            <w:r>
              <w:rPr>
                <w:sz w:val="20"/>
              </w:rPr>
              <w:t>OTC derivatives are customised bilateral contracts — parties negotiate all terms including notional, maturity, and payment frequency.</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The ISDA Schedule is a standard boilerplate document — the same text for all counterparty pairs.</w:t>
            </w:r>
          </w:p>
        </w:tc>
        <w:tc>
          <w:tcPr>
            <w:tcW w:type="dxa" w:w="3324"/>
          </w:tcPr>
          <w:p>
            <w:pPr>
              <w:jc w:val="center"/>
            </w:pPr>
            <w:r>
              <w:rPr>
                <w:rFonts w:ascii="Calibri" w:hAnsi="Calibri"/>
                <w:b/>
                <w:i w:val="0"/>
                <w:color w:val="C02020"/>
                <w:sz w:val="20"/>
              </w:rPr>
              <w:t>FALSE</w:t>
            </w:r>
          </w:p>
        </w:tc>
        <w:tc>
          <w:tcPr>
            <w:tcW w:type="dxa" w:w="3324"/>
          </w:tcPr>
          <w:p>
            <w:r>
              <w:rPr>
                <w:sz w:val="18"/>
              </w:rPr>
              <w:t>the Schedule is the bilaterally negotiated layer, unique for each counterparty pair. The Master Agreement is the standard boilerplate.</w:t>
            </w:r>
          </w:p>
        </w:tc>
      </w:tr>
      <w:tr>
        <w:tc>
          <w:tcPr>
            <w:tcW w:type="dxa" w:w="3324"/>
          </w:tcPr>
          <w:p>
            <w:r>
              <w:rPr>
                <w:sz w:val="20"/>
              </w:rPr>
              <w:t>RBI mandated CCIL clearing for vanilla INR IRS from 2014.</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The Credit Support Annex (CSA) governs which trades can be executed under an ISDA Master Agreement.</w:t>
            </w:r>
          </w:p>
        </w:tc>
        <w:tc>
          <w:tcPr>
            <w:tcW w:type="dxa" w:w="3324"/>
          </w:tcPr>
          <w:p>
            <w:pPr>
              <w:jc w:val="center"/>
            </w:pPr>
            <w:r>
              <w:rPr>
                <w:rFonts w:ascii="Calibri" w:hAnsi="Calibri"/>
                <w:b/>
                <w:i w:val="0"/>
                <w:color w:val="C02020"/>
                <w:sz w:val="20"/>
              </w:rPr>
              <w:t>FALSE</w:t>
            </w:r>
          </w:p>
        </w:tc>
        <w:tc>
          <w:tcPr>
            <w:tcW w:type="dxa" w:w="3324"/>
          </w:tcPr>
          <w:p>
            <w:r>
              <w:rPr>
                <w:sz w:val="18"/>
              </w:rPr>
              <w:t>the CSA governs collateral posting. Trade eligibility is covered in the Schedule and Master Agreement.</w:t>
            </w:r>
          </w:p>
        </w:tc>
      </w:tr>
    </w:tbl>
    <w:p/>
    <w:p>
      <w:r>
        <w:rPr>
          <w:rFonts w:ascii="Calibri" w:hAnsi="Calibri"/>
          <w:b/>
          <w:i w:val="0"/>
          <w:color w:val="007A87"/>
          <w:sz w:val="22"/>
        </w:rPr>
        <w:t xml:space="preserve">Q23. </w:t>
      </w:r>
      <w:r>
        <w:rPr>
          <w:rFonts w:ascii="Calibri" w:hAnsi="Calibri"/>
          <w:b/>
          <w:i w:val="0"/>
          <w:color w:val="F0A800"/>
          <w:sz w:val="18"/>
        </w:rPr>
        <w:t xml:space="preserve">[GAP_FILL]  </w:t>
      </w:r>
      <w:r>
        <w:rPr>
          <w:rFonts w:ascii="Calibri" w:hAnsi="Calibri"/>
          <w:b w:val="0"/>
          <w:i w:val="0"/>
          <w:sz w:val="22"/>
        </w:rPr>
        <w:t>The four components of ISDA documentation are: (1) [___] — standard boilerplate governing all trades; (2) [___] — bilateral amendments and elections; (3) [___] — governs collateral posting; (4) [___] — specifies individual trade economics. The provision that terminates and nets all trades between two parties upon default is called [___].</w:t>
      </w:r>
    </w:p>
    <w:p>
      <w:r>
        <w:rPr>
          <w:rFonts w:ascii="Calibri" w:hAnsi="Calibri"/>
          <w:b/>
          <w:i w:val="0"/>
          <w:color w:val="007A87"/>
          <w:sz w:val="20"/>
        </w:rPr>
        <w:t xml:space="preserve">Select from dropdowns: </w:t>
      </w:r>
    </w:p>
    <w:p>
      <w:pPr>
        <w:ind w:left="567"/>
      </w:pPr>
      <w:r>
        <w:rPr>
          <w:rFonts w:ascii="Calibri" w:hAnsi="Calibri"/>
          <w:b/>
          <w:i w:val="0"/>
          <w:color w:val="007A87"/>
          <w:sz w:val="20"/>
        </w:rPr>
        <w:t xml:space="preserve">Blank 1 — Correct: </w:t>
      </w:r>
      <w:r>
        <w:rPr>
          <w:rFonts w:ascii="Calibri" w:hAnsi="Calibri"/>
          <w:b/>
          <w:i w:val="0"/>
          <w:color w:val="101C4F"/>
          <w:sz w:val="20"/>
        </w:rPr>
        <w:t>ISDA Master Agreement</w:t>
      </w:r>
      <w:r>
        <w:rPr>
          <w:rFonts w:ascii="Calibri" w:hAnsi="Calibri"/>
          <w:b w:val="0"/>
          <w:i w:val="0"/>
          <w:color w:val="404040"/>
          <w:sz w:val="18"/>
        </w:rPr>
        <w:t xml:space="preserve">  |  Options: ISDA Master Agreement, Schedule, Trade Confirmation, Credit Support Annex</w:t>
      </w:r>
    </w:p>
    <w:p>
      <w:pPr>
        <w:ind w:left="567"/>
      </w:pPr>
      <w:r>
        <w:rPr>
          <w:rFonts w:ascii="Calibri" w:hAnsi="Calibri"/>
          <w:b/>
          <w:i w:val="0"/>
          <w:color w:val="007A87"/>
          <w:sz w:val="20"/>
        </w:rPr>
        <w:t xml:space="preserve">Blank 2 — Correct: </w:t>
      </w:r>
      <w:r>
        <w:rPr>
          <w:rFonts w:ascii="Calibri" w:hAnsi="Calibri"/>
          <w:b/>
          <w:i w:val="0"/>
          <w:color w:val="101C4F"/>
          <w:sz w:val="20"/>
        </w:rPr>
        <w:t>Schedule</w:t>
      </w:r>
      <w:r>
        <w:rPr>
          <w:rFonts w:ascii="Calibri" w:hAnsi="Calibri"/>
          <w:b w:val="0"/>
          <w:i w:val="0"/>
          <w:color w:val="404040"/>
          <w:sz w:val="18"/>
        </w:rPr>
        <w:t xml:space="preserve">  |  Options: Schedule, ISDA Master Agreement, Trade Confirmation, Credit Support Annex</w:t>
      </w:r>
    </w:p>
    <w:p>
      <w:pPr>
        <w:ind w:left="567"/>
      </w:pPr>
      <w:r>
        <w:rPr>
          <w:rFonts w:ascii="Calibri" w:hAnsi="Calibri"/>
          <w:b/>
          <w:i w:val="0"/>
          <w:color w:val="007A87"/>
          <w:sz w:val="20"/>
        </w:rPr>
        <w:t xml:space="preserve">Blank 3 — Correct: </w:t>
      </w:r>
      <w:r>
        <w:rPr>
          <w:rFonts w:ascii="Calibri" w:hAnsi="Calibri"/>
          <w:b/>
          <w:i w:val="0"/>
          <w:color w:val="101C4F"/>
          <w:sz w:val="20"/>
        </w:rPr>
        <w:t>Credit Support Annex (CSA)</w:t>
      </w:r>
      <w:r>
        <w:rPr>
          <w:rFonts w:ascii="Calibri" w:hAnsi="Calibri"/>
          <w:b w:val="0"/>
          <w:i w:val="0"/>
          <w:color w:val="404040"/>
          <w:sz w:val="18"/>
        </w:rPr>
        <w:t xml:space="preserve">  |  Options: Credit Support Annex (CSA), Schedule, Trade Confirmation, ISDA Master Agreement</w:t>
      </w:r>
    </w:p>
    <w:p>
      <w:pPr>
        <w:ind w:left="567"/>
      </w:pPr>
      <w:r>
        <w:rPr>
          <w:rFonts w:ascii="Calibri" w:hAnsi="Calibri"/>
          <w:b/>
          <w:i w:val="0"/>
          <w:color w:val="007A87"/>
          <w:sz w:val="20"/>
        </w:rPr>
        <w:t xml:space="preserve">Blank 4 — Correct: </w:t>
      </w:r>
      <w:r>
        <w:rPr>
          <w:rFonts w:ascii="Calibri" w:hAnsi="Calibri"/>
          <w:b/>
          <w:i w:val="0"/>
          <w:color w:val="101C4F"/>
          <w:sz w:val="20"/>
        </w:rPr>
        <w:t>Trade Confirmation</w:t>
      </w:r>
      <w:r>
        <w:rPr>
          <w:rFonts w:ascii="Calibri" w:hAnsi="Calibri"/>
          <w:b w:val="0"/>
          <w:i w:val="0"/>
          <w:color w:val="404040"/>
          <w:sz w:val="18"/>
        </w:rPr>
        <w:t xml:space="preserve">  |  Options: Trade Confirmation, Credit Support Annex, Schedule, ISDA Master Agreement</w:t>
      </w:r>
    </w:p>
    <w:p>
      <w:pPr>
        <w:ind w:left="567"/>
      </w:pPr>
      <w:r>
        <w:rPr>
          <w:rFonts w:ascii="Calibri" w:hAnsi="Calibri"/>
          <w:b/>
          <w:i w:val="0"/>
          <w:color w:val="007A87"/>
          <w:sz w:val="20"/>
        </w:rPr>
        <w:t xml:space="preserve">Blank 5 — Correct: </w:t>
      </w:r>
      <w:r>
        <w:rPr>
          <w:rFonts w:ascii="Calibri" w:hAnsi="Calibri"/>
          <w:b/>
          <w:i w:val="0"/>
          <w:color w:val="101C4F"/>
          <w:sz w:val="20"/>
        </w:rPr>
        <w:t>close-out netting</w:t>
      </w:r>
      <w:r>
        <w:rPr>
          <w:rFonts w:ascii="Calibri" w:hAnsi="Calibri"/>
          <w:b w:val="0"/>
          <w:i w:val="0"/>
          <w:color w:val="404040"/>
          <w:sz w:val="18"/>
        </w:rPr>
        <w:t xml:space="preserve">  |  Options: close-out netting, bilateral netting, payment netting, gross settlement</w:t>
      </w:r>
    </w:p>
    <w:p/>
    <w:p>
      <w:r>
        <w:rPr>
          <w:rFonts w:ascii="Calibri" w:hAnsi="Calibri"/>
          <w:b/>
          <w:i w:val="0"/>
          <w:color w:val="007A87"/>
          <w:sz w:val="22"/>
        </w:rPr>
        <w:t xml:space="preserve">Q24. </w:t>
      </w:r>
      <w:r>
        <w:rPr>
          <w:rFonts w:ascii="Calibri" w:hAnsi="Calibri"/>
          <w:b/>
          <w:i w:val="0"/>
          <w:color w:val="F0A800"/>
          <w:sz w:val="18"/>
        </w:rPr>
        <w:t xml:space="preserve">[MATCHING]  </w:t>
      </w:r>
      <w:r>
        <w:rPr>
          <w:rFonts w:ascii="Calibri" w:hAnsi="Calibri"/>
          <w:b w:val="0"/>
          <w:i w:val="0"/>
          <w:sz w:val="22"/>
        </w:rPr>
        <w:t>Match each ISDA document component to its primary purpose:</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Item</w:t>
            </w:r>
          </w:p>
        </w:tc>
        <w:tc>
          <w:tcPr>
            <w:tcW w:type="dxa" w:w="4986"/>
            <w:shd w:val="clear" w:color="auto" w:fill="007A87"/>
          </w:tcPr>
          <w:p>
            <w:r>
              <w:rPr>
                <w:rFonts w:ascii="Calibri" w:hAnsi="Calibri"/>
                <w:b/>
                <w:i w:val="0"/>
                <w:color w:val="FFFFFF"/>
                <w:sz w:val="20"/>
              </w:rPr>
              <w:t>Match</w:t>
            </w:r>
          </w:p>
        </w:tc>
      </w:tr>
      <w:tr>
        <w:tc>
          <w:tcPr>
            <w:tcW w:type="dxa" w:w="4986"/>
          </w:tcPr>
          <w:p>
            <w:r>
              <w:rPr>
                <w:sz w:val="20"/>
              </w:rPr>
              <w:t>Specifies the minimum transfer amount, eligible collateral types, and collateral call frequency</w:t>
            </w:r>
          </w:p>
        </w:tc>
        <w:tc>
          <w:tcPr>
            <w:tcW w:type="dxa" w:w="4986"/>
          </w:tcPr>
          <w:p>
            <w:r>
              <w:rPr>
                <w:rFonts w:ascii="Calibri" w:hAnsi="Calibri"/>
                <w:b/>
                <w:i w:val="0"/>
                <w:color w:val="101C4F"/>
                <w:sz w:val="20"/>
              </w:rPr>
              <w:t>Credit Support Annex (CSA)</w:t>
            </w:r>
          </w:p>
        </w:tc>
      </w:tr>
      <w:tr>
        <w:tc>
          <w:tcPr>
            <w:tcW w:type="dxa" w:w="4986"/>
          </w:tcPr>
          <w:p>
            <w:r>
              <w:rPr>
                <w:sz w:val="20"/>
              </w:rPr>
              <w:t>Contains events of default, termination events, and close-out netting provisions — identical for all counterparty pairs</w:t>
            </w:r>
          </w:p>
        </w:tc>
        <w:tc>
          <w:tcPr>
            <w:tcW w:type="dxa" w:w="4986"/>
          </w:tcPr>
          <w:p>
            <w:r>
              <w:rPr>
                <w:rFonts w:ascii="Calibri" w:hAnsi="Calibri"/>
                <w:b/>
                <w:i w:val="0"/>
                <w:color w:val="101C4F"/>
                <w:sz w:val="20"/>
              </w:rPr>
              <w:t>ISDA Master Agreement (2002)</w:t>
            </w:r>
          </w:p>
        </w:tc>
      </w:tr>
      <w:tr>
        <w:tc>
          <w:tcPr>
            <w:tcW w:type="dxa" w:w="4986"/>
          </w:tcPr>
          <w:p>
            <w:r>
              <w:rPr>
                <w:sz w:val="20"/>
              </w:rPr>
              <w:t>States the specific economics of a 5-year IRS: ₹200 crore notional, pay fixed 7.30%, receive MIBOR quarterly</w:t>
            </w:r>
          </w:p>
        </w:tc>
        <w:tc>
          <w:tcPr>
            <w:tcW w:type="dxa" w:w="4986"/>
          </w:tcPr>
          <w:p>
            <w:r>
              <w:rPr>
                <w:rFonts w:ascii="Calibri" w:hAnsi="Calibri"/>
                <w:b/>
                <w:i w:val="0"/>
                <w:color w:val="101C4F"/>
                <w:sz w:val="20"/>
              </w:rPr>
              <w:t>Trade Confirmation</w:t>
            </w:r>
          </w:p>
        </w:tc>
      </w:tr>
      <w:tr>
        <w:tc>
          <w:tcPr>
            <w:tcW w:type="dxa" w:w="4986"/>
          </w:tcPr>
          <w:p>
            <w:r>
              <w:rPr>
                <w:sz w:val="20"/>
              </w:rPr>
              <w:t>Specifies governing law as English law and sets the threshold for credit support at ₹5 crore</w:t>
            </w:r>
          </w:p>
        </w:tc>
        <w:tc>
          <w:tcPr>
            <w:tcW w:type="dxa" w:w="4986"/>
          </w:tcPr>
          <w:p>
            <w:r>
              <w:rPr>
                <w:rFonts w:ascii="Calibri" w:hAnsi="Calibri"/>
                <w:b/>
                <w:i w:val="0"/>
                <w:color w:val="101C4F"/>
                <w:sz w:val="20"/>
              </w:rPr>
              <w:t>Schedule</w:t>
            </w:r>
          </w:p>
        </w:tc>
      </w:tr>
    </w:tbl>
    <w:p/>
    <w:p>
      <w:pPr>
        <w:shd w:val="clear" w:color="auto" w:fill="101C4F"/>
      </w:pPr>
      <w:r>
        <w:rPr>
          <w:rFonts w:ascii="Calibri" w:hAnsi="Calibri"/>
          <w:b/>
          <w:i w:val="0"/>
          <w:color w:val="FFFFFF"/>
          <w:sz w:val="24"/>
        </w:rPr>
        <w:t xml:space="preserve">  D2.7: OTC Trade Lifecycle</w:t>
      </w:r>
    </w:p>
    <w:p>
      <w:r>
        <w:rPr>
          <w:rFonts w:ascii="Calibri" w:hAnsi="Calibri"/>
          <w:b/>
          <w:i w:val="0"/>
          <w:color w:val="007A87"/>
          <w:sz w:val="22"/>
        </w:rPr>
        <w:t xml:space="preserve">Q25. </w:t>
      </w:r>
      <w:r>
        <w:rPr>
          <w:rFonts w:ascii="Calibri" w:hAnsi="Calibri"/>
          <w:b/>
          <w:i w:val="0"/>
          <w:color w:val="F0A800"/>
          <w:sz w:val="18"/>
        </w:rPr>
        <w:t xml:space="preserve">[MCQ_INLINE]  </w:t>
      </w:r>
      <w:r>
        <w:rPr>
          <w:rFonts w:ascii="Calibri" w:hAnsi="Calibri"/>
          <w:b w:val="0"/>
          <w:i w:val="0"/>
          <w:sz w:val="22"/>
        </w:rPr>
        <w:t>After CCIL novates an IRS trade between SBI and Axis Bank, what happens to the bilateral credit risk between these two banks?</w:t>
      </w:r>
    </w:p>
    <w:p>
      <w:pPr>
        <w:pStyle w:val="ListBullet"/>
        <w:ind w:left="567"/>
      </w:pPr>
      <w:r>
        <w:rPr>
          <w:rFonts w:ascii="Calibri" w:hAnsi="Calibri"/>
          <w:b w:val="0"/>
          <w:i w:val="0"/>
          <w:sz w:val="20"/>
        </w:rPr>
        <w:t>A) The credit risk increases because CCIL adds a new counterparty into the chain</w:t>
      </w:r>
    </w:p>
    <w:p>
      <w:pPr>
        <w:pStyle w:val="ListBullet"/>
        <w:ind w:left="567"/>
      </w:pPr>
      <w:r>
        <w:rPr>
          <w:rFonts w:ascii="Calibri" w:hAnsi="Calibri"/>
          <w:b w:val="0"/>
          <w:i w:val="0"/>
          <w:sz w:val="20"/>
        </w:rPr>
        <w:t>B) The bilateral credit risk between SBI and Axis is eliminated; both now only face CCIL as counterparty</w:t>
      </w:r>
    </w:p>
    <w:p>
      <w:pPr>
        <w:pStyle w:val="ListBullet"/>
        <w:ind w:left="567"/>
      </w:pPr>
      <w:r>
        <w:rPr>
          <w:rFonts w:ascii="Calibri" w:hAnsi="Calibri"/>
          <w:b w:val="0"/>
          <w:i w:val="0"/>
          <w:sz w:val="20"/>
        </w:rPr>
        <w:t>C) The credit risk is unchanged; CCIL only provides settlement guarantee, not counterparty replacement</w:t>
      </w:r>
    </w:p>
    <w:p>
      <w:pPr>
        <w:pStyle w:val="ListBullet"/>
        <w:ind w:left="567"/>
      </w:pPr>
      <w:r>
        <w:rPr>
          <w:rFonts w:ascii="Calibri" w:hAnsi="Calibri"/>
          <w:b w:val="0"/>
          <w:i w:val="0"/>
          <w:sz w:val="20"/>
        </w:rPr>
        <w:t>D) SBI's credit risk is eliminated, but Axis Bank still faces SBI's credit risk through the CSA</w:t>
      </w:r>
    </w:p>
    <w:p>
      <w:r>
        <w:rPr>
          <w:rFonts w:ascii="Calibri" w:hAnsi="Calibri"/>
          <w:b/>
          <w:i w:val="0"/>
          <w:color w:val="007A87"/>
          <w:sz w:val="20"/>
        </w:rPr>
        <w:t xml:space="preserve">Answer: </w:t>
      </w:r>
      <w:r>
        <w:rPr>
          <w:rFonts w:ascii="Calibri" w:hAnsi="Calibri"/>
          <w:b/>
          <w:i w:val="0"/>
          <w:color w:val="101C4F"/>
          <w:sz w:val="20"/>
        </w:rPr>
        <w:t>B</w:t>
      </w:r>
    </w:p>
    <w:p>
      <w:r>
        <w:rPr>
          <w:rFonts w:ascii="Calibri" w:hAnsi="Calibri"/>
          <w:b/>
          <w:i w:val="0"/>
          <w:color w:val="404040"/>
          <w:sz w:val="20"/>
        </w:rPr>
        <w:t xml:space="preserve">Explanation: </w:t>
      </w:r>
      <w:r>
        <w:rPr>
          <w:rFonts w:ascii="Calibri" w:hAnsi="Calibri"/>
          <w:b w:val="0"/>
          <w:i/>
          <w:color w:val="404040"/>
          <w:sz w:val="20"/>
        </w:rPr>
        <w:t>Novation replaces the original bilateral SBI–Axis trade with two new trades: SBI–CCIL and CCIL–Axis. The bilateral credit risk between SBI and Axis disappears entirely. Both parties now only face CCIL's credit risk, which is backed by the Settlement Guarantee Fund and CCIL's default waterfall.</w:t>
      </w:r>
    </w:p>
    <w:p/>
    <w:p>
      <w:r>
        <w:rPr>
          <w:rFonts w:ascii="Calibri" w:hAnsi="Calibri"/>
          <w:b/>
          <w:i w:val="0"/>
          <w:color w:val="007A87"/>
          <w:sz w:val="22"/>
        </w:rPr>
        <w:t xml:space="preserve">Q26. </w:t>
      </w:r>
      <w:r>
        <w:rPr>
          <w:rFonts w:ascii="Calibri" w:hAnsi="Calibri"/>
          <w:b/>
          <w:i w:val="0"/>
          <w:color w:val="F0A800"/>
          <w:sz w:val="18"/>
        </w:rPr>
        <w:t xml:space="preserve">[TRUE_FALSE_MULTI]  </w:t>
      </w:r>
      <w:r>
        <w:rPr>
          <w:rFonts w:ascii="Calibri" w:hAnsi="Calibri"/>
          <w:b w:val="0"/>
          <w:i w:val="0"/>
          <w:sz w:val="22"/>
        </w:rPr>
        <w:t>Evaluate these statements about the OTC trade lifecycle. Mark TRUE or FALSE: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rFonts w:ascii="Calibri" w:hAnsi="Calibri"/>
                <w:b/>
                <w:i w:val="0"/>
                <w:color w:val="FFFFFF"/>
                <w:sz w:val="20"/>
              </w:rPr>
              <w:t>Statement</w:t>
            </w:r>
          </w:p>
        </w:tc>
        <w:tc>
          <w:tcPr>
            <w:tcW w:type="dxa" w:w="3324"/>
            <w:shd w:val="clear" w:color="auto" w:fill="101C4F"/>
          </w:tcPr>
          <w:p>
            <w:r>
              <w:rPr>
                <w:rFonts w:ascii="Calibri" w:hAnsi="Calibri"/>
                <w:b/>
                <w:i w:val="0"/>
                <w:color w:val="FFFFFF"/>
                <w:sz w:val="20"/>
              </w:rPr>
              <w:t>T / F</w:t>
            </w:r>
          </w:p>
        </w:tc>
        <w:tc>
          <w:tcPr>
            <w:tcW w:type="dxa" w:w="3324"/>
            <w:shd w:val="clear" w:color="auto" w:fill="101C4F"/>
          </w:tcPr>
          <w:p>
            <w:r>
              <w:rPr>
                <w:rFonts w:ascii="Calibri" w:hAnsi="Calibri"/>
                <w:b/>
                <w:i w:val="0"/>
                <w:color w:val="FFFFFF"/>
                <w:sz w:val="20"/>
              </w:rPr>
              <w:t>Explanation</w:t>
            </w:r>
          </w:p>
        </w:tc>
      </w:tr>
      <w:tr>
        <w:tc>
          <w:tcPr>
            <w:tcW w:type="dxa" w:w="3324"/>
          </w:tcPr>
          <w:p>
            <w:r>
              <w:rPr>
                <w:sz w:val="20"/>
              </w:rPr>
              <w:t>RBI requires all OTC derivative trades to be reported to CCIL's Trade Repository within 30 minutes of execution.</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For a vanilla INR IRS, variation margin is called by CCIL monthly based on end-of-month MTM.</w:t>
            </w:r>
          </w:p>
        </w:tc>
        <w:tc>
          <w:tcPr>
            <w:tcW w:type="dxa" w:w="3324"/>
          </w:tcPr>
          <w:p>
            <w:pPr>
              <w:jc w:val="center"/>
            </w:pPr>
            <w:r>
              <w:rPr>
                <w:rFonts w:ascii="Calibri" w:hAnsi="Calibri"/>
                <w:b/>
                <w:i w:val="0"/>
                <w:color w:val="C02020"/>
                <w:sz w:val="20"/>
              </w:rPr>
              <w:t>FALSE</w:t>
            </w:r>
          </w:p>
        </w:tc>
        <w:tc>
          <w:tcPr>
            <w:tcW w:type="dxa" w:w="3324"/>
          </w:tcPr>
          <w:p>
            <w:r>
              <w:rPr>
                <w:sz w:val="18"/>
              </w:rPr>
              <w:t>CCIL calls variation margin daily based on daily MTM revaluation.</w:t>
            </w:r>
          </w:p>
        </w:tc>
      </w:tr>
      <w:tr>
        <w:tc>
          <w:tcPr>
            <w:tcW w:type="dxa" w:w="3324"/>
          </w:tcPr>
          <w:p>
            <w:r>
              <w:rPr>
                <w:sz w:val="20"/>
              </w:rPr>
              <w:t>IBC amendments have strengthened the enforceability of ISDA close-out netting for CCIL-cleared trades against Indian insolvency proceedings.</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In an OTC trade TLC, the term sheet is the definitive legal document governing the trade throughout its life.</w:t>
            </w:r>
          </w:p>
        </w:tc>
        <w:tc>
          <w:tcPr>
            <w:tcW w:type="dxa" w:w="3324"/>
          </w:tcPr>
          <w:p>
            <w:pPr>
              <w:jc w:val="center"/>
            </w:pPr>
            <w:r>
              <w:rPr>
                <w:rFonts w:ascii="Calibri" w:hAnsi="Calibri"/>
                <w:b/>
                <w:i w:val="0"/>
                <w:color w:val="C02020"/>
                <w:sz w:val="20"/>
              </w:rPr>
              <w:t>FALSE</w:t>
            </w:r>
          </w:p>
        </w:tc>
        <w:tc>
          <w:tcPr>
            <w:tcW w:type="dxa" w:w="3324"/>
          </w:tcPr>
          <w:p>
            <w:r>
              <w:rPr>
                <w:sz w:val="18"/>
              </w:rPr>
              <w:t>the ISDA Master Agreement, Schedule, and Trade Confirmation are the governing legal documents. The term sheet is a preliminary summary.</w:t>
            </w:r>
          </w:p>
        </w:tc>
      </w:tr>
    </w:tbl>
    <w:p/>
    <w:p>
      <w:r>
        <w:rPr>
          <w:rFonts w:ascii="Calibri" w:hAnsi="Calibri"/>
          <w:b/>
          <w:i w:val="0"/>
          <w:color w:val="007A87"/>
          <w:sz w:val="22"/>
        </w:rPr>
        <w:t xml:space="preserve">Q27. </w:t>
      </w:r>
      <w:r>
        <w:rPr>
          <w:rFonts w:ascii="Calibri" w:hAnsi="Calibri"/>
          <w:b/>
          <w:i w:val="0"/>
          <w:color w:val="F0A800"/>
          <w:sz w:val="18"/>
        </w:rPr>
        <w:t xml:space="preserve">[GAP_FILL]  </w:t>
      </w:r>
      <w:r>
        <w:rPr>
          <w:rFonts w:ascii="Calibri" w:hAnsi="Calibri"/>
          <w:b w:val="0"/>
          <w:i w:val="0"/>
          <w:sz w:val="22"/>
        </w:rPr>
        <w:t>For a CCIL-cleared IRS, the ongoing lifecycle has three key daily processes: (1) [___] margin collection by CCIL based on daily MTM revaluation; (2) Quarterly [___] calculation using the formula: Fixed Rate × Notional × Days/365 vs MIBOR Fixing × Notional × Days/365; (3) Trade [___] reporting to CCIL's Trade Repository within 30 minutes. At maturity, CCIL releases the [___] margin held for the trade.</w:t>
      </w:r>
    </w:p>
    <w:p>
      <w:r>
        <w:rPr>
          <w:rFonts w:ascii="Calibri" w:hAnsi="Calibri"/>
          <w:b/>
          <w:i w:val="0"/>
          <w:color w:val="007A87"/>
          <w:sz w:val="20"/>
        </w:rPr>
        <w:t xml:space="preserve">Select from dropdowns: </w:t>
      </w:r>
    </w:p>
    <w:p>
      <w:pPr>
        <w:ind w:left="567"/>
      </w:pPr>
      <w:r>
        <w:rPr>
          <w:rFonts w:ascii="Calibri" w:hAnsi="Calibri"/>
          <w:b/>
          <w:i w:val="0"/>
          <w:color w:val="007A87"/>
          <w:sz w:val="20"/>
        </w:rPr>
        <w:t xml:space="preserve">Blank 1 — Correct: </w:t>
      </w:r>
      <w:r>
        <w:rPr>
          <w:rFonts w:ascii="Calibri" w:hAnsi="Calibri"/>
          <w:b/>
          <w:i w:val="0"/>
          <w:color w:val="101C4F"/>
          <w:sz w:val="20"/>
        </w:rPr>
        <w:t>variation</w:t>
      </w:r>
      <w:r>
        <w:rPr>
          <w:rFonts w:ascii="Calibri" w:hAnsi="Calibri"/>
          <w:b w:val="0"/>
          <w:i w:val="0"/>
          <w:color w:val="404040"/>
          <w:sz w:val="18"/>
        </w:rPr>
        <w:t xml:space="preserve">  |  Options: variation, initial, performance, settlement</w:t>
      </w:r>
    </w:p>
    <w:p>
      <w:pPr>
        <w:ind w:left="567"/>
      </w:pPr>
      <w:r>
        <w:rPr>
          <w:rFonts w:ascii="Calibri" w:hAnsi="Calibri"/>
          <w:b/>
          <w:i w:val="0"/>
          <w:color w:val="007A87"/>
          <w:sz w:val="20"/>
        </w:rPr>
        <w:t xml:space="preserve">Blank 2 — Correct: </w:t>
      </w:r>
      <w:r>
        <w:rPr>
          <w:rFonts w:ascii="Calibri" w:hAnsi="Calibri"/>
          <w:b/>
          <w:i w:val="0"/>
          <w:color w:val="101C4F"/>
          <w:sz w:val="20"/>
        </w:rPr>
        <w:t>net payment</w:t>
      </w:r>
      <w:r>
        <w:rPr>
          <w:rFonts w:ascii="Calibri" w:hAnsi="Calibri"/>
          <w:b w:val="0"/>
          <w:i w:val="0"/>
          <w:color w:val="404040"/>
          <w:sz w:val="18"/>
        </w:rPr>
        <w:t xml:space="preserve">  |  Options: net payment, gross payment, fixed rate, floating rate</w:t>
      </w:r>
    </w:p>
    <w:p>
      <w:pPr>
        <w:ind w:left="567"/>
      </w:pPr>
      <w:r>
        <w:rPr>
          <w:rFonts w:ascii="Calibri" w:hAnsi="Calibri"/>
          <w:b/>
          <w:i w:val="0"/>
          <w:color w:val="007A87"/>
          <w:sz w:val="20"/>
        </w:rPr>
        <w:t xml:space="preserve">Blank 3 — Correct: </w:t>
      </w:r>
      <w:r>
        <w:rPr>
          <w:rFonts w:ascii="Calibri" w:hAnsi="Calibri"/>
          <w:b/>
          <w:i w:val="0"/>
          <w:color w:val="101C4F"/>
          <w:sz w:val="20"/>
        </w:rPr>
        <w:t>repository (TR)</w:t>
      </w:r>
      <w:r>
        <w:rPr>
          <w:rFonts w:ascii="Calibri" w:hAnsi="Calibri"/>
          <w:b w:val="0"/>
          <w:i w:val="0"/>
          <w:color w:val="404040"/>
          <w:sz w:val="18"/>
        </w:rPr>
        <w:t xml:space="preserve">  |  Options: repository (TR), confirmation, reconciliation, settlement</w:t>
      </w:r>
    </w:p>
    <w:p>
      <w:pPr>
        <w:ind w:left="567"/>
      </w:pPr>
      <w:r>
        <w:rPr>
          <w:rFonts w:ascii="Calibri" w:hAnsi="Calibri"/>
          <w:b/>
          <w:i w:val="0"/>
          <w:color w:val="007A87"/>
          <w:sz w:val="20"/>
        </w:rPr>
        <w:t xml:space="preserve">Blank 4 — Correct: </w:t>
      </w:r>
      <w:r>
        <w:rPr>
          <w:rFonts w:ascii="Calibri" w:hAnsi="Calibri"/>
          <w:b/>
          <w:i w:val="0"/>
          <w:color w:val="101C4F"/>
          <w:sz w:val="20"/>
        </w:rPr>
        <w:t>initial</w:t>
      </w:r>
      <w:r>
        <w:rPr>
          <w:rFonts w:ascii="Calibri" w:hAnsi="Calibri"/>
          <w:b w:val="0"/>
          <w:i w:val="0"/>
          <w:color w:val="404040"/>
          <w:sz w:val="18"/>
        </w:rPr>
        <w:t xml:space="preserve">  |  Options: initial, variation, settlement, performance</w:t>
      </w:r>
    </w:p>
    <w:p/>
    <w:p>
      <w:r>
        <w:rPr>
          <w:rFonts w:ascii="Calibri" w:hAnsi="Calibri"/>
          <w:b/>
          <w:i w:val="0"/>
          <w:color w:val="007A87"/>
          <w:sz w:val="22"/>
        </w:rPr>
        <w:t xml:space="preserve">Q28. </w:t>
      </w:r>
      <w:r>
        <w:rPr>
          <w:rFonts w:ascii="Calibri" w:hAnsi="Calibri"/>
          <w:b/>
          <w:i w:val="0"/>
          <w:color w:val="F0A800"/>
          <w:sz w:val="18"/>
        </w:rPr>
        <w:t xml:space="preserve">[MATCHING]  </w:t>
      </w:r>
      <w:r>
        <w:rPr>
          <w:rFonts w:ascii="Calibri" w:hAnsi="Calibri"/>
          <w:b w:val="0"/>
          <w:i w:val="0"/>
          <w:sz w:val="22"/>
        </w:rPr>
        <w:t>Match each OTC TLC stage to its description:</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Item</w:t>
            </w:r>
          </w:p>
        </w:tc>
        <w:tc>
          <w:tcPr>
            <w:tcW w:type="dxa" w:w="4986"/>
            <w:shd w:val="clear" w:color="auto" w:fill="007A87"/>
          </w:tcPr>
          <w:p>
            <w:r>
              <w:rPr>
                <w:rFonts w:ascii="Calibri" w:hAnsi="Calibri"/>
                <w:b/>
                <w:i w:val="0"/>
                <w:color w:val="FFFFFF"/>
                <w:sz w:val="20"/>
              </w:rPr>
              <w:t>Match</w:t>
            </w:r>
          </w:p>
        </w:tc>
      </w:tr>
      <w:tr>
        <w:tc>
          <w:tcPr>
            <w:tcW w:type="dxa" w:w="4986"/>
          </w:tcPr>
          <w:p>
            <w:r>
              <w:rPr>
                <w:sz w:val="20"/>
              </w:rPr>
              <w:t>Both banks submit trade details to CCIL; CCIL replaces the bilateral trade with two CCP-facing trades</w:t>
            </w:r>
          </w:p>
        </w:tc>
        <w:tc>
          <w:tcPr>
            <w:tcW w:type="dxa" w:w="4986"/>
          </w:tcPr>
          <w:p>
            <w:r>
              <w:rPr>
                <w:rFonts w:ascii="Calibri" w:hAnsi="Calibri"/>
                <w:b/>
                <w:i w:val="0"/>
                <w:color w:val="101C4F"/>
                <w:sz w:val="20"/>
              </w:rPr>
              <w:t>CCIL novation</w:t>
            </w:r>
          </w:p>
        </w:tc>
      </w:tr>
      <w:tr>
        <w:tc>
          <w:tcPr>
            <w:tcW w:type="dxa" w:w="4986"/>
          </w:tcPr>
          <w:p>
            <w:r>
              <w:rPr>
                <w:sz w:val="20"/>
              </w:rPr>
              <w:t>Operations calculates Fixed Rate × Notional × Days/365 vs MIBOR × Notional × Days/365 and processes payment via RTGS</w:t>
            </w:r>
          </w:p>
        </w:tc>
        <w:tc>
          <w:tcPr>
            <w:tcW w:type="dxa" w:w="4986"/>
          </w:tcPr>
          <w:p>
            <w:r>
              <w:rPr>
                <w:rFonts w:ascii="Calibri" w:hAnsi="Calibri"/>
                <w:b/>
                <w:i w:val="0"/>
                <w:color w:val="101C4F"/>
                <w:sz w:val="20"/>
              </w:rPr>
              <w:t>Quarterly net payment settlement</w:t>
            </w:r>
          </w:p>
        </w:tc>
      </w:tr>
      <w:tr>
        <w:tc>
          <w:tcPr>
            <w:tcW w:type="dxa" w:w="4986"/>
          </w:tcPr>
          <w:p>
            <w:r>
              <w:rPr>
                <w:sz w:val="20"/>
              </w:rPr>
              <w:t>All positions are immediately valued and netted to a single payable when a clearing member is declared insolvent</w:t>
            </w:r>
          </w:p>
        </w:tc>
        <w:tc>
          <w:tcPr>
            <w:tcW w:type="dxa" w:w="4986"/>
          </w:tcPr>
          <w:p>
            <w:r>
              <w:rPr>
                <w:rFonts w:ascii="Calibri" w:hAnsi="Calibri"/>
                <w:b/>
                <w:i w:val="0"/>
                <w:color w:val="101C4F"/>
                <w:sz w:val="20"/>
              </w:rPr>
              <w:t>ISDA/CCIL close-out netting on default</w:t>
            </w:r>
          </w:p>
        </w:tc>
      </w:tr>
      <w:tr>
        <w:tc>
          <w:tcPr>
            <w:tcW w:type="dxa" w:w="4986"/>
          </w:tcPr>
          <w:p>
            <w:r>
              <w:rPr>
                <w:sz w:val="20"/>
              </w:rPr>
              <w:t>Both parties agree trade terms over Bloomberg chat; traders enter the trade into their respective OMS</w:t>
            </w:r>
          </w:p>
        </w:tc>
        <w:tc>
          <w:tcPr>
            <w:tcW w:type="dxa" w:w="4986"/>
          </w:tcPr>
          <w:p>
            <w:r>
              <w:rPr>
                <w:rFonts w:ascii="Calibri" w:hAnsi="Calibri"/>
                <w:b/>
                <w:i w:val="0"/>
                <w:color w:val="101C4F"/>
                <w:sz w:val="20"/>
              </w:rPr>
              <w:t>OTC bilateral execution and trade capture</w:t>
            </w:r>
          </w:p>
        </w:tc>
      </w:tr>
    </w:tbl>
    <w:p/>
    <w:p>
      <w:pPr>
        <w:shd w:val="clear" w:color="auto" w:fill="101C4F"/>
      </w:pPr>
      <w:r>
        <w:rPr>
          <w:rFonts w:ascii="Calibri" w:hAnsi="Calibri"/>
          <w:b/>
          <w:i w:val="0"/>
          <w:color w:val="FFFFFF"/>
          <w:sz w:val="24"/>
        </w:rPr>
        <w:t xml:space="preserve">  D2.8: Custodian Banks and Custody Services</w:t>
      </w:r>
    </w:p>
    <w:p>
      <w:r>
        <w:rPr>
          <w:rFonts w:ascii="Calibri" w:hAnsi="Calibri"/>
          <w:b/>
          <w:i w:val="0"/>
          <w:color w:val="007A87"/>
          <w:sz w:val="22"/>
        </w:rPr>
        <w:t xml:space="preserve">Q29. </w:t>
      </w:r>
      <w:r>
        <w:rPr>
          <w:rFonts w:ascii="Calibri" w:hAnsi="Calibri"/>
          <w:b/>
          <w:i w:val="0"/>
          <w:color w:val="F0A800"/>
          <w:sz w:val="18"/>
        </w:rPr>
        <w:t xml:space="preserve">[MCQ_INLINE]  </w:t>
      </w:r>
      <w:r>
        <w:rPr>
          <w:rFonts w:ascii="Calibri" w:hAnsi="Calibri"/>
          <w:b w:val="0"/>
          <w:i w:val="0"/>
          <w:sz w:val="22"/>
        </w:rPr>
        <w:t>A US-based pension fund invests in Indian equities. It appoints BNY Mellon as its global custodian. BNY Mellon uses HDFC Bank India as a sub-custodian. Where are the pension fund's Indian shares ultimately held?</w:t>
      </w:r>
    </w:p>
    <w:p>
      <w:pPr>
        <w:pStyle w:val="ListBullet"/>
        <w:ind w:left="567"/>
      </w:pPr>
      <w:r>
        <w:rPr>
          <w:rFonts w:ascii="Calibri" w:hAnsi="Calibri"/>
          <w:b w:val="0"/>
          <w:i w:val="0"/>
          <w:sz w:val="20"/>
        </w:rPr>
        <w:t>A) In a demat account at NSDL, in HDFC Bank India's name, managed on behalf of the pension fund</w:t>
      </w:r>
    </w:p>
    <w:p>
      <w:pPr>
        <w:pStyle w:val="ListBullet"/>
        <w:ind w:left="567"/>
      </w:pPr>
      <w:r>
        <w:rPr>
          <w:rFonts w:ascii="Calibri" w:hAnsi="Calibri"/>
          <w:b w:val="0"/>
          <w:i w:val="0"/>
          <w:sz w:val="20"/>
        </w:rPr>
        <w:t>B) Directly in a demat account in the pension fund's name at NSDL</w:t>
      </w:r>
    </w:p>
    <w:p>
      <w:pPr>
        <w:pStyle w:val="ListBullet"/>
        <w:ind w:left="567"/>
      </w:pPr>
      <w:r>
        <w:rPr>
          <w:rFonts w:ascii="Calibri" w:hAnsi="Calibri"/>
          <w:b w:val="0"/>
          <w:i w:val="0"/>
          <w:sz w:val="20"/>
        </w:rPr>
        <w:t>C) At BNY Mellon's New York vault in physical certificate form</w:t>
      </w:r>
    </w:p>
    <w:p>
      <w:pPr>
        <w:pStyle w:val="ListBullet"/>
        <w:ind w:left="567"/>
      </w:pPr>
      <w:r>
        <w:rPr>
          <w:rFonts w:ascii="Calibri" w:hAnsi="Calibri"/>
          <w:b w:val="0"/>
          <w:i w:val="0"/>
          <w:sz w:val="20"/>
        </w:rPr>
        <w:t>D) At NSCCL's custody pool until the pension fund repatriates the proceeds</w:t>
      </w:r>
    </w:p>
    <w:p>
      <w:r>
        <w:rPr>
          <w:rFonts w:ascii="Calibri" w:hAnsi="Calibri"/>
          <w:b/>
          <w:i w:val="0"/>
          <w:color w:val="007A87"/>
          <w:sz w:val="20"/>
        </w:rPr>
        <w:t xml:space="preserve">Answer: </w:t>
      </w:r>
      <w:r>
        <w:rPr>
          <w:rFonts w:ascii="Calibri" w:hAnsi="Calibri"/>
          <w:b/>
          <w:i w:val="0"/>
          <w:color w:val="101C4F"/>
          <w:sz w:val="20"/>
        </w:rPr>
        <w:t>A</w:t>
      </w:r>
    </w:p>
    <w:p>
      <w:r>
        <w:rPr>
          <w:rFonts w:ascii="Calibri" w:hAnsi="Calibri"/>
          <w:b/>
          <w:i w:val="0"/>
          <w:color w:val="404040"/>
          <w:sz w:val="20"/>
        </w:rPr>
        <w:t xml:space="preserve">Explanation: </w:t>
      </w:r>
      <w:r>
        <w:rPr>
          <w:rFonts w:ascii="Calibri" w:hAnsi="Calibri"/>
          <w:b w:val="0"/>
          <w:i/>
          <w:color w:val="404040"/>
          <w:sz w:val="20"/>
        </w:rPr>
        <w:t>The sub-custodian (HDFC Bank India) maintains an omnibus demat account at NSDL in HDFC Bank's name, holding shares for multiple global custodian clients. The pension fund's holdings are tracked in HDFC Bank's internal records, reported to BNY Mellon, who reports to the pension fund. SEBI requires FPIs to appoint a SEBI-registered custodian.</w:t>
      </w:r>
    </w:p>
    <w:p/>
    <w:p>
      <w:r>
        <w:rPr>
          <w:rFonts w:ascii="Calibri" w:hAnsi="Calibri"/>
          <w:b/>
          <w:i w:val="0"/>
          <w:color w:val="007A87"/>
          <w:sz w:val="22"/>
        </w:rPr>
        <w:t xml:space="preserve">Q30. </w:t>
      </w:r>
      <w:r>
        <w:rPr>
          <w:rFonts w:ascii="Calibri" w:hAnsi="Calibri"/>
          <w:b/>
          <w:i w:val="0"/>
          <w:color w:val="F0A800"/>
          <w:sz w:val="18"/>
        </w:rPr>
        <w:t xml:space="preserve">[TRUE_FALSE_MULTI]  </w:t>
      </w:r>
      <w:r>
        <w:rPr>
          <w:rFonts w:ascii="Calibri" w:hAnsi="Calibri"/>
          <w:b w:val="0"/>
          <w:i w:val="0"/>
          <w:sz w:val="22"/>
        </w:rPr>
        <w:t>Evaluate these statements about custodian banks. Mark TRUE or FALSE: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rFonts w:ascii="Calibri" w:hAnsi="Calibri"/>
                <w:b/>
                <w:i w:val="0"/>
                <w:color w:val="FFFFFF"/>
                <w:sz w:val="20"/>
              </w:rPr>
              <w:t>Statement</w:t>
            </w:r>
          </w:p>
        </w:tc>
        <w:tc>
          <w:tcPr>
            <w:tcW w:type="dxa" w:w="3324"/>
            <w:shd w:val="clear" w:color="auto" w:fill="101C4F"/>
          </w:tcPr>
          <w:p>
            <w:r>
              <w:rPr>
                <w:rFonts w:ascii="Calibri" w:hAnsi="Calibri"/>
                <w:b/>
                <w:i w:val="0"/>
                <w:color w:val="FFFFFF"/>
                <w:sz w:val="20"/>
              </w:rPr>
              <w:t>T / F</w:t>
            </w:r>
          </w:p>
        </w:tc>
        <w:tc>
          <w:tcPr>
            <w:tcW w:type="dxa" w:w="3324"/>
            <w:shd w:val="clear" w:color="auto" w:fill="101C4F"/>
          </w:tcPr>
          <w:p>
            <w:r>
              <w:rPr>
                <w:rFonts w:ascii="Calibri" w:hAnsi="Calibri"/>
                <w:b/>
                <w:i w:val="0"/>
                <w:color w:val="FFFFFF"/>
                <w:sz w:val="20"/>
              </w:rPr>
              <w:t>Explanation</w:t>
            </w:r>
          </w:p>
        </w:tc>
      </w:tr>
      <w:tr>
        <w:tc>
          <w:tcPr>
            <w:tcW w:type="dxa" w:w="3324"/>
          </w:tcPr>
          <w:p>
            <w:r>
              <w:rPr>
                <w:sz w:val="20"/>
              </w:rPr>
              <w:t>FPIs investing in India are required by SEBI to appoint a SEBI-registered custodian.</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A custodian and a broker perform the same function — both execute trades and hold client assets.</w:t>
            </w:r>
          </w:p>
        </w:tc>
        <w:tc>
          <w:tcPr>
            <w:tcW w:type="dxa" w:w="3324"/>
          </w:tcPr>
          <w:p>
            <w:pPr>
              <w:jc w:val="center"/>
            </w:pPr>
            <w:r>
              <w:rPr>
                <w:rFonts w:ascii="Calibri" w:hAnsi="Calibri"/>
                <w:b/>
                <w:i w:val="0"/>
                <w:color w:val="C02020"/>
                <w:sz w:val="20"/>
              </w:rPr>
              <w:t>FALSE</w:t>
            </w:r>
          </w:p>
        </w:tc>
        <w:tc>
          <w:tcPr>
            <w:tcW w:type="dxa" w:w="3324"/>
          </w:tcPr>
          <w:p>
            <w:r>
              <w:rPr>
                <w:sz w:val="18"/>
              </w:rPr>
              <w:t>custodians hold and safekeep assets. Brokers execute trades. They must be separate entities for investor protection.</w:t>
            </w:r>
          </w:p>
        </w:tc>
      </w:tr>
      <w:tr>
        <w:tc>
          <w:tcPr>
            <w:tcW w:type="dxa" w:w="3324"/>
          </w:tcPr>
          <w:p>
            <w:r>
              <w:rPr>
                <w:sz w:val="20"/>
              </w:rPr>
              <w:t>A nostro account is a cash account held by an Indian bank at a foreign correspondent bank, denominated in the foreign currency.</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The depot account holds cash in foreign currencies on behalf of client investors.</w:t>
            </w:r>
          </w:p>
        </w:tc>
        <w:tc>
          <w:tcPr>
            <w:tcW w:type="dxa" w:w="3324"/>
          </w:tcPr>
          <w:p>
            <w:pPr>
              <w:jc w:val="center"/>
            </w:pPr>
            <w:r>
              <w:rPr>
                <w:rFonts w:ascii="Calibri" w:hAnsi="Calibri"/>
                <w:b/>
                <w:i w:val="0"/>
                <w:color w:val="C02020"/>
                <w:sz w:val="20"/>
              </w:rPr>
              <w:t>FALSE</w:t>
            </w:r>
          </w:p>
        </w:tc>
        <w:tc>
          <w:tcPr>
            <w:tcW w:type="dxa" w:w="3324"/>
          </w:tcPr>
          <w:p>
            <w:r>
              <w:rPr>
                <w:sz w:val="18"/>
              </w:rPr>
              <w:t>the depot account holds securities (equities, bonds) at the depository. Cash is held in nostro accounts.</w:t>
            </w:r>
          </w:p>
        </w:tc>
      </w:tr>
    </w:tbl>
    <w:p/>
    <w:p>
      <w:r>
        <w:rPr>
          <w:rFonts w:ascii="Calibri" w:hAnsi="Calibri"/>
          <w:b/>
          <w:i w:val="0"/>
          <w:color w:val="007A87"/>
          <w:sz w:val="22"/>
        </w:rPr>
        <w:t xml:space="preserve">Q31. </w:t>
      </w:r>
      <w:r>
        <w:rPr>
          <w:rFonts w:ascii="Calibri" w:hAnsi="Calibri"/>
          <w:b/>
          <w:i w:val="0"/>
          <w:color w:val="F0A800"/>
          <w:sz w:val="18"/>
        </w:rPr>
        <w:t xml:space="preserve">[GAP_FILL]  </w:t>
      </w:r>
      <w:r>
        <w:rPr>
          <w:rFonts w:ascii="Calibri" w:hAnsi="Calibri"/>
          <w:b w:val="0"/>
          <w:i w:val="0"/>
          <w:sz w:val="22"/>
        </w:rPr>
        <w:t>A global custodian provides custody services across [___] markets from a single platform. In each local market, it uses a [___] to handle local settlement and regulatory compliance. In India, equity securities are held in [___] form at NSDL or CDSL. Cash held by an Indian bank at a foreign correspondent bank is in a [___] account. The sub-custodian uses an [___] demat account at NSDL to hold assets for multiple client funds.</w:t>
      </w:r>
    </w:p>
    <w:p>
      <w:r>
        <w:rPr>
          <w:rFonts w:ascii="Calibri" w:hAnsi="Calibri"/>
          <w:b/>
          <w:i w:val="0"/>
          <w:color w:val="007A87"/>
          <w:sz w:val="20"/>
        </w:rPr>
        <w:t xml:space="preserve">Select from dropdowns: </w:t>
      </w:r>
    </w:p>
    <w:p>
      <w:pPr>
        <w:ind w:left="567"/>
      </w:pPr>
      <w:r>
        <w:rPr>
          <w:rFonts w:ascii="Calibri" w:hAnsi="Calibri"/>
          <w:b/>
          <w:i w:val="0"/>
          <w:color w:val="007A87"/>
          <w:sz w:val="20"/>
        </w:rPr>
        <w:t xml:space="preserve">Blank 1 — Correct: </w:t>
      </w:r>
      <w:r>
        <w:rPr>
          <w:rFonts w:ascii="Calibri" w:hAnsi="Calibri"/>
          <w:b/>
          <w:i w:val="0"/>
          <w:color w:val="101C4F"/>
          <w:sz w:val="20"/>
        </w:rPr>
        <w:t>multiple</w:t>
      </w:r>
      <w:r>
        <w:rPr>
          <w:rFonts w:ascii="Calibri" w:hAnsi="Calibri"/>
          <w:b w:val="0"/>
          <w:i w:val="0"/>
          <w:color w:val="404040"/>
          <w:sz w:val="18"/>
        </w:rPr>
        <w:t xml:space="preserve">  |  Options: multiple, single, domestic, regulated</w:t>
      </w:r>
    </w:p>
    <w:p>
      <w:pPr>
        <w:ind w:left="567"/>
      </w:pPr>
      <w:r>
        <w:rPr>
          <w:rFonts w:ascii="Calibri" w:hAnsi="Calibri"/>
          <w:b/>
          <w:i w:val="0"/>
          <w:color w:val="007A87"/>
          <w:sz w:val="20"/>
        </w:rPr>
        <w:t xml:space="preserve">Blank 2 — Correct: </w:t>
      </w:r>
      <w:r>
        <w:rPr>
          <w:rFonts w:ascii="Calibri" w:hAnsi="Calibri"/>
          <w:b/>
          <w:i w:val="0"/>
          <w:color w:val="101C4F"/>
          <w:sz w:val="20"/>
        </w:rPr>
        <w:t>sub-custodian</w:t>
      </w:r>
      <w:r>
        <w:rPr>
          <w:rFonts w:ascii="Calibri" w:hAnsi="Calibri"/>
          <w:b w:val="0"/>
          <w:i w:val="0"/>
          <w:color w:val="404040"/>
          <w:sz w:val="18"/>
        </w:rPr>
        <w:t xml:space="preserve">  |  Options: sub-custodian, prime broker, clearing member, market maker</w:t>
      </w:r>
    </w:p>
    <w:p>
      <w:pPr>
        <w:ind w:left="567"/>
      </w:pPr>
      <w:r>
        <w:rPr>
          <w:rFonts w:ascii="Calibri" w:hAnsi="Calibri"/>
          <w:b/>
          <w:i w:val="0"/>
          <w:color w:val="007A87"/>
          <w:sz w:val="20"/>
        </w:rPr>
        <w:t xml:space="preserve">Blank 3 — Correct: </w:t>
      </w:r>
      <w:r>
        <w:rPr>
          <w:rFonts w:ascii="Calibri" w:hAnsi="Calibri"/>
          <w:b/>
          <w:i w:val="0"/>
          <w:color w:val="101C4F"/>
          <w:sz w:val="20"/>
        </w:rPr>
        <w:t>dematerialised (demat)</w:t>
      </w:r>
      <w:r>
        <w:rPr>
          <w:rFonts w:ascii="Calibri" w:hAnsi="Calibri"/>
          <w:b w:val="0"/>
          <w:i w:val="0"/>
          <w:color w:val="404040"/>
          <w:sz w:val="18"/>
        </w:rPr>
        <w:t xml:space="preserve">  |  Options: dematerialised (demat), physical certificate, registered, bearer</w:t>
      </w:r>
    </w:p>
    <w:p>
      <w:pPr>
        <w:ind w:left="567"/>
      </w:pPr>
      <w:r>
        <w:rPr>
          <w:rFonts w:ascii="Calibri" w:hAnsi="Calibri"/>
          <w:b/>
          <w:i w:val="0"/>
          <w:color w:val="007A87"/>
          <w:sz w:val="20"/>
        </w:rPr>
        <w:t xml:space="preserve">Blank 4 — Correct: </w:t>
      </w:r>
      <w:r>
        <w:rPr>
          <w:rFonts w:ascii="Calibri" w:hAnsi="Calibri"/>
          <w:b/>
          <w:i w:val="0"/>
          <w:color w:val="101C4F"/>
          <w:sz w:val="20"/>
        </w:rPr>
        <w:t>nostro</w:t>
      </w:r>
      <w:r>
        <w:rPr>
          <w:rFonts w:ascii="Calibri" w:hAnsi="Calibri"/>
          <w:b w:val="0"/>
          <w:i w:val="0"/>
          <w:color w:val="404040"/>
          <w:sz w:val="18"/>
        </w:rPr>
        <w:t xml:space="preserve">  |  Options: nostro, vostro, depot, margin</w:t>
      </w:r>
    </w:p>
    <w:p>
      <w:pPr>
        <w:ind w:left="567"/>
      </w:pPr>
      <w:r>
        <w:rPr>
          <w:rFonts w:ascii="Calibri" w:hAnsi="Calibri"/>
          <w:b/>
          <w:i w:val="0"/>
          <w:color w:val="007A87"/>
          <w:sz w:val="20"/>
        </w:rPr>
        <w:t xml:space="preserve">Blank 5 — Correct: </w:t>
      </w:r>
      <w:r>
        <w:rPr>
          <w:rFonts w:ascii="Calibri" w:hAnsi="Calibri"/>
          <w:b/>
          <w:i w:val="0"/>
          <w:color w:val="101C4F"/>
          <w:sz w:val="20"/>
        </w:rPr>
        <w:t>omnibus</w:t>
      </w:r>
      <w:r>
        <w:rPr>
          <w:rFonts w:ascii="Calibri" w:hAnsi="Calibri"/>
          <w:b w:val="0"/>
          <w:i w:val="0"/>
          <w:color w:val="404040"/>
          <w:sz w:val="18"/>
        </w:rPr>
        <w:t xml:space="preserve">  |  Options: omnibus, segregated, client-specific, proprietary</w:t>
      </w:r>
    </w:p>
    <w:p/>
    <w:p>
      <w:r>
        <w:rPr>
          <w:rFonts w:ascii="Calibri" w:hAnsi="Calibri"/>
          <w:b/>
          <w:i w:val="0"/>
          <w:color w:val="007A87"/>
          <w:sz w:val="22"/>
        </w:rPr>
        <w:t xml:space="preserve">Q32. </w:t>
      </w:r>
      <w:r>
        <w:rPr>
          <w:rFonts w:ascii="Calibri" w:hAnsi="Calibri"/>
          <w:b/>
          <w:i w:val="0"/>
          <w:color w:val="F0A800"/>
          <w:sz w:val="18"/>
        </w:rPr>
        <w:t xml:space="preserve">[MATCHING]  </w:t>
      </w:r>
      <w:r>
        <w:rPr>
          <w:rFonts w:ascii="Calibri" w:hAnsi="Calibri"/>
          <w:b w:val="0"/>
          <w:i w:val="0"/>
          <w:sz w:val="22"/>
        </w:rPr>
        <w:t>Match each custody service to its description:</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Item</w:t>
            </w:r>
          </w:p>
        </w:tc>
        <w:tc>
          <w:tcPr>
            <w:tcW w:type="dxa" w:w="4986"/>
            <w:shd w:val="clear" w:color="auto" w:fill="007A87"/>
          </w:tcPr>
          <w:p>
            <w:r>
              <w:rPr>
                <w:rFonts w:ascii="Calibri" w:hAnsi="Calibri"/>
                <w:b/>
                <w:i w:val="0"/>
                <w:color w:val="FFFFFF"/>
                <w:sz w:val="20"/>
              </w:rPr>
              <w:t>Match</w:t>
            </w:r>
          </w:p>
        </w:tc>
      </w:tr>
      <w:tr>
        <w:tc>
          <w:tcPr>
            <w:tcW w:type="dxa" w:w="4986"/>
          </w:tcPr>
          <w:p>
            <w:r>
              <w:rPr>
                <w:sz w:val="20"/>
              </w:rPr>
              <w:t>Collecting dividends and distributing rights issue entitlements to client accounts</w:t>
            </w:r>
          </w:p>
        </w:tc>
        <w:tc>
          <w:tcPr>
            <w:tcW w:type="dxa" w:w="4986"/>
          </w:tcPr>
          <w:p>
            <w:r>
              <w:rPr>
                <w:rFonts w:ascii="Calibri" w:hAnsi="Calibri"/>
                <w:b/>
                <w:i w:val="0"/>
                <w:color w:val="101C4F"/>
                <w:sz w:val="20"/>
              </w:rPr>
              <w:t>Corporate actions processing</w:t>
            </w:r>
          </w:p>
        </w:tc>
      </w:tr>
      <w:tr>
        <w:tc>
          <w:tcPr>
            <w:tcW w:type="dxa" w:w="4986"/>
          </w:tcPr>
          <w:p>
            <w:r>
              <w:rPr>
                <w:sz w:val="20"/>
              </w:rPr>
              <w:t>Holding client equity shares in demat accounts at NSDL/CDSL, separate from the custodian's own assets</w:t>
            </w:r>
          </w:p>
        </w:tc>
        <w:tc>
          <w:tcPr>
            <w:tcW w:type="dxa" w:w="4986"/>
          </w:tcPr>
          <w:p>
            <w:r>
              <w:rPr>
                <w:rFonts w:ascii="Calibri" w:hAnsi="Calibri"/>
                <w:b/>
                <w:i w:val="0"/>
                <w:color w:val="101C4F"/>
                <w:sz w:val="20"/>
              </w:rPr>
              <w:t>Asset safekeeping (segregated accounts)</w:t>
            </w:r>
          </w:p>
        </w:tc>
      </w:tr>
      <w:tr>
        <w:tc>
          <w:tcPr>
            <w:tcW w:type="dxa" w:w="4986"/>
          </w:tcPr>
          <w:p>
            <w:r>
              <w:rPr>
                <w:sz w:val="20"/>
              </w:rPr>
              <w:t>Lending client securities to short sellers for a fee when the client is not trading</w:t>
            </w:r>
          </w:p>
        </w:tc>
        <w:tc>
          <w:tcPr>
            <w:tcW w:type="dxa" w:w="4986"/>
          </w:tcPr>
          <w:p>
            <w:r>
              <w:rPr>
                <w:rFonts w:ascii="Calibri" w:hAnsi="Calibri"/>
                <w:b/>
                <w:i w:val="0"/>
                <w:color w:val="101C4F"/>
                <w:sz w:val="20"/>
              </w:rPr>
              <w:t>Securities lending</w:t>
            </w:r>
          </w:p>
        </w:tc>
      </w:tr>
      <w:tr>
        <w:tc>
          <w:tcPr>
            <w:tcW w:type="dxa" w:w="4986"/>
          </w:tcPr>
          <w:p>
            <w:r>
              <w:rPr>
                <w:sz w:val="20"/>
              </w:rPr>
              <w:t>Calculating the daily NAV of a mutual fund and maintaining its accounting records</w:t>
            </w:r>
          </w:p>
        </w:tc>
        <w:tc>
          <w:tcPr>
            <w:tcW w:type="dxa" w:w="4986"/>
          </w:tcPr>
          <w:p>
            <w:r>
              <w:rPr>
                <w:rFonts w:ascii="Calibri" w:hAnsi="Calibri"/>
                <w:b/>
                <w:i w:val="0"/>
                <w:color w:val="101C4F"/>
                <w:sz w:val="20"/>
              </w:rPr>
              <w:t>Fund administration</w:t>
            </w:r>
          </w:p>
        </w:tc>
      </w:tr>
    </w:tbl>
    <w:p/>
    <w:p>
      <w:pPr>
        <w:shd w:val="clear" w:color="auto" w:fill="101C4F"/>
      </w:pPr>
      <w:r>
        <w:rPr>
          <w:rFonts w:ascii="Calibri" w:hAnsi="Calibri"/>
          <w:b/>
          <w:i w:val="0"/>
          <w:color w:val="FFFFFF"/>
          <w:sz w:val="24"/>
        </w:rPr>
        <w:t xml:space="preserve">  D2.9: Reconciliation</w:t>
      </w:r>
    </w:p>
    <w:p>
      <w:r>
        <w:rPr>
          <w:rFonts w:ascii="Calibri" w:hAnsi="Calibri"/>
          <w:b/>
          <w:i w:val="0"/>
          <w:color w:val="007A87"/>
          <w:sz w:val="22"/>
        </w:rPr>
        <w:t xml:space="preserve">Q33. </w:t>
      </w:r>
      <w:r>
        <w:rPr>
          <w:rFonts w:ascii="Calibri" w:hAnsi="Calibri"/>
          <w:b/>
          <w:i w:val="0"/>
          <w:color w:val="F0A800"/>
          <w:sz w:val="18"/>
        </w:rPr>
        <w:t xml:space="preserve">[MCQ_INLINE]  </w:t>
      </w:r>
      <w:r>
        <w:rPr>
          <w:rFonts w:ascii="Calibri" w:hAnsi="Calibri"/>
          <w:b w:val="0"/>
          <w:i w:val="0"/>
          <w:sz w:val="22"/>
        </w:rPr>
        <w:t>An operations analyst comparing the internal nostro mirror ledger against the JPMorgan bank statement finds a ₹2 crore debit in JPMorgan's statement that does not appear in the internal ledger. The payment was sent by the operations team yesterday afternoon — JPMorgan's statement has a value date of today. What type of break is this?</w:t>
      </w:r>
    </w:p>
    <w:p>
      <w:pPr>
        <w:pStyle w:val="ListBullet"/>
        <w:ind w:left="567"/>
      </w:pPr>
      <w:r>
        <w:rPr>
          <w:rFonts w:ascii="Calibri" w:hAnsi="Calibri"/>
          <w:b w:val="0"/>
          <w:i w:val="0"/>
          <w:sz w:val="20"/>
        </w:rPr>
        <w:t>A) Genuine error — the wrong amount was paid</w:t>
      </w:r>
    </w:p>
    <w:p>
      <w:pPr>
        <w:pStyle w:val="ListBullet"/>
        <w:ind w:left="567"/>
      </w:pPr>
      <w:r>
        <w:rPr>
          <w:rFonts w:ascii="Calibri" w:hAnsi="Calibri"/>
          <w:b w:val="0"/>
          <w:i w:val="0"/>
          <w:sz w:val="20"/>
        </w:rPr>
        <w:t>B) Timing difference — the payment was sent but not yet reflected due to value date</w:t>
      </w:r>
    </w:p>
    <w:p>
      <w:pPr>
        <w:pStyle w:val="ListBullet"/>
        <w:ind w:left="567"/>
      </w:pPr>
      <w:r>
        <w:rPr>
          <w:rFonts w:ascii="Calibri" w:hAnsi="Calibri"/>
          <w:b w:val="0"/>
          <w:i w:val="0"/>
          <w:sz w:val="20"/>
        </w:rPr>
        <w:t>C) Duplicate entry — the payment appears twice in the external statement</w:t>
      </w:r>
    </w:p>
    <w:p>
      <w:pPr>
        <w:pStyle w:val="ListBullet"/>
        <w:ind w:left="567"/>
      </w:pPr>
      <w:r>
        <w:rPr>
          <w:rFonts w:ascii="Calibri" w:hAnsi="Calibri"/>
          <w:b w:val="0"/>
          <w:i w:val="0"/>
          <w:sz w:val="20"/>
        </w:rPr>
        <w:t>D) Phantom transaction — an unauthorised payment was made</w:t>
      </w:r>
    </w:p>
    <w:p>
      <w:r>
        <w:rPr>
          <w:rFonts w:ascii="Calibri" w:hAnsi="Calibri"/>
          <w:b/>
          <w:i w:val="0"/>
          <w:color w:val="007A87"/>
          <w:sz w:val="20"/>
        </w:rPr>
        <w:t xml:space="preserve">Answer: </w:t>
      </w:r>
      <w:r>
        <w:rPr>
          <w:rFonts w:ascii="Calibri" w:hAnsi="Calibri"/>
          <w:b/>
          <w:i w:val="0"/>
          <w:color w:val="101C4F"/>
          <w:sz w:val="20"/>
        </w:rPr>
        <w:t>B</w:t>
      </w:r>
    </w:p>
    <w:p>
      <w:r>
        <w:rPr>
          <w:rFonts w:ascii="Calibri" w:hAnsi="Calibri"/>
          <w:b/>
          <w:i w:val="0"/>
          <w:color w:val="404040"/>
          <w:sz w:val="20"/>
        </w:rPr>
        <w:t xml:space="preserve">Explanation: </w:t>
      </w:r>
      <w:r>
        <w:rPr>
          <w:rFonts w:ascii="Calibri" w:hAnsi="Calibri"/>
          <w:b w:val="0"/>
          <w:i/>
          <w:color w:val="404040"/>
          <w:sz w:val="20"/>
        </w:rPr>
        <w:t>A timing difference break occurs when a transaction has been processed by one party but not yet appeared in the other party's records due to different value dates or processing cut-offs. Since the payment was sent yesterday but JPMorgan's value date is today, this is a timing difference — it will resolve automatically on the next reconciliation cycle.</w:t>
      </w:r>
    </w:p>
    <w:p/>
    <w:p>
      <w:r>
        <w:rPr>
          <w:rFonts w:ascii="Calibri" w:hAnsi="Calibri"/>
          <w:b/>
          <w:i w:val="0"/>
          <w:color w:val="007A87"/>
          <w:sz w:val="22"/>
        </w:rPr>
        <w:t xml:space="preserve">Q34. </w:t>
      </w:r>
      <w:r>
        <w:rPr>
          <w:rFonts w:ascii="Calibri" w:hAnsi="Calibri"/>
          <w:b/>
          <w:i w:val="0"/>
          <w:color w:val="F0A800"/>
          <w:sz w:val="18"/>
        </w:rPr>
        <w:t xml:space="preserve">[TRUE_FALSE_MULTI]  </w:t>
      </w:r>
      <w:r>
        <w:rPr>
          <w:rFonts w:ascii="Calibri" w:hAnsi="Calibri"/>
          <w:b w:val="0"/>
          <w:i w:val="0"/>
          <w:sz w:val="22"/>
        </w:rPr>
        <w:t>Evaluate these statements about reconciliation in operations. Mark TRUE or FALSE: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rFonts w:ascii="Calibri" w:hAnsi="Calibri"/>
                <w:b/>
                <w:i w:val="0"/>
                <w:color w:val="FFFFFF"/>
                <w:sz w:val="20"/>
              </w:rPr>
              <w:t>Statement</w:t>
            </w:r>
          </w:p>
        </w:tc>
        <w:tc>
          <w:tcPr>
            <w:tcW w:type="dxa" w:w="3324"/>
            <w:shd w:val="clear" w:color="auto" w:fill="101C4F"/>
          </w:tcPr>
          <w:p>
            <w:r>
              <w:rPr>
                <w:rFonts w:ascii="Calibri" w:hAnsi="Calibri"/>
                <w:b/>
                <w:i w:val="0"/>
                <w:color w:val="FFFFFF"/>
                <w:sz w:val="20"/>
              </w:rPr>
              <w:t>T / F</w:t>
            </w:r>
          </w:p>
        </w:tc>
        <w:tc>
          <w:tcPr>
            <w:tcW w:type="dxa" w:w="3324"/>
            <w:shd w:val="clear" w:color="auto" w:fill="101C4F"/>
          </w:tcPr>
          <w:p>
            <w:r>
              <w:rPr>
                <w:rFonts w:ascii="Calibri" w:hAnsi="Calibri"/>
                <w:b/>
                <w:i w:val="0"/>
                <w:color w:val="FFFFFF"/>
                <w:sz w:val="20"/>
              </w:rPr>
              <w:t>Explanation</w:t>
            </w:r>
          </w:p>
        </w:tc>
      </w:tr>
      <w:tr>
        <w:tc>
          <w:tcPr>
            <w:tcW w:type="dxa" w:w="3324"/>
          </w:tcPr>
          <w:p>
            <w:r>
              <w:rPr>
                <w:sz w:val="20"/>
              </w:rPr>
              <w:t>External reconciliation compares an institution's internal records against records held by a third party (e.g., custodian, NSDL).</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SEBI requires all registered brokers and custodians to reconcile client assets daily and provide annual certification.</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If an OTC MTM reconciliation break between two counterparties exceeds the MTA defined in the ISDA CSA, both parties should ignore it until month-end.</w:t>
            </w:r>
          </w:p>
        </w:tc>
        <w:tc>
          <w:tcPr>
            <w:tcW w:type="dxa" w:w="3324"/>
          </w:tcPr>
          <w:p>
            <w:pPr>
              <w:jc w:val="center"/>
            </w:pPr>
            <w:r>
              <w:rPr>
                <w:rFonts w:ascii="Calibri" w:hAnsi="Calibri"/>
                <w:b/>
                <w:i w:val="0"/>
                <w:color w:val="C02020"/>
                <w:sz w:val="20"/>
              </w:rPr>
              <w:t>FALSE</w:t>
            </w:r>
          </w:p>
        </w:tc>
        <w:tc>
          <w:tcPr>
            <w:tcW w:type="dxa" w:w="3324"/>
          </w:tcPr>
          <w:p>
            <w:r>
              <w:rPr>
                <w:sz w:val="18"/>
              </w:rPr>
              <w:t>if the MTM difference exceeds the MTA, the parties must dispute and resolve it promptly; unresolved disputes trigger ISDA dispute resolution procedures.</w:t>
            </w:r>
          </w:p>
        </w:tc>
      </w:tr>
      <w:tr>
        <w:tc>
          <w:tcPr>
            <w:tcW w:type="dxa" w:w="3324"/>
          </w:tcPr>
          <w:p>
            <w:r>
              <w:rPr>
                <w:sz w:val="20"/>
              </w:rPr>
              <w:t>Automated reconciliation systems like Intellimatch match transactions automatically and flag only exceptions for human review.</w:t>
            </w:r>
          </w:p>
        </w:tc>
        <w:tc>
          <w:tcPr>
            <w:tcW w:type="dxa" w:w="3324"/>
          </w:tcPr>
          <w:p>
            <w:pPr>
              <w:jc w:val="center"/>
            </w:pPr>
            <w:r>
              <w:rPr>
                <w:rFonts w:ascii="Calibri" w:hAnsi="Calibri"/>
                <w:b/>
                <w:i w:val="0"/>
                <w:color w:val="007A87"/>
                <w:sz w:val="20"/>
              </w:rPr>
              <w:t>TRUE</w:t>
            </w:r>
          </w:p>
        </w:tc>
        <w:tc>
          <w:tcPr>
            <w:tcW w:type="dxa" w:w="3324"/>
          </w:tcPr>
          <w:p>
            <w:r>
              <w:rPr>
                <w:sz w:val="18"/>
              </w:rPr>
            </w:r>
          </w:p>
        </w:tc>
      </w:tr>
    </w:tbl>
    <w:p/>
    <w:p>
      <w:r>
        <w:rPr>
          <w:rFonts w:ascii="Calibri" w:hAnsi="Calibri"/>
          <w:b/>
          <w:i w:val="0"/>
          <w:color w:val="007A87"/>
          <w:sz w:val="22"/>
        </w:rPr>
        <w:t xml:space="preserve">Q35. </w:t>
      </w:r>
      <w:r>
        <w:rPr>
          <w:rFonts w:ascii="Calibri" w:hAnsi="Calibri"/>
          <w:b/>
          <w:i w:val="0"/>
          <w:color w:val="F0A800"/>
          <w:sz w:val="18"/>
        </w:rPr>
        <w:t xml:space="preserve">[GAP_FILL]  </w:t>
      </w:r>
      <w:r>
        <w:rPr>
          <w:rFonts w:ascii="Calibri" w:hAnsi="Calibri"/>
          <w:b w:val="0"/>
          <w:i w:val="0"/>
          <w:sz w:val="22"/>
        </w:rPr>
        <w:t>Complete the reconciliation workflow: the nostro recon team receives the bank statement via [___] message MT940 from the correspondent bank. They compare it to the internal [___] ledger. Differences are called [___]. Breaks caused by a trade that settled internally but not yet at NSDL are [___] differences. The target resolution time for most breaks is [___] business days.</w:t>
      </w:r>
    </w:p>
    <w:p>
      <w:r>
        <w:rPr>
          <w:rFonts w:ascii="Calibri" w:hAnsi="Calibri"/>
          <w:b/>
          <w:i w:val="0"/>
          <w:color w:val="007A87"/>
          <w:sz w:val="20"/>
        </w:rPr>
        <w:t xml:space="preserve">Select from dropdowns: </w:t>
      </w:r>
    </w:p>
    <w:p>
      <w:pPr>
        <w:ind w:left="567"/>
      </w:pPr>
      <w:r>
        <w:rPr>
          <w:rFonts w:ascii="Calibri" w:hAnsi="Calibri"/>
          <w:b/>
          <w:i w:val="0"/>
          <w:color w:val="007A87"/>
          <w:sz w:val="20"/>
        </w:rPr>
        <w:t xml:space="preserve">Blank 1 — Correct: </w:t>
      </w:r>
      <w:r>
        <w:rPr>
          <w:rFonts w:ascii="Calibri" w:hAnsi="Calibri"/>
          <w:b/>
          <w:i w:val="0"/>
          <w:color w:val="101C4F"/>
          <w:sz w:val="20"/>
        </w:rPr>
        <w:t>SWIFT</w:t>
      </w:r>
      <w:r>
        <w:rPr>
          <w:rFonts w:ascii="Calibri" w:hAnsi="Calibri"/>
          <w:b w:val="0"/>
          <w:i w:val="0"/>
          <w:color w:val="404040"/>
          <w:sz w:val="18"/>
        </w:rPr>
        <w:t xml:space="preserve">  |  Options: SWIFT, Bloomberg, RTGS, FIX</w:t>
      </w:r>
    </w:p>
    <w:p>
      <w:pPr>
        <w:ind w:left="567"/>
      </w:pPr>
      <w:r>
        <w:rPr>
          <w:rFonts w:ascii="Calibri" w:hAnsi="Calibri"/>
          <w:b/>
          <w:i w:val="0"/>
          <w:color w:val="007A87"/>
          <w:sz w:val="20"/>
        </w:rPr>
        <w:t xml:space="preserve">Blank 2 — Correct: </w:t>
      </w:r>
      <w:r>
        <w:rPr>
          <w:rFonts w:ascii="Calibri" w:hAnsi="Calibri"/>
          <w:b/>
          <w:i w:val="0"/>
          <w:color w:val="101C4F"/>
          <w:sz w:val="20"/>
        </w:rPr>
        <w:t>nostro mirror</w:t>
      </w:r>
      <w:r>
        <w:rPr>
          <w:rFonts w:ascii="Calibri" w:hAnsi="Calibri"/>
          <w:b w:val="0"/>
          <w:i w:val="0"/>
          <w:color w:val="404040"/>
          <w:sz w:val="18"/>
        </w:rPr>
        <w:t xml:space="preserve">  |  Options: nostro mirror, general ledger, trading system, OMS</w:t>
      </w:r>
    </w:p>
    <w:p>
      <w:pPr>
        <w:ind w:left="567"/>
      </w:pPr>
      <w:r>
        <w:rPr>
          <w:rFonts w:ascii="Calibri" w:hAnsi="Calibri"/>
          <w:b/>
          <w:i w:val="0"/>
          <w:color w:val="007A87"/>
          <w:sz w:val="20"/>
        </w:rPr>
        <w:t xml:space="preserve">Blank 3 — Correct: </w:t>
      </w:r>
      <w:r>
        <w:rPr>
          <w:rFonts w:ascii="Calibri" w:hAnsi="Calibri"/>
          <w:b/>
          <w:i w:val="0"/>
          <w:color w:val="101C4F"/>
          <w:sz w:val="20"/>
        </w:rPr>
        <w:t>breaks</w:t>
      </w:r>
      <w:r>
        <w:rPr>
          <w:rFonts w:ascii="Calibri" w:hAnsi="Calibri"/>
          <w:b w:val="0"/>
          <w:i w:val="0"/>
          <w:color w:val="404040"/>
          <w:sz w:val="18"/>
        </w:rPr>
        <w:t xml:space="preserve">  |  Options: breaks, errors, exceptions, failures</w:t>
      </w:r>
    </w:p>
    <w:p>
      <w:pPr>
        <w:ind w:left="567"/>
      </w:pPr>
      <w:r>
        <w:rPr>
          <w:rFonts w:ascii="Calibri" w:hAnsi="Calibri"/>
          <w:b/>
          <w:i w:val="0"/>
          <w:color w:val="007A87"/>
          <w:sz w:val="20"/>
        </w:rPr>
        <w:t xml:space="preserve">Blank 4 — Correct: </w:t>
      </w:r>
      <w:r>
        <w:rPr>
          <w:rFonts w:ascii="Calibri" w:hAnsi="Calibri"/>
          <w:b/>
          <w:i w:val="0"/>
          <w:color w:val="101C4F"/>
          <w:sz w:val="20"/>
        </w:rPr>
        <w:t>timing</w:t>
      </w:r>
      <w:r>
        <w:rPr>
          <w:rFonts w:ascii="Calibri" w:hAnsi="Calibri"/>
          <w:b w:val="0"/>
          <w:i w:val="0"/>
          <w:color w:val="404040"/>
          <w:sz w:val="18"/>
        </w:rPr>
        <w:t xml:space="preserve">  |  Options: timing, genuine, duplicate, phantom</w:t>
      </w:r>
    </w:p>
    <w:p>
      <w:pPr>
        <w:ind w:left="567"/>
      </w:pPr>
      <w:r>
        <w:rPr>
          <w:rFonts w:ascii="Calibri" w:hAnsi="Calibri"/>
          <w:b/>
          <w:i w:val="0"/>
          <w:color w:val="007A87"/>
          <w:sz w:val="20"/>
        </w:rPr>
        <w:t xml:space="preserve">Blank 5 — Correct: </w:t>
      </w:r>
      <w:r>
        <w:rPr>
          <w:rFonts w:ascii="Calibri" w:hAnsi="Calibri"/>
          <w:b/>
          <w:i w:val="0"/>
          <w:color w:val="101C4F"/>
          <w:sz w:val="20"/>
        </w:rPr>
        <w:t>2</w:t>
      </w:r>
      <w:r>
        <w:rPr>
          <w:rFonts w:ascii="Calibri" w:hAnsi="Calibri"/>
          <w:b w:val="0"/>
          <w:i w:val="0"/>
          <w:color w:val="404040"/>
          <w:sz w:val="18"/>
        </w:rPr>
        <w:t xml:space="preserve">  |  Options: 2, 5, 10, 1</w:t>
      </w:r>
    </w:p>
    <w:p/>
    <w:p>
      <w:r>
        <w:rPr>
          <w:rFonts w:ascii="Calibri" w:hAnsi="Calibri"/>
          <w:b/>
          <w:i w:val="0"/>
          <w:color w:val="007A87"/>
          <w:sz w:val="22"/>
        </w:rPr>
        <w:t xml:space="preserve">Q36. </w:t>
      </w:r>
      <w:r>
        <w:rPr>
          <w:rFonts w:ascii="Calibri" w:hAnsi="Calibri"/>
          <w:b/>
          <w:i w:val="0"/>
          <w:color w:val="F0A800"/>
          <w:sz w:val="18"/>
        </w:rPr>
        <w:t xml:space="preserve">[MATCHING]  </w:t>
      </w:r>
      <w:r>
        <w:rPr>
          <w:rFonts w:ascii="Calibri" w:hAnsi="Calibri"/>
          <w:b w:val="0"/>
          <w:i w:val="0"/>
          <w:sz w:val="22"/>
        </w:rPr>
        <w:t>Match each reconciliation type to its description:</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Item</w:t>
            </w:r>
          </w:p>
        </w:tc>
        <w:tc>
          <w:tcPr>
            <w:tcW w:type="dxa" w:w="4986"/>
            <w:shd w:val="clear" w:color="auto" w:fill="007A87"/>
          </w:tcPr>
          <w:p>
            <w:r>
              <w:rPr>
                <w:rFonts w:ascii="Calibri" w:hAnsi="Calibri"/>
                <w:b/>
                <w:i w:val="0"/>
                <w:color w:val="FFFFFF"/>
                <w:sz w:val="20"/>
              </w:rPr>
              <w:t>Match</w:t>
            </w:r>
          </w:p>
        </w:tc>
      </w:tr>
      <w:tr>
        <w:tc>
          <w:tcPr>
            <w:tcW w:type="dxa" w:w="4986"/>
          </w:tcPr>
          <w:p>
            <w:r>
              <w:rPr>
                <w:sz w:val="20"/>
              </w:rPr>
              <w:t>Comparing the sub-custodian's NSDL statement against the sub-custodian's internal client position records</w:t>
            </w:r>
          </w:p>
        </w:tc>
        <w:tc>
          <w:tcPr>
            <w:tcW w:type="dxa" w:w="4986"/>
          </w:tcPr>
          <w:p>
            <w:r>
              <w:rPr>
                <w:rFonts w:ascii="Calibri" w:hAnsi="Calibri"/>
                <w:b/>
                <w:i w:val="0"/>
                <w:color w:val="101C4F"/>
                <w:sz w:val="20"/>
              </w:rPr>
              <w:t>External depot reconciliation</w:t>
            </w:r>
          </w:p>
        </w:tc>
      </w:tr>
      <w:tr>
        <w:tc>
          <w:tcPr>
            <w:tcW w:type="dxa" w:w="4986"/>
          </w:tcPr>
          <w:p>
            <w:r>
              <w:rPr>
                <w:sz w:val="20"/>
              </w:rPr>
              <w:t>Comparing the trading system's executed trade file against NSE's official trade confirmation file</w:t>
            </w:r>
          </w:p>
        </w:tc>
        <w:tc>
          <w:tcPr>
            <w:tcW w:type="dxa" w:w="4986"/>
          </w:tcPr>
          <w:p>
            <w:r>
              <w:rPr>
                <w:rFonts w:ascii="Calibri" w:hAnsi="Calibri"/>
                <w:b/>
                <w:i w:val="0"/>
                <w:color w:val="101C4F"/>
                <w:sz w:val="20"/>
              </w:rPr>
              <w:t>Exchange reconciliation (ETD trade-level recon)</w:t>
            </w:r>
          </w:p>
        </w:tc>
      </w:tr>
      <w:tr>
        <w:tc>
          <w:tcPr>
            <w:tcW w:type="dxa" w:w="4986"/>
          </w:tcPr>
          <w:p>
            <w:r>
              <w:rPr>
                <w:sz w:val="20"/>
              </w:rPr>
              <w:t>Comparing HDFC Bank's valuation of an IRS at +₹8.2 crore against Citi's valuation of +₹7.9 crore under the ISDA CSA</w:t>
            </w:r>
          </w:p>
        </w:tc>
        <w:tc>
          <w:tcPr>
            <w:tcW w:type="dxa" w:w="4986"/>
          </w:tcPr>
          <w:p>
            <w:r>
              <w:rPr>
                <w:rFonts w:ascii="Calibri" w:hAnsi="Calibri"/>
                <w:b/>
                <w:i w:val="0"/>
                <w:color w:val="101C4F"/>
                <w:sz w:val="20"/>
              </w:rPr>
              <w:t>OTC MTM reconciliation (bilateral)</w:t>
            </w:r>
          </w:p>
        </w:tc>
      </w:tr>
      <w:tr>
        <w:tc>
          <w:tcPr>
            <w:tcW w:type="dxa" w:w="4986"/>
          </w:tcPr>
          <w:p>
            <w:r>
              <w:rPr>
                <w:sz w:val="20"/>
              </w:rPr>
              <w:t>Comparing the front office OMS position against the back office accounting system position</w:t>
            </w:r>
          </w:p>
        </w:tc>
        <w:tc>
          <w:tcPr>
            <w:tcW w:type="dxa" w:w="4986"/>
          </w:tcPr>
          <w:p>
            <w:r>
              <w:rPr>
                <w:rFonts w:ascii="Calibri" w:hAnsi="Calibri"/>
                <w:b/>
                <w:i w:val="0"/>
                <w:color w:val="101C4F"/>
                <w:sz w:val="20"/>
              </w:rPr>
              <w:t>Internal (intra-company) position reconciliation</w:t>
            </w:r>
          </w:p>
        </w:tc>
      </w:tr>
    </w:tbl>
    <w:p/>
    <w:p>
      <w:pPr>
        <w:shd w:val="clear" w:color="auto" w:fill="101C4F"/>
      </w:pPr>
      <w:r>
        <w:rPr>
          <w:rFonts w:ascii="Calibri" w:hAnsi="Calibri"/>
          <w:b/>
          <w:i w:val="0"/>
          <w:color w:val="FFFFFF"/>
          <w:sz w:val="24"/>
        </w:rPr>
        <w:t xml:space="preserve">  D2.10: Loan Syndication and Lending Operations</w:t>
      </w:r>
    </w:p>
    <w:p>
      <w:r>
        <w:rPr>
          <w:rFonts w:ascii="Calibri" w:hAnsi="Calibri"/>
          <w:b/>
          <w:i w:val="0"/>
          <w:color w:val="007A87"/>
          <w:sz w:val="22"/>
        </w:rPr>
        <w:t xml:space="preserve">Q37. </w:t>
      </w:r>
      <w:r>
        <w:rPr>
          <w:rFonts w:ascii="Calibri" w:hAnsi="Calibri"/>
          <w:b/>
          <w:i w:val="0"/>
          <w:color w:val="F0A800"/>
          <w:sz w:val="18"/>
        </w:rPr>
        <w:t xml:space="preserve">[MCQ_INLINE]  </w:t>
      </w:r>
      <w:r>
        <w:rPr>
          <w:rFonts w:ascii="Calibri" w:hAnsi="Calibri"/>
          <w:b w:val="0"/>
          <w:i w:val="0"/>
          <w:sz w:val="22"/>
        </w:rPr>
        <w:t>In a loan syndication, which participant is responsible for administering all ongoing cash flows after the loan closes — collecting interest from the borrower, distributing principal repayments to lenders, and monitoring covenant compliance?</w:t>
      </w:r>
    </w:p>
    <w:p>
      <w:pPr>
        <w:pStyle w:val="ListBullet"/>
        <w:ind w:left="567"/>
      </w:pPr>
      <w:r>
        <w:rPr>
          <w:rFonts w:ascii="Calibri" w:hAnsi="Calibri"/>
          <w:b w:val="0"/>
          <w:i w:val="0"/>
          <w:sz w:val="20"/>
        </w:rPr>
        <w:t>A) The Mandated Lead Arranger (MLA)</w:t>
      </w:r>
    </w:p>
    <w:p>
      <w:pPr>
        <w:pStyle w:val="ListBullet"/>
        <w:ind w:left="567"/>
      </w:pPr>
      <w:r>
        <w:rPr>
          <w:rFonts w:ascii="Calibri" w:hAnsi="Calibri"/>
          <w:b w:val="0"/>
          <w:i w:val="0"/>
          <w:sz w:val="20"/>
        </w:rPr>
        <w:t>B) The Security Trustee</w:t>
      </w:r>
    </w:p>
    <w:p>
      <w:pPr>
        <w:pStyle w:val="ListBullet"/>
        <w:ind w:left="567"/>
      </w:pPr>
      <w:r>
        <w:rPr>
          <w:rFonts w:ascii="Calibri" w:hAnsi="Calibri"/>
          <w:b w:val="0"/>
          <w:i w:val="0"/>
          <w:sz w:val="20"/>
        </w:rPr>
        <w:t>C) The Agent Bank</w:t>
      </w:r>
    </w:p>
    <w:p>
      <w:pPr>
        <w:pStyle w:val="ListBullet"/>
        <w:ind w:left="567"/>
      </w:pPr>
      <w:r>
        <w:rPr>
          <w:rFonts w:ascii="Calibri" w:hAnsi="Calibri"/>
          <w:b w:val="0"/>
          <w:i w:val="0"/>
          <w:sz w:val="20"/>
        </w:rPr>
        <w:t>D) The largest syndicate lender by participation amount</w:t>
      </w:r>
    </w:p>
    <w:p>
      <w:r>
        <w:rPr>
          <w:rFonts w:ascii="Calibri" w:hAnsi="Calibri"/>
          <w:b/>
          <w:i w:val="0"/>
          <w:color w:val="007A87"/>
          <w:sz w:val="20"/>
        </w:rPr>
        <w:t xml:space="preserve">Answer: </w:t>
      </w:r>
      <w:r>
        <w:rPr>
          <w:rFonts w:ascii="Calibri" w:hAnsi="Calibri"/>
          <w:b/>
          <w:i w:val="0"/>
          <w:color w:val="101C4F"/>
          <w:sz w:val="20"/>
        </w:rPr>
        <w:t>C</w:t>
      </w:r>
    </w:p>
    <w:p>
      <w:r>
        <w:rPr>
          <w:rFonts w:ascii="Calibri" w:hAnsi="Calibri"/>
          <w:b/>
          <w:i w:val="0"/>
          <w:color w:val="404040"/>
          <w:sz w:val="20"/>
        </w:rPr>
        <w:t xml:space="preserve">Explanation: </w:t>
      </w:r>
      <w:r>
        <w:rPr>
          <w:rFonts w:ascii="Calibri" w:hAnsi="Calibri"/>
          <w:b w:val="0"/>
          <w:i/>
          <w:color w:val="404040"/>
          <w:sz w:val="20"/>
        </w:rPr>
        <w:t>The Agent Bank administers the loan throughout its life: receiving borrower payments, distributing to syndicate lenders, processing drawdown notices, monitoring covenants, and maintaining the syndicate register. The MLA's role is primarily in structuring and selling the syndication; its administrative role ends at closing.</w:t>
      </w:r>
    </w:p>
    <w:p/>
    <w:p>
      <w:r>
        <w:rPr>
          <w:rFonts w:ascii="Calibri" w:hAnsi="Calibri"/>
          <w:b/>
          <w:i w:val="0"/>
          <w:color w:val="007A87"/>
          <w:sz w:val="22"/>
        </w:rPr>
        <w:t xml:space="preserve">Q38. </w:t>
      </w:r>
      <w:r>
        <w:rPr>
          <w:rFonts w:ascii="Calibri" w:hAnsi="Calibri"/>
          <w:b/>
          <w:i w:val="0"/>
          <w:color w:val="F0A800"/>
          <w:sz w:val="18"/>
        </w:rPr>
        <w:t xml:space="preserve">[TRUE_FALSE_MULTI]  </w:t>
      </w:r>
      <w:r>
        <w:rPr>
          <w:rFonts w:ascii="Calibri" w:hAnsi="Calibri"/>
          <w:b w:val="0"/>
          <w:i w:val="0"/>
          <w:sz w:val="22"/>
        </w:rPr>
        <w:t>Evaluate these statements about loan syndication. Mark TRUE or FALSE: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rFonts w:ascii="Calibri" w:hAnsi="Calibri"/>
                <w:b/>
                <w:i w:val="0"/>
                <w:color w:val="FFFFFF"/>
                <w:sz w:val="20"/>
              </w:rPr>
              <w:t>Statement</w:t>
            </w:r>
          </w:p>
        </w:tc>
        <w:tc>
          <w:tcPr>
            <w:tcW w:type="dxa" w:w="3324"/>
            <w:shd w:val="clear" w:color="auto" w:fill="101C4F"/>
          </w:tcPr>
          <w:p>
            <w:r>
              <w:rPr>
                <w:rFonts w:ascii="Calibri" w:hAnsi="Calibri"/>
                <w:b/>
                <w:i w:val="0"/>
                <w:color w:val="FFFFFF"/>
                <w:sz w:val="20"/>
              </w:rPr>
              <w:t>T / F</w:t>
            </w:r>
          </w:p>
        </w:tc>
        <w:tc>
          <w:tcPr>
            <w:tcW w:type="dxa" w:w="3324"/>
            <w:shd w:val="clear" w:color="auto" w:fill="101C4F"/>
          </w:tcPr>
          <w:p>
            <w:r>
              <w:rPr>
                <w:rFonts w:ascii="Calibri" w:hAnsi="Calibri"/>
                <w:b/>
                <w:i w:val="0"/>
                <w:color w:val="FFFFFF"/>
                <w:sz w:val="20"/>
              </w:rPr>
              <w:t>Explanation</w:t>
            </w:r>
          </w:p>
        </w:tc>
      </w:tr>
      <w:tr>
        <w:tc>
          <w:tcPr>
            <w:tcW w:type="dxa" w:w="3324"/>
          </w:tcPr>
          <w:p>
            <w:r>
              <w:rPr>
                <w:sz w:val="20"/>
              </w:rPr>
              <w:t>A bilateral loan and a syndicated loan both provide credit to a borrower — the key difference is that a syndicated loan is provided by multiple lenders.</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ClearPar is a technology platform used for processing syndicated loan settlements, particularly for participation transfers in the secondary market.</w:t>
            </w:r>
          </w:p>
        </w:tc>
        <w:tc>
          <w:tcPr>
            <w:tcW w:type="dxa" w:w="3324"/>
          </w:tcPr>
          <w:p>
            <w:pPr>
              <w:jc w:val="center"/>
            </w:pPr>
            <w:r>
              <w:rPr>
                <w:rFonts w:ascii="Calibri" w:hAnsi="Calibri"/>
                <w:b/>
                <w:i w:val="0"/>
                <w:color w:val="007A87"/>
                <w:sz w:val="20"/>
              </w:rPr>
              <w:t>TRUE</w:t>
            </w:r>
          </w:p>
        </w:tc>
        <w:tc>
          <w:tcPr>
            <w:tcW w:type="dxa" w:w="3324"/>
          </w:tcPr>
          <w:p>
            <w:r>
              <w:rPr>
                <w:sz w:val="18"/>
              </w:rPr>
            </w:r>
          </w:p>
        </w:tc>
      </w:tr>
      <w:tr>
        <w:tc>
          <w:tcPr>
            <w:tcW w:type="dxa" w:w="3324"/>
          </w:tcPr>
          <w:p>
            <w:r>
              <w:rPr>
                <w:sz w:val="20"/>
              </w:rPr>
              <w:t>A Revolving Credit Facility (RCF) can only be drawn once — it cannot be repaid and redrawn.</w:t>
            </w:r>
          </w:p>
        </w:tc>
        <w:tc>
          <w:tcPr>
            <w:tcW w:type="dxa" w:w="3324"/>
          </w:tcPr>
          <w:p>
            <w:pPr>
              <w:jc w:val="center"/>
            </w:pPr>
            <w:r>
              <w:rPr>
                <w:rFonts w:ascii="Calibri" w:hAnsi="Calibri"/>
                <w:b/>
                <w:i w:val="0"/>
                <w:color w:val="C02020"/>
                <w:sz w:val="20"/>
              </w:rPr>
              <w:t>FALSE</w:t>
            </w:r>
          </w:p>
        </w:tc>
        <w:tc>
          <w:tcPr>
            <w:tcW w:type="dxa" w:w="3324"/>
          </w:tcPr>
          <w:p>
            <w:r>
              <w:rPr>
                <w:sz w:val="18"/>
              </w:rPr>
              <w:t>an RCF is a revolving facility that can be drawn, repaid, and redrawn repeatedly up to the facility limit.</w:t>
            </w:r>
          </w:p>
        </w:tc>
      </w:tr>
      <w:tr>
        <w:tc>
          <w:tcPr>
            <w:tcW w:type="dxa" w:w="3324"/>
          </w:tcPr>
          <w:p>
            <w:r>
              <w:rPr>
                <w:sz w:val="20"/>
              </w:rPr>
              <w:t>Under India's ECB framework, all ECBs with maturity up to 5 years must be fully hedged against exchange rate risk.</w:t>
            </w:r>
          </w:p>
        </w:tc>
        <w:tc>
          <w:tcPr>
            <w:tcW w:type="dxa" w:w="3324"/>
          </w:tcPr>
          <w:p>
            <w:pPr>
              <w:jc w:val="center"/>
            </w:pPr>
            <w:r>
              <w:rPr>
                <w:rFonts w:ascii="Calibri" w:hAnsi="Calibri"/>
                <w:b/>
                <w:i w:val="0"/>
                <w:color w:val="007A87"/>
                <w:sz w:val="20"/>
              </w:rPr>
              <w:t>TRUE</w:t>
            </w:r>
          </w:p>
        </w:tc>
        <w:tc>
          <w:tcPr>
            <w:tcW w:type="dxa" w:w="3324"/>
          </w:tcPr>
          <w:p>
            <w:r>
              <w:rPr>
                <w:sz w:val="18"/>
              </w:rPr>
            </w:r>
          </w:p>
        </w:tc>
      </w:tr>
    </w:tbl>
    <w:p/>
    <w:p>
      <w:r>
        <w:rPr>
          <w:rFonts w:ascii="Calibri" w:hAnsi="Calibri"/>
          <w:b/>
          <w:i w:val="0"/>
          <w:color w:val="007A87"/>
          <w:sz w:val="22"/>
        </w:rPr>
        <w:t xml:space="preserve">Q39. </w:t>
      </w:r>
      <w:r>
        <w:rPr>
          <w:rFonts w:ascii="Calibri" w:hAnsi="Calibri"/>
          <w:b/>
          <w:i w:val="0"/>
          <w:color w:val="F0A800"/>
          <w:sz w:val="18"/>
        </w:rPr>
        <w:t xml:space="preserve">[GAP_FILL]  </w:t>
      </w:r>
      <w:r>
        <w:rPr>
          <w:rFonts w:ascii="Calibri" w:hAnsi="Calibri"/>
          <w:b w:val="0"/>
          <w:i w:val="0"/>
          <w:sz w:val="22"/>
        </w:rPr>
        <w:t>In a syndicated loan, the bank that structures and markets the loan to other banks is the [___]. The financial analysis document sent to potential syndicate banks describing the borrower and loan terms is the [___]. After closing, quarterly interest is calculated as: Rate × Outstanding Principal × [___]. If the borrower's Debt Service Coverage Ratio falls below the minimum covenant, the Agent Bank notifies lenders — potentially triggering a [___] or event of default. The technology platform used for loan participation transfers is [___].</w:t>
      </w:r>
    </w:p>
    <w:p>
      <w:r>
        <w:rPr>
          <w:rFonts w:ascii="Calibri" w:hAnsi="Calibri"/>
          <w:b/>
          <w:i w:val="0"/>
          <w:color w:val="007A87"/>
          <w:sz w:val="20"/>
        </w:rPr>
        <w:t xml:space="preserve">Select from dropdowns: </w:t>
      </w:r>
    </w:p>
    <w:p>
      <w:pPr>
        <w:ind w:left="567"/>
      </w:pPr>
      <w:r>
        <w:rPr>
          <w:rFonts w:ascii="Calibri" w:hAnsi="Calibri"/>
          <w:b/>
          <w:i w:val="0"/>
          <w:color w:val="007A87"/>
          <w:sz w:val="20"/>
        </w:rPr>
        <w:t xml:space="preserve">Blank 1 — Correct: </w:t>
      </w:r>
      <w:r>
        <w:rPr>
          <w:rFonts w:ascii="Calibri" w:hAnsi="Calibri"/>
          <w:b/>
          <w:i w:val="0"/>
          <w:color w:val="101C4F"/>
          <w:sz w:val="20"/>
        </w:rPr>
        <w:t>Mandated Lead Arranger (MLA)</w:t>
      </w:r>
      <w:r>
        <w:rPr>
          <w:rFonts w:ascii="Calibri" w:hAnsi="Calibri"/>
          <w:b w:val="0"/>
          <w:i w:val="0"/>
          <w:color w:val="404040"/>
          <w:sz w:val="18"/>
        </w:rPr>
        <w:t xml:space="preserve">  |  Options: Mandated Lead Arranger (MLA), Agent Bank, Security Trustee, Sub-participant</w:t>
      </w:r>
    </w:p>
    <w:p>
      <w:pPr>
        <w:ind w:left="567"/>
      </w:pPr>
      <w:r>
        <w:rPr>
          <w:rFonts w:ascii="Calibri" w:hAnsi="Calibri"/>
          <w:b/>
          <w:i w:val="0"/>
          <w:color w:val="007A87"/>
          <w:sz w:val="20"/>
        </w:rPr>
        <w:t xml:space="preserve">Blank 2 — Correct: </w:t>
      </w:r>
      <w:r>
        <w:rPr>
          <w:rFonts w:ascii="Calibri" w:hAnsi="Calibri"/>
          <w:b/>
          <w:i w:val="0"/>
          <w:color w:val="101C4F"/>
          <w:sz w:val="20"/>
        </w:rPr>
        <w:t>Information Memorandum (IM)</w:t>
      </w:r>
      <w:r>
        <w:rPr>
          <w:rFonts w:ascii="Calibri" w:hAnsi="Calibri"/>
          <w:b w:val="0"/>
          <w:i w:val="0"/>
          <w:color w:val="404040"/>
          <w:sz w:val="18"/>
        </w:rPr>
        <w:t xml:space="preserve">  |  Options: Information Memorandum (IM), Term sheet, Loan agreement, Credit memo</w:t>
      </w:r>
    </w:p>
    <w:p>
      <w:pPr>
        <w:ind w:left="567"/>
      </w:pPr>
      <w:r>
        <w:rPr>
          <w:rFonts w:ascii="Calibri" w:hAnsi="Calibri"/>
          <w:b/>
          <w:i w:val="0"/>
          <w:color w:val="007A87"/>
          <w:sz w:val="20"/>
        </w:rPr>
        <w:t xml:space="preserve">Blank 3 — Correct: </w:t>
      </w:r>
      <w:r>
        <w:rPr>
          <w:rFonts w:ascii="Calibri" w:hAnsi="Calibri"/>
          <w:b/>
          <w:i w:val="0"/>
          <w:color w:val="101C4F"/>
          <w:sz w:val="20"/>
        </w:rPr>
        <w:t>Days/365</w:t>
      </w:r>
      <w:r>
        <w:rPr>
          <w:rFonts w:ascii="Calibri" w:hAnsi="Calibri"/>
          <w:b w:val="0"/>
          <w:i w:val="0"/>
          <w:color w:val="404040"/>
          <w:sz w:val="18"/>
        </w:rPr>
        <w:t xml:space="preserve">  |  Options: Days/365, Days/360, Months/12, Quarters/4</w:t>
      </w:r>
    </w:p>
    <w:p>
      <w:pPr>
        <w:ind w:left="567"/>
      </w:pPr>
      <w:r>
        <w:rPr>
          <w:rFonts w:ascii="Calibri" w:hAnsi="Calibri"/>
          <w:b/>
          <w:i w:val="0"/>
          <w:color w:val="007A87"/>
          <w:sz w:val="20"/>
        </w:rPr>
        <w:t xml:space="preserve">Blank 4 — Correct: </w:t>
      </w:r>
      <w:r>
        <w:rPr>
          <w:rFonts w:ascii="Calibri" w:hAnsi="Calibri"/>
          <w:b/>
          <w:i w:val="0"/>
          <w:color w:val="101C4F"/>
          <w:sz w:val="20"/>
        </w:rPr>
        <w:t>waiver</w:t>
      </w:r>
      <w:r>
        <w:rPr>
          <w:rFonts w:ascii="Calibri" w:hAnsi="Calibri"/>
          <w:b w:val="0"/>
          <w:i w:val="0"/>
          <w:color w:val="404040"/>
          <w:sz w:val="18"/>
        </w:rPr>
        <w:t xml:space="preserve">  |  Options: waiver, drawdown, prepayment, acceleration</w:t>
      </w:r>
    </w:p>
    <w:p>
      <w:pPr>
        <w:ind w:left="567"/>
      </w:pPr>
      <w:r>
        <w:rPr>
          <w:rFonts w:ascii="Calibri" w:hAnsi="Calibri"/>
          <w:b/>
          <w:i w:val="0"/>
          <w:color w:val="007A87"/>
          <w:sz w:val="20"/>
        </w:rPr>
        <w:t xml:space="preserve">Blank 5 — Correct: </w:t>
      </w:r>
      <w:r>
        <w:rPr>
          <w:rFonts w:ascii="Calibri" w:hAnsi="Calibri"/>
          <w:b/>
          <w:i w:val="0"/>
          <w:color w:val="101C4F"/>
          <w:sz w:val="20"/>
        </w:rPr>
        <w:t>ClearPar</w:t>
      </w:r>
      <w:r>
        <w:rPr>
          <w:rFonts w:ascii="Calibri" w:hAnsi="Calibri"/>
          <w:b w:val="0"/>
          <w:i w:val="0"/>
          <w:color w:val="404040"/>
          <w:sz w:val="18"/>
        </w:rPr>
        <w:t xml:space="preserve">  |  Options: ClearPar, Bloomberg, SWIFT, Murex</w:t>
      </w:r>
    </w:p>
    <w:p/>
    <w:p>
      <w:r>
        <w:rPr>
          <w:rFonts w:ascii="Calibri" w:hAnsi="Calibri"/>
          <w:b/>
          <w:i w:val="0"/>
          <w:color w:val="007A87"/>
          <w:sz w:val="22"/>
        </w:rPr>
        <w:t xml:space="preserve">Q40. </w:t>
      </w:r>
      <w:r>
        <w:rPr>
          <w:rFonts w:ascii="Calibri" w:hAnsi="Calibri"/>
          <w:b/>
          <w:i w:val="0"/>
          <w:color w:val="F0A800"/>
          <w:sz w:val="18"/>
        </w:rPr>
        <w:t xml:space="preserve">[MATCHING]  </w:t>
      </w:r>
      <w:r>
        <w:rPr>
          <w:rFonts w:ascii="Calibri" w:hAnsi="Calibri"/>
          <w:b w:val="0"/>
          <w:i w:val="0"/>
          <w:sz w:val="22"/>
        </w:rPr>
        <w:t>Match each loan syndication event to its description:</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Item</w:t>
            </w:r>
          </w:p>
        </w:tc>
        <w:tc>
          <w:tcPr>
            <w:tcW w:type="dxa" w:w="4986"/>
            <w:shd w:val="clear" w:color="auto" w:fill="007A87"/>
          </w:tcPr>
          <w:p>
            <w:r>
              <w:rPr>
                <w:rFonts w:ascii="Calibri" w:hAnsi="Calibri"/>
                <w:b/>
                <w:i w:val="0"/>
                <w:color w:val="FFFFFF"/>
                <w:sz w:val="20"/>
              </w:rPr>
              <w:t>Match</w:t>
            </w:r>
          </w:p>
        </w:tc>
      </w:tr>
      <w:tr>
        <w:tc>
          <w:tcPr>
            <w:tcW w:type="dxa" w:w="4986"/>
          </w:tcPr>
          <w:p>
            <w:r>
              <w:rPr>
                <w:sz w:val="20"/>
              </w:rPr>
              <w:t>The borrower submits a notice to the Agent Bank specifying the amount and date for the first loan disbursement</w:t>
            </w:r>
          </w:p>
        </w:tc>
        <w:tc>
          <w:tcPr>
            <w:tcW w:type="dxa" w:w="4986"/>
          </w:tcPr>
          <w:p>
            <w:r>
              <w:rPr>
                <w:rFonts w:ascii="Calibri" w:hAnsi="Calibri"/>
                <w:b/>
                <w:i w:val="0"/>
                <w:color w:val="101C4F"/>
                <w:sz w:val="20"/>
              </w:rPr>
              <w:t>Drawdown notice</w:t>
            </w:r>
          </w:p>
        </w:tc>
      </w:tr>
      <w:tr>
        <w:tc>
          <w:tcPr>
            <w:tcW w:type="dxa" w:w="4986"/>
          </w:tcPr>
          <w:p>
            <w:r>
              <w:rPr>
                <w:sz w:val="20"/>
              </w:rPr>
              <w:t>All lenders agree to temporarily waive a breached financial covenant for 6 months</w:t>
            </w:r>
          </w:p>
        </w:tc>
        <w:tc>
          <w:tcPr>
            <w:tcW w:type="dxa" w:w="4986"/>
          </w:tcPr>
          <w:p>
            <w:r>
              <w:rPr>
                <w:rFonts w:ascii="Calibri" w:hAnsi="Calibri"/>
                <w:b/>
                <w:i w:val="0"/>
                <w:color w:val="101C4F"/>
                <w:sz w:val="20"/>
              </w:rPr>
              <w:t>Covenant waiver</w:t>
            </w:r>
          </w:p>
        </w:tc>
      </w:tr>
      <w:tr>
        <w:tc>
          <w:tcPr>
            <w:tcW w:type="dxa" w:w="4986"/>
          </w:tcPr>
          <w:p>
            <w:r>
              <w:rPr>
                <w:sz w:val="20"/>
              </w:rPr>
              <w:t>The loan's financial terms (margin, maturity) are renegotiated due to changed credit conditions</w:t>
            </w:r>
          </w:p>
        </w:tc>
        <w:tc>
          <w:tcPr>
            <w:tcW w:type="dxa" w:w="4986"/>
          </w:tcPr>
          <w:p>
            <w:r>
              <w:rPr>
                <w:rFonts w:ascii="Calibri" w:hAnsi="Calibri"/>
                <w:b/>
                <w:i w:val="0"/>
                <w:color w:val="101C4F"/>
                <w:sz w:val="20"/>
              </w:rPr>
              <w:t>Loan restructuring / amendment</w:t>
            </w:r>
          </w:p>
        </w:tc>
      </w:tr>
      <w:tr>
        <w:tc>
          <w:tcPr>
            <w:tcW w:type="dxa" w:w="4986"/>
          </w:tcPr>
          <w:p>
            <w:r>
              <w:rPr>
                <w:sz w:val="20"/>
              </w:rPr>
              <w:t>A syndicate bank sells its ₹500 crore loan participation to another bank via the secondary loan market</w:t>
            </w:r>
          </w:p>
        </w:tc>
        <w:tc>
          <w:tcPr>
            <w:tcW w:type="dxa" w:w="4986"/>
          </w:tcPr>
          <w:p>
            <w:r>
              <w:rPr>
                <w:rFonts w:ascii="Calibri" w:hAnsi="Calibri"/>
                <w:b/>
                <w:i w:val="0"/>
                <w:color w:val="101C4F"/>
                <w:sz w:val="20"/>
              </w:rPr>
              <w:t>Loan assignment / transfer (settled via ClearPar)</w:t>
            </w:r>
          </w:p>
        </w:tc>
      </w:tr>
    </w:tbl>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