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01C4F"/>
          <w:sz w:val="32"/>
        </w:rPr>
        <w:t>CIBOP — Certificate in Investment Banking Operations Programme</w:t>
      </w:r>
    </w:p>
    <w:p/>
    <w:p>
      <w:pPr>
        <w:jc w:val="center"/>
      </w:pPr>
      <w:r>
        <w:rPr>
          <w:rFonts w:ascii="Calibri" w:hAnsi="Calibri"/>
          <w:b/>
          <w:i w:val="0"/>
          <w:color w:val="007A87"/>
          <w:sz w:val="40"/>
        </w:rPr>
        <w:t>Module D2: Securities Operations</w:t>
      </w:r>
    </w:p>
    <w:p/>
    <w:p>
      <w:pPr>
        <w:jc w:val="center"/>
      </w:pPr>
      <w:r>
        <w:rPr>
          <w:rFonts w:ascii="Calibri" w:hAnsi="Calibri"/>
          <w:b w:val="0"/>
          <w:i/>
          <w:color w:val="404040"/>
          <w:sz w:val="24"/>
        </w:rPr>
        <w:t>Video Production Document  |  UORs D2.1 – D2.10  |  30 Videos</w:t>
      </w:r>
    </w:p>
    <w:p>
      <w:r>
        <w:br w:type="page"/>
      </w:r>
    </w:p>
    <w:p>
      <w:pPr>
        <w:spacing w:before="120"/>
        <w:shd w:val="clear" w:color="auto" w:fill="101C4F"/>
      </w:pPr>
      <w:r>
        <w:rPr>
          <w:rFonts w:ascii="Calibri" w:hAnsi="Calibri"/>
          <w:b/>
          <w:i w:val="0"/>
          <w:color w:val="FFFFFF"/>
          <w:sz w:val="24"/>
        </w:rPr>
        <w:t xml:space="preserve">  D2.1: Securities Trading Organization (STO)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Securities Trading Organization (STO)</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three-tier STO structure (Front/Middle/Back Office) and the roles of each department in supporting the trade lifecycle.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STO and describe its purpose in investment banking operations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an STO is, why it exists, and how it fits within an investment bank</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Introduction to Financial Markets (D1)</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D2.1 Video 2: STO Departments Deep-Dive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Animated city skyline. Trading floor montage. Two characters at a sleek desk labelled 'IB Operations HQ'.</w:t>
            </w:r>
          </w:p>
        </w:tc>
        <w:tc>
          <w:tcPr>
            <w:tcW w:type="dxa" w:w="2493"/>
          </w:tcPr>
          <w:p>
            <w:pPr>
              <w:jc w:val="center"/>
            </w:pPr>
            <w:r>
              <w:rPr>
                <w:rFonts w:ascii="Calibri" w:hAnsi="Calibri"/>
                <w:b/>
                <w:i w:val="0"/>
                <w:color w:val="007A87"/>
                <w:sz w:val="18"/>
              </w:rPr>
              <w:t>OPEN BANTER</w:t>
            </w:r>
          </w:p>
        </w:tc>
        <w:tc>
          <w:tcPr>
            <w:tcW w:type="dxa" w:w="2493"/>
          </w:tcPr>
          <w:p>
            <w:r>
              <w:rPr>
                <w:sz w:val="20"/>
              </w:rPr>
              <w:t>KAVI: Ryo, before we dive into trade lifecycles, we need to understand the engine room — the Securities Trading Organization, or STO. RYO: Right! The STO is the whole organisational structure that makes trading happen — from the moment a client places an order to the moment it settles.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Split screen: a busy trading floor on the left, a back-office operations room on the right.</w:t>
            </w:r>
          </w:p>
        </w:tc>
        <w:tc>
          <w:tcPr>
            <w:tcW w:type="dxa" w:w="2493"/>
          </w:tcPr>
          <w:p>
            <w:pPr>
              <w:jc w:val="center"/>
            </w:pPr>
            <w:r>
              <w:rPr>
                <w:rFonts w:ascii="Calibri" w:hAnsi="Calibri"/>
                <w:b/>
                <w:i w:val="0"/>
                <w:color w:val="007A87"/>
                <w:sz w:val="18"/>
              </w:rPr>
              <w:t>WHAT IS STO</w:t>
            </w:r>
          </w:p>
        </w:tc>
        <w:tc>
          <w:tcPr>
            <w:tcW w:type="dxa" w:w="2493"/>
          </w:tcPr>
          <w:p>
            <w:r>
              <w:rPr>
                <w:sz w:val="20"/>
              </w:rPr>
              <w:t>KAVI: Simply put, the STO is a financial institution — a bank, asset manager, or broker — that trades securities: equities, bonds, derivatives. RYO: But trading is never just one team. The STO is divided into three broad zones: Front Office, Middle Office, and Back Office. Each has a completely different job.</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A three-layer pyramid: FRONT OFFICE at the top (gold), MIDDLE OFFICE in the middle (teal), BACK OFFICE at the base (navy).</w:t>
            </w:r>
          </w:p>
        </w:tc>
        <w:tc>
          <w:tcPr>
            <w:tcW w:type="dxa" w:w="2493"/>
          </w:tcPr>
          <w:p>
            <w:pPr>
              <w:jc w:val="center"/>
            </w:pPr>
            <w:r>
              <w:rPr>
                <w:rFonts w:ascii="Calibri" w:hAnsi="Calibri"/>
                <w:b/>
                <w:i w:val="0"/>
                <w:color w:val="007A87"/>
                <w:sz w:val="18"/>
              </w:rPr>
              <w:t>THREE TIERS</w:t>
            </w:r>
          </w:p>
        </w:tc>
        <w:tc>
          <w:tcPr>
            <w:tcW w:type="dxa" w:w="2493"/>
          </w:tcPr>
          <w:p>
            <w:r>
              <w:rPr>
                <w:sz w:val="20"/>
              </w:rPr>
              <w:t>ARIA: Think of it as a relay race. Front Office runs the first leg — they face the client and execute the trade. Middle Office runs the second leg — they control, risk-manage, and confirm. Back Office runs the final leg — they settle, reconcile, and report. Without all three working together, the race doesn't finish.</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Graphic: trade ticket generated, flowing through three departments, resulting in settled cash and securities.</w:t>
            </w:r>
          </w:p>
        </w:tc>
        <w:tc>
          <w:tcPr>
            <w:tcW w:type="dxa" w:w="2493"/>
          </w:tcPr>
          <w:p>
            <w:pPr>
              <w:jc w:val="center"/>
            </w:pPr>
            <w:r>
              <w:rPr>
                <w:rFonts w:ascii="Calibri" w:hAnsi="Calibri"/>
                <w:b/>
                <w:i w:val="0"/>
                <w:color w:val="007A87"/>
                <w:sz w:val="18"/>
              </w:rPr>
              <w:t>WHY STO EXISTS</w:t>
            </w:r>
          </w:p>
        </w:tc>
        <w:tc>
          <w:tcPr>
            <w:tcW w:type="dxa" w:w="2493"/>
          </w:tcPr>
          <w:p>
            <w:r>
              <w:rPr>
                <w:sz w:val="20"/>
              </w:rPr>
              <w:t>RYO: The STO exists because trading at scale is incredibly complex. A single equity trade triggers: a client order, a market order, an execution report, a confirmation, a settlement instruction, a cash movement, a position update. All of that must happen accurately, in sequence, and on time — across multiple systems and counterparties.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Map of India with major banks/institutions highlighted: HDFC Bank, ICICI Securities, Kotak, NSE, BSE logos.</w:t>
            </w:r>
          </w:p>
        </w:tc>
        <w:tc>
          <w:tcPr>
            <w:tcW w:type="dxa" w:w="2493"/>
          </w:tcPr>
          <w:p>
            <w:pPr>
              <w:jc w:val="center"/>
            </w:pPr>
            <w:r>
              <w:rPr>
                <w:rFonts w:ascii="Calibri" w:hAnsi="Calibri"/>
                <w:b/>
                <w:i w:val="0"/>
                <w:color w:val="007A87"/>
                <w:sz w:val="18"/>
              </w:rPr>
              <w:t>STO IN INDIA</w:t>
            </w:r>
          </w:p>
        </w:tc>
        <w:tc>
          <w:tcPr>
            <w:tcW w:type="dxa" w:w="2493"/>
          </w:tcPr>
          <w:p>
            <w:r>
              <w:rPr>
                <w:sz w:val="20"/>
              </w:rPr>
              <w:t>KAVI: In India, STOs include full-service investment banks, domestic and foreign brokers, custodian banks, and asset management companies. Every registered broker on NSE or BSE operates as an STO. The scale varies — but the three-tier structure is universal.</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Character summary cards with key terms highlighted.</w:t>
            </w:r>
          </w:p>
        </w:tc>
        <w:tc>
          <w:tcPr>
            <w:tcW w:type="dxa" w:w="2493"/>
          </w:tcPr>
          <w:p>
            <w:pPr>
              <w:jc w:val="center"/>
            </w:pPr>
            <w:r>
              <w:rPr>
                <w:rFonts w:ascii="Calibri" w:hAnsi="Calibri"/>
                <w:b/>
                <w:i w:val="0"/>
                <w:color w:val="007A87"/>
                <w:sz w:val="18"/>
              </w:rPr>
              <w:t>RECAP 1</w:t>
            </w:r>
          </w:p>
        </w:tc>
        <w:tc>
          <w:tcPr>
            <w:tcW w:type="dxa" w:w="2493"/>
          </w:tcPr>
          <w:p>
            <w:r>
              <w:rPr>
                <w:sz w:val="20"/>
              </w:rPr>
              <w:t>ARIA: So to recap Video 1: The STO is the organisational framework for securities trading. It has three tiers: Front, Middle, and Back Office. Each tier has a distinct set of responsibilities, and trades flow through all three. RYO: In Video 2, we'll break down each department in detail — what they do, who works there, and how they interact.</w:t>
            </w:r>
          </w:p>
        </w:tc>
      </w:tr>
    </w:tbl>
    <w:p/>
    <w:p>
      <w:r>
        <w:rPr>
          <w:rFonts w:ascii="Calibri" w:hAnsi="Calibri"/>
          <w:b/>
          <w:i w:val="0"/>
          <w:color w:val="007A87"/>
          <w:sz w:val="20"/>
        </w:rPr>
        <w:t xml:space="preserve">▶ Transition: </w:t>
      </w:r>
      <w:r>
        <w:rPr>
          <w:rFonts w:ascii="Calibri" w:hAnsi="Calibri"/>
          <w:b w:val="0"/>
          <w:i/>
          <w:color w:val="404040"/>
          <w:sz w:val="20"/>
        </w:rPr>
        <w:t>Next — D2.1 Video 2: STO Departments Deep-Dive</w:t>
      </w:r>
    </w:p>
    <w:p>
      <w:r>
        <w:br w:type="page"/>
      </w:r>
    </w:p>
    <w:p>
      <w:pPr>
        <w:spacing w:before="120"/>
        <w:shd w:val="clear" w:color="auto" w:fill="101C4F"/>
      </w:pPr>
      <w:r>
        <w:rPr>
          <w:rFonts w:ascii="Calibri" w:hAnsi="Calibri"/>
          <w:b/>
          <w:i w:val="0"/>
          <w:color w:val="FFFFFF"/>
          <w:sz w:val="24"/>
        </w:rPr>
        <w:t xml:space="preserve">  D2.1: Securities Trading Organization (STO)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Securities Trading Organization (STO)</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three-tier STO structure (Front/Middle/Back Office) and the roles of each department in supporting the trade lifecycle.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Classify operational functions into FO, MO, or BO and describe each department's responsibilities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identify the key departments within each office tier and map their functions to the trade lifecycle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D2.1 Video 1: What is an STO</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D2.1 Video 3: STO Organisational Structure in Practice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Animated org chart expanding: Front Office → Sales, Trading, Research. Middle Office → Risk, Compliance, Trade Support. Back Office → Operations, Settlements, Finance.</w:t>
            </w:r>
          </w:p>
        </w:tc>
        <w:tc>
          <w:tcPr>
            <w:tcW w:type="dxa" w:w="2493"/>
          </w:tcPr>
          <w:p>
            <w:pPr>
              <w:jc w:val="center"/>
            </w:pPr>
            <w:r>
              <w:rPr>
                <w:rFonts w:ascii="Calibri" w:hAnsi="Calibri"/>
                <w:b/>
                <w:i w:val="0"/>
                <w:color w:val="007A87"/>
                <w:sz w:val="18"/>
              </w:rPr>
              <w:t>DEPT INTRO</w:t>
            </w:r>
          </w:p>
        </w:tc>
        <w:tc>
          <w:tcPr>
            <w:tcW w:type="dxa" w:w="2493"/>
          </w:tcPr>
          <w:p>
            <w:r>
              <w:rPr>
                <w:sz w:val="20"/>
              </w:rPr>
              <w:t>RYO: Let's go department by department. We'll start with Front Office — the revenue-generating tier.</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Characters shown in a fast-paced trading environment. Screens show market data, order books, P&amp;L.</w:t>
            </w:r>
          </w:p>
        </w:tc>
        <w:tc>
          <w:tcPr>
            <w:tcW w:type="dxa" w:w="2493"/>
          </w:tcPr>
          <w:p>
            <w:pPr>
              <w:jc w:val="center"/>
            </w:pPr>
            <w:r>
              <w:rPr>
                <w:rFonts w:ascii="Calibri" w:hAnsi="Calibri"/>
                <w:b/>
                <w:i w:val="0"/>
                <w:color w:val="007A87"/>
                <w:sz w:val="18"/>
              </w:rPr>
              <w:t>FRONT OFFICE</w:t>
            </w:r>
          </w:p>
        </w:tc>
        <w:tc>
          <w:tcPr>
            <w:tcW w:type="dxa" w:w="2493"/>
          </w:tcPr>
          <w:p>
            <w:r>
              <w:rPr>
                <w:sz w:val="20"/>
              </w:rPr>
              <w:t>KAVI: Front Office includes: Sales — covering client relationships and order intake. Trading — executing buy/sell orders in markets. Research — providing market analysis and investment recommendations. Structuring — designing custom financial products for clients. These are the people who generate revenue for the firm.</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Quieter environment. Screens show risk dashboards, compliance checklists, P&amp;L reports.</w:t>
            </w:r>
          </w:p>
        </w:tc>
        <w:tc>
          <w:tcPr>
            <w:tcW w:type="dxa" w:w="2493"/>
          </w:tcPr>
          <w:p>
            <w:pPr>
              <w:jc w:val="center"/>
            </w:pPr>
            <w:r>
              <w:rPr>
                <w:rFonts w:ascii="Calibri" w:hAnsi="Calibri"/>
                <w:b/>
                <w:i w:val="0"/>
                <w:color w:val="007A87"/>
                <w:sz w:val="18"/>
              </w:rPr>
              <w:t>MIDDLE OFFICE</w:t>
            </w:r>
          </w:p>
        </w:tc>
        <w:tc>
          <w:tcPr>
            <w:tcW w:type="dxa" w:w="2493"/>
          </w:tcPr>
          <w:p>
            <w:r>
              <w:rPr>
                <w:sz w:val="20"/>
              </w:rPr>
              <w:t>ARIA: Middle Office sits between revenue and operations. Key MO functions: Risk Management — monitoring market, credit, and operational risk in real time. Trade Support / Trade Control — validating executed trades, resolving booking issues. Product Control / Finance — calculating daily P&amp;L, marking positions to market. Compliance — ensuring all trading activity meets regulatory requirements (SEBI, RBI, IRDAI).</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Busy but systematic environment. Screens show settlement queues, reconciliation reports, SWIFT messages.</w:t>
            </w:r>
          </w:p>
        </w:tc>
        <w:tc>
          <w:tcPr>
            <w:tcW w:type="dxa" w:w="2493"/>
          </w:tcPr>
          <w:p>
            <w:pPr>
              <w:jc w:val="center"/>
            </w:pPr>
            <w:r>
              <w:rPr>
                <w:rFonts w:ascii="Calibri" w:hAnsi="Calibri"/>
                <w:b/>
                <w:i w:val="0"/>
                <w:color w:val="007A87"/>
                <w:sz w:val="18"/>
              </w:rPr>
              <w:t>BACK OFFICE</w:t>
            </w:r>
          </w:p>
        </w:tc>
        <w:tc>
          <w:tcPr>
            <w:tcW w:type="dxa" w:w="2493"/>
          </w:tcPr>
          <w:p>
            <w:r>
              <w:rPr>
                <w:sz w:val="20"/>
              </w:rPr>
              <w:t>RYO: Back Office handles everything after the trade is booked. Operations / Settlements — processing settlement instructions, managing failed trades. Reconciliation — comparing internal records to external custodian statements. Corporate Actions — processing dividends, rights issues, bonus shares. Custody — managing client assets held at depositories (NSDL, CDSL). Regulatory Reporting — submitting trade data to SEBI, RBI, CCIL trade repository.</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A fun quiz-style visual: function labels flying in — learners mentally classify them.</w:t>
            </w:r>
          </w:p>
        </w:tc>
        <w:tc>
          <w:tcPr>
            <w:tcW w:type="dxa" w:w="2493"/>
          </w:tcPr>
          <w:p>
            <w:pPr>
              <w:jc w:val="center"/>
            </w:pPr>
            <w:r>
              <w:rPr>
                <w:rFonts w:ascii="Calibri" w:hAnsi="Calibri"/>
                <w:b/>
                <w:i w:val="0"/>
                <w:color w:val="007A87"/>
                <w:sz w:val="18"/>
              </w:rPr>
              <w:t>CLASSIFY GAME</w:t>
            </w:r>
          </w:p>
        </w:tc>
        <w:tc>
          <w:tcPr>
            <w:tcW w:type="dxa" w:w="2493"/>
          </w:tcPr>
          <w:p>
            <w:r>
              <w:rPr>
                <w:sz w:val="20"/>
              </w:rPr>
              <w:t>KAVI: Let's classify some functions. Trade execution? ARIA: Front Office — Trader. KAVI: P&amp;L calculation? ARIA: Middle Office — Product Control. KAVI: Settlement instruction to NSDL? ARIA: Back Office — Operations. KAVI: Credit limit monitoring? ARIA: Middle Office — Risk. KAVI: Client relationship management? ARIA: Front Office — Sales.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Department summary table on screen.</w:t>
            </w:r>
          </w:p>
        </w:tc>
        <w:tc>
          <w:tcPr>
            <w:tcW w:type="dxa" w:w="2493"/>
          </w:tcPr>
          <w:p>
            <w:pPr>
              <w:jc w:val="center"/>
            </w:pPr>
            <w:r>
              <w:rPr>
                <w:rFonts w:ascii="Calibri" w:hAnsi="Calibri"/>
                <w:b/>
                <w:i w:val="0"/>
                <w:color w:val="007A87"/>
                <w:sz w:val="18"/>
              </w:rPr>
              <w:t>RECAP 2</w:t>
            </w:r>
          </w:p>
        </w:tc>
        <w:tc>
          <w:tcPr>
            <w:tcW w:type="dxa" w:w="2493"/>
          </w:tcPr>
          <w:p>
            <w:r>
              <w:rPr>
                <w:sz w:val="20"/>
              </w:rPr>
              <w:t>ARIA: Key takeaway: Front Office = revenue generation. Middle Office = control and risk. Back Office = settlement, reconciliation, reporting. RYO: In Video 3, we'll see how a real Indian trade flows through all three tiers, from a client call to final settlement.</w:t>
            </w:r>
          </w:p>
        </w:tc>
      </w:tr>
    </w:tbl>
    <w:p/>
    <w:p>
      <w:r>
        <w:rPr>
          <w:rFonts w:ascii="Calibri" w:hAnsi="Calibri"/>
          <w:b/>
          <w:i w:val="0"/>
          <w:color w:val="007A87"/>
          <w:sz w:val="20"/>
        </w:rPr>
        <w:t xml:space="preserve">▶ Transition: </w:t>
      </w:r>
      <w:r>
        <w:rPr>
          <w:rFonts w:ascii="Calibri" w:hAnsi="Calibri"/>
          <w:b w:val="0"/>
          <w:i/>
          <w:color w:val="404040"/>
          <w:sz w:val="20"/>
        </w:rPr>
        <w:t>Next — D2.1 Video 3: STO Organisational Structure in Practice</w:t>
      </w:r>
    </w:p>
    <w:p>
      <w:r>
        <w:br w:type="page"/>
      </w:r>
    </w:p>
    <w:p>
      <w:pPr>
        <w:spacing w:before="120"/>
        <w:shd w:val="clear" w:color="auto" w:fill="101C4F"/>
      </w:pPr>
      <w:r>
        <w:rPr>
          <w:rFonts w:ascii="Calibri" w:hAnsi="Calibri"/>
          <w:b/>
          <w:i w:val="0"/>
          <w:color w:val="FFFFFF"/>
          <w:sz w:val="24"/>
        </w:rPr>
        <w:t xml:space="preserve">  D2.1: Securities Trading Organization (STO)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Securities Trading Organization (STO)</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three-tier STO structure (Front/Middle/Back Office) and the roles of each department in supporting the trade lifecycle.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the three-tier STO structure to operational risk management and regulatory compliance</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trace a trade through the full STO lifecycle and explain why segregation of duties between tiers is essential for risk control</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D2.1 Video 2: STO Departments</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D2.2 Video 1: Introduction to Reference Data Management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Animation: A client phones a salesperson. Order ticket created digitally.</w:t>
            </w:r>
          </w:p>
        </w:tc>
        <w:tc>
          <w:tcPr>
            <w:tcW w:type="dxa" w:w="2493"/>
          </w:tcPr>
          <w:p>
            <w:pPr>
              <w:jc w:val="center"/>
            </w:pPr>
            <w:r>
              <w:rPr>
                <w:rFonts w:ascii="Calibri" w:hAnsi="Calibri"/>
                <w:b/>
                <w:i w:val="0"/>
                <w:color w:val="007A87"/>
                <w:sz w:val="18"/>
              </w:rPr>
              <w:t>TRADE ENTRY</w:t>
            </w:r>
          </w:p>
        </w:tc>
        <w:tc>
          <w:tcPr>
            <w:tcW w:type="dxa" w:w="2493"/>
          </w:tcPr>
          <w:p>
            <w:r>
              <w:rPr>
                <w:sz w:val="20"/>
              </w:rPr>
              <w:t>KAVI: Let's follow a real trade. A Mumbai-based mutual fund tells its broker: 'Buy 1 lakh shares of Infosys at market.' The Sales team in Front Office takes the call. RYO: A trade ticket is created instantly in the Order Management System (OMS) — capturing client name, security, quantity, direction (buy/sell), and order type.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Trading screen: order routed to NSE. Fill confirmation received. Time-stamped.</w:t>
            </w:r>
          </w:p>
        </w:tc>
        <w:tc>
          <w:tcPr>
            <w:tcW w:type="dxa" w:w="2493"/>
          </w:tcPr>
          <w:p>
            <w:pPr>
              <w:jc w:val="center"/>
            </w:pPr>
            <w:r>
              <w:rPr>
                <w:rFonts w:ascii="Calibri" w:hAnsi="Calibri"/>
                <w:b/>
                <w:i w:val="0"/>
                <w:color w:val="007A87"/>
                <w:sz w:val="18"/>
              </w:rPr>
              <w:t>FO EXECUTION</w:t>
            </w:r>
          </w:p>
        </w:tc>
        <w:tc>
          <w:tcPr>
            <w:tcW w:type="dxa" w:w="2493"/>
          </w:tcPr>
          <w:p>
            <w:r>
              <w:rPr>
                <w:sz w:val="20"/>
              </w:rPr>
              <w:t>ARIA: The Trader routes the order to NSE through the broker's trading terminal. The order fills at ₹1,850 per share — total consideration ₹18.5 crore. The execution timestamp is recorded to the millisecond. This execution data flows automatically to the Middle Office.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Risk dashboard: position limit checked. Compliance flag: none. Trade validation: passed.</w:t>
            </w:r>
          </w:p>
        </w:tc>
        <w:tc>
          <w:tcPr>
            <w:tcW w:type="dxa" w:w="2493"/>
          </w:tcPr>
          <w:p>
            <w:pPr>
              <w:jc w:val="center"/>
            </w:pPr>
            <w:r>
              <w:rPr>
                <w:rFonts w:ascii="Calibri" w:hAnsi="Calibri"/>
                <w:b/>
                <w:i w:val="0"/>
                <w:color w:val="007A87"/>
                <w:sz w:val="18"/>
              </w:rPr>
              <w:t>MO CONTROL</w:t>
            </w:r>
          </w:p>
        </w:tc>
        <w:tc>
          <w:tcPr>
            <w:tcW w:type="dxa" w:w="2493"/>
          </w:tcPr>
          <w:p>
            <w:r>
              <w:rPr>
                <w:sz w:val="20"/>
              </w:rPr>
              <w:t>RYO: Middle Office springs into action: Risk checks — does this trade breach the fund's concentration limit? Compliance — is Infosys on any restricted list? Trade validation — are all details correct (security code, ISIN, settlement type)? Only after MO signs off does the trade proceed to Back Office.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Settlement queue: DVP instruction generated. NSDL instruction sent. Cash debit scheduled.</w:t>
            </w:r>
          </w:p>
        </w:tc>
        <w:tc>
          <w:tcPr>
            <w:tcW w:type="dxa" w:w="2493"/>
          </w:tcPr>
          <w:p>
            <w:pPr>
              <w:jc w:val="center"/>
            </w:pPr>
            <w:r>
              <w:rPr>
                <w:rFonts w:ascii="Calibri" w:hAnsi="Calibri"/>
                <w:b/>
                <w:i w:val="0"/>
                <w:color w:val="007A87"/>
                <w:sz w:val="18"/>
              </w:rPr>
              <w:t>BO SETTLEMENT</w:t>
            </w:r>
          </w:p>
        </w:tc>
        <w:tc>
          <w:tcPr>
            <w:tcW w:type="dxa" w:w="2493"/>
          </w:tcPr>
          <w:p>
            <w:r>
              <w:rPr>
                <w:sz w:val="20"/>
              </w:rPr>
              <w:t>KAVI: Back Office generates a settlement instruction: 'Deliver ₹18.5 crore via RTGS; receive 1 lakh Infosys shares into client's demat account at NSDL.' This instruction is sent to the custodian. On settlement date (T+1 in India), the exchange confirms settlement. Back Office then reconciles: were the right shares received? Was the right cash paid?</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Side-by-side comparison: STO with proper segregation vs. STO with blurred boundaries (red flags).</w:t>
            </w:r>
          </w:p>
        </w:tc>
        <w:tc>
          <w:tcPr>
            <w:tcW w:type="dxa" w:w="2493"/>
          </w:tcPr>
          <w:p>
            <w:pPr>
              <w:jc w:val="center"/>
            </w:pPr>
            <w:r>
              <w:rPr>
                <w:rFonts w:ascii="Calibri" w:hAnsi="Calibri"/>
                <w:b/>
                <w:i w:val="0"/>
                <w:color w:val="007A87"/>
                <w:sz w:val="18"/>
              </w:rPr>
              <w:t>SEGREGATION</w:t>
            </w:r>
          </w:p>
        </w:tc>
        <w:tc>
          <w:tcPr>
            <w:tcW w:type="dxa" w:w="2493"/>
          </w:tcPr>
          <w:p>
            <w:r>
              <w:rPr>
                <w:sz w:val="20"/>
              </w:rPr>
              <w:t>ARIA: Why is this three-tier structure so critical? Segregation of duties. RYO: If the trader who executes a trade also controls settlement, they could conceal errors or even fraud — as happened in the Nick Leeson case at Barings Bank. ARIA: In India, SEBI requires clear separation between trading and settlement functions at every registered broker. Inspection teams check this segregation as a core compliance item.</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Full STO trade flow diagram on screen.</w:t>
            </w:r>
          </w:p>
        </w:tc>
        <w:tc>
          <w:tcPr>
            <w:tcW w:type="dxa" w:w="2493"/>
          </w:tcPr>
          <w:p>
            <w:pPr>
              <w:jc w:val="center"/>
            </w:pPr>
            <w:r>
              <w:rPr>
                <w:rFonts w:ascii="Calibri" w:hAnsi="Calibri"/>
                <w:b/>
                <w:i w:val="0"/>
                <w:color w:val="007A87"/>
                <w:sz w:val="18"/>
              </w:rPr>
              <w:t>RECAP 3</w:t>
            </w:r>
          </w:p>
        </w:tc>
        <w:tc>
          <w:tcPr>
            <w:tcW w:type="dxa" w:w="2493"/>
          </w:tcPr>
          <w:p>
            <w:r>
              <w:rPr>
                <w:sz w:val="20"/>
              </w:rPr>
              <w:t>KAVI: To summarise D2.1: The STO has three tiers — FO, MO, BO — each with distinct roles. Trades flow through all three. Segregation of duties is not just best practice — it's a SEBI regulatory requirement that protects clients and firms. ARIA: Up next: Reference Data Management — the foundation that all three tiers depend on.</w:t>
            </w:r>
          </w:p>
        </w:tc>
      </w:tr>
    </w:tbl>
    <w:p/>
    <w:p>
      <w:r>
        <w:rPr>
          <w:rFonts w:ascii="Calibri" w:hAnsi="Calibri"/>
          <w:b/>
          <w:i w:val="0"/>
          <w:color w:val="007A87"/>
          <w:sz w:val="20"/>
        </w:rPr>
        <w:t xml:space="preserve">▶ Transition: </w:t>
      </w:r>
      <w:r>
        <w:rPr>
          <w:rFonts w:ascii="Calibri" w:hAnsi="Calibri"/>
          <w:b w:val="0"/>
          <w:i/>
          <w:color w:val="404040"/>
          <w:sz w:val="20"/>
        </w:rPr>
        <w:t>Next — D2.2 Video 1: Introduction to Reference Data Management</w:t>
      </w:r>
    </w:p>
    <w:p>
      <w:r>
        <w:br w:type="page"/>
      </w:r>
    </w:p>
    <w:p>
      <w:pPr>
        <w:spacing w:before="120"/>
        <w:shd w:val="clear" w:color="auto" w:fill="101C4F"/>
      </w:pPr>
      <w:r>
        <w:rPr>
          <w:rFonts w:ascii="Calibri" w:hAnsi="Calibri"/>
          <w:b/>
          <w:i w:val="0"/>
          <w:color w:val="FFFFFF"/>
          <w:sz w:val="24"/>
        </w:rPr>
        <w:t xml:space="preserve">  D2.2: Reference Data Management (RDM)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Reference Data Management (RDM)</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how static, dynamic, and market reference data is sourced, managed, and applied to ensure accurate trade processing across the STO.</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reference data, its types, and its role in trade processing</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reference data is, distinguish between static and dynamic data, and explain why accurate reference data is essential</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D2.1: Securities Trading Organization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D2.2 Video 2: Data Sources and Security Identifiers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Characters at a data control centre. Multiple screens showing data feeds, security master files.</w:t>
            </w:r>
          </w:p>
        </w:tc>
        <w:tc>
          <w:tcPr>
            <w:tcW w:type="dxa" w:w="2493"/>
          </w:tcPr>
          <w:p>
            <w:pPr>
              <w:jc w:val="center"/>
            </w:pPr>
            <w:r>
              <w:rPr>
                <w:rFonts w:ascii="Calibri" w:hAnsi="Calibri"/>
                <w:b/>
                <w:i w:val="0"/>
                <w:color w:val="007A87"/>
                <w:sz w:val="18"/>
              </w:rPr>
              <w:t>RDM INTRO</w:t>
            </w:r>
          </w:p>
        </w:tc>
        <w:tc>
          <w:tcPr>
            <w:tcW w:type="dxa" w:w="2493"/>
          </w:tcPr>
          <w:p>
            <w:r>
              <w:rPr>
                <w:sz w:val="20"/>
              </w:rPr>
              <w:t>RYO: Before any trade can be processed, the STO needs a foundation: Reference Data. Without it, you don't know what you're trading, who you're trading with, or how to settle. Think of reference data as the dictionary the entire STO uses.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Animated definition: Reference Data = the set of data required to complete a financial transaction.</w:t>
            </w:r>
          </w:p>
        </w:tc>
        <w:tc>
          <w:tcPr>
            <w:tcW w:type="dxa" w:w="2493"/>
          </w:tcPr>
          <w:p>
            <w:pPr>
              <w:jc w:val="center"/>
            </w:pPr>
            <w:r>
              <w:rPr>
                <w:rFonts w:ascii="Calibri" w:hAnsi="Calibri"/>
                <w:b/>
                <w:i w:val="0"/>
                <w:color w:val="007A87"/>
                <w:sz w:val="18"/>
              </w:rPr>
              <w:t>WHAT IS REF DATA</w:t>
            </w:r>
          </w:p>
        </w:tc>
        <w:tc>
          <w:tcPr>
            <w:tcW w:type="dxa" w:w="2493"/>
          </w:tcPr>
          <w:p>
            <w:r>
              <w:rPr>
                <w:sz w:val="20"/>
              </w:rPr>
              <w:t>KAVI: Reference data is any data that describes the characteristics of a financial instrument, counterparty, or transaction — as opposed to the actual price or trade data. It answers: WHAT are we trading? WHO are we trading with? WHERE does it settle? HOW is it structured?</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Split screen: STATIC on left (stable, rarely changes) vs DYNAMIC on right (changes with market).</w:t>
            </w:r>
          </w:p>
        </w:tc>
        <w:tc>
          <w:tcPr>
            <w:tcW w:type="dxa" w:w="2493"/>
          </w:tcPr>
          <w:p>
            <w:pPr>
              <w:jc w:val="center"/>
            </w:pPr>
            <w:r>
              <w:rPr>
                <w:rFonts w:ascii="Calibri" w:hAnsi="Calibri"/>
                <w:b/>
                <w:i w:val="0"/>
                <w:color w:val="007A87"/>
                <w:sz w:val="18"/>
              </w:rPr>
              <w:t>STATIC VS DYNAMIC</w:t>
            </w:r>
          </w:p>
        </w:tc>
        <w:tc>
          <w:tcPr>
            <w:tcW w:type="dxa" w:w="2493"/>
          </w:tcPr>
          <w:p>
            <w:r>
              <w:rPr>
                <w:sz w:val="20"/>
              </w:rPr>
              <w:t>ARIA: Reference data has two main types. Static data: information that is set up once and changes rarely. Examples: a security's ISIN code, a counterparty's legal name, a settlement account number. Dynamic / market data: information that changes continuously. Examples: live security prices, interest rate fixings, FX rates, corporate action announcements.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Database screen showing security master record for Reliance Industries.</w:t>
            </w:r>
          </w:p>
        </w:tc>
        <w:tc>
          <w:tcPr>
            <w:tcW w:type="dxa" w:w="2493"/>
          </w:tcPr>
          <w:p>
            <w:pPr>
              <w:jc w:val="center"/>
            </w:pPr>
            <w:r>
              <w:rPr>
                <w:rFonts w:ascii="Calibri" w:hAnsi="Calibri"/>
                <w:b/>
                <w:i w:val="0"/>
                <w:color w:val="007A87"/>
                <w:sz w:val="18"/>
              </w:rPr>
              <w:t>STATIC EXAMPLES</w:t>
            </w:r>
          </w:p>
        </w:tc>
        <w:tc>
          <w:tcPr>
            <w:tcW w:type="dxa" w:w="2493"/>
          </w:tcPr>
          <w:p>
            <w:r>
              <w:rPr>
                <w:sz w:val="20"/>
              </w:rPr>
              <w:t>RYO: Here's a static data record for Reliance Industries: ISIN: INE002A01018. Exchange code: RELIANCE. Lot size: 1. Settlement type: T+1 DVP. Currency: INR. Depository: NSDL/CDSL. KAVI: This data was set up when Reliance was first listed. It doesn't change unless Reliance does a corporate restructuring. Every single trade in Reliance pulls from this record.</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Red error screen: trade fails because ISIN code is wrong. Cascading failures shown.</w:t>
            </w:r>
          </w:p>
        </w:tc>
        <w:tc>
          <w:tcPr>
            <w:tcW w:type="dxa" w:w="2493"/>
          </w:tcPr>
          <w:p>
            <w:pPr>
              <w:jc w:val="center"/>
            </w:pPr>
            <w:r>
              <w:rPr>
                <w:rFonts w:ascii="Calibri" w:hAnsi="Calibri"/>
                <w:b/>
                <w:i w:val="0"/>
                <w:color w:val="007A87"/>
                <w:sz w:val="18"/>
              </w:rPr>
              <w:t>BAD DATA IMPACT</w:t>
            </w:r>
          </w:p>
        </w:tc>
        <w:tc>
          <w:tcPr>
            <w:tcW w:type="dxa" w:w="2493"/>
          </w:tcPr>
          <w:p>
            <w:r>
              <w:rPr>
                <w:sz w:val="20"/>
              </w:rPr>
              <w:t>ARIA: What happens if static data is wrong? A trade in 'Reliance' gets booked with the wrong ISIN. The settlement instruction goes to the wrong security. The trade fails. The client complains. Operations spends hours investigating. Regulators may impose penalties for settlement failure. One wrong field in the reference data master can cascade into a full settlement crisis.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Summary cards: Reference Data definition, static vs dynamic, importance.</w:t>
            </w:r>
          </w:p>
        </w:tc>
        <w:tc>
          <w:tcPr>
            <w:tcW w:type="dxa" w:w="2493"/>
          </w:tcPr>
          <w:p>
            <w:pPr>
              <w:jc w:val="center"/>
            </w:pPr>
            <w:r>
              <w:rPr>
                <w:rFonts w:ascii="Calibri" w:hAnsi="Calibri"/>
                <w:b/>
                <w:i w:val="0"/>
                <w:color w:val="007A87"/>
                <w:sz w:val="18"/>
              </w:rPr>
              <w:t>RECAP D2 2 V1</w:t>
            </w:r>
          </w:p>
        </w:tc>
        <w:tc>
          <w:tcPr>
            <w:tcW w:type="dxa" w:w="2493"/>
          </w:tcPr>
          <w:p>
            <w:r>
              <w:rPr>
                <w:sz w:val="20"/>
              </w:rPr>
              <w:t>KAVI: Reference data is the foundation of trade processing. Static data: describes the what and who. Dynamic data: describes the current state of markets. RYO: Accurate, complete, timely reference data is not optional — it is the precondition for every successful trade. In Video 2, we'll explore data sources and the critical world of security identifiers.</w:t>
            </w:r>
          </w:p>
        </w:tc>
      </w:tr>
    </w:tbl>
    <w:p/>
    <w:p>
      <w:r>
        <w:rPr>
          <w:rFonts w:ascii="Calibri" w:hAnsi="Calibri"/>
          <w:b/>
          <w:i w:val="0"/>
          <w:color w:val="007A87"/>
          <w:sz w:val="20"/>
        </w:rPr>
        <w:t xml:space="preserve">▶ Transition: </w:t>
      </w:r>
      <w:r>
        <w:rPr>
          <w:rFonts w:ascii="Calibri" w:hAnsi="Calibri"/>
          <w:b w:val="0"/>
          <w:i/>
          <w:color w:val="404040"/>
          <w:sz w:val="20"/>
        </w:rPr>
        <w:t>Next — D2.2 Video 2: Data Sources and Security Identifiers</w:t>
      </w:r>
    </w:p>
    <w:p>
      <w:r>
        <w:br w:type="page"/>
      </w:r>
    </w:p>
    <w:p>
      <w:pPr>
        <w:spacing w:before="120"/>
        <w:shd w:val="clear" w:color="auto" w:fill="101C4F"/>
      </w:pPr>
      <w:r>
        <w:rPr>
          <w:rFonts w:ascii="Calibri" w:hAnsi="Calibri"/>
          <w:b/>
          <w:i w:val="0"/>
          <w:color w:val="FFFFFF"/>
          <w:sz w:val="24"/>
        </w:rPr>
        <w:t xml:space="preserve">  D2.2: Reference Data Management (RDM)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Reference Data Management (RDM)</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how static, dynamic, and market reference data is sourced, managed, and applied to ensure accurate trade processing across the STO.</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Identify data sources and use security identifiers correctly in trade processing</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identify the key sources of reference data (Bloomberg, NSE, SWIFT) and explain the role of security identifiers (ISIN, CUSIP, SEDOL)</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D2.2 Video 1: Introduction to RDM</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D2.2 Video 3: RDM Process and Operational Impact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World map with data feed lines flowing from Bloomberg, NSE, SWIFT HQ to an STO.</w:t>
            </w:r>
          </w:p>
        </w:tc>
        <w:tc>
          <w:tcPr>
            <w:tcW w:type="dxa" w:w="2493"/>
          </w:tcPr>
          <w:p>
            <w:pPr>
              <w:jc w:val="center"/>
            </w:pPr>
            <w:r>
              <w:rPr>
                <w:rFonts w:ascii="Calibri" w:hAnsi="Calibri"/>
                <w:b/>
                <w:i w:val="0"/>
                <w:color w:val="007A87"/>
                <w:sz w:val="18"/>
              </w:rPr>
              <w:t>DATA SOURCES INTRO</w:t>
            </w:r>
          </w:p>
        </w:tc>
        <w:tc>
          <w:tcPr>
            <w:tcW w:type="dxa" w:w="2493"/>
          </w:tcPr>
          <w:p>
            <w:r>
              <w:rPr>
                <w:sz w:val="20"/>
              </w:rPr>
              <w:t>RYO: Reference data doesn't appear from thin air. It comes from a network of external data providers, exchanges, and industry utilities. Let's look at the key sources.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Bloomberg terminal screen highlighted. Data fields: price, yield, ratings, corporate actions.</w:t>
            </w:r>
          </w:p>
        </w:tc>
        <w:tc>
          <w:tcPr>
            <w:tcW w:type="dxa" w:w="2493"/>
          </w:tcPr>
          <w:p>
            <w:pPr>
              <w:jc w:val="center"/>
            </w:pPr>
            <w:r>
              <w:rPr>
                <w:rFonts w:ascii="Calibri" w:hAnsi="Calibri"/>
                <w:b/>
                <w:i w:val="0"/>
                <w:color w:val="007A87"/>
                <w:sz w:val="18"/>
              </w:rPr>
              <w:t>BLOOMBERG</w:t>
            </w:r>
          </w:p>
        </w:tc>
        <w:tc>
          <w:tcPr>
            <w:tcW w:type="dxa" w:w="2493"/>
          </w:tcPr>
          <w:p>
            <w:r>
              <w:rPr>
                <w:sz w:val="20"/>
              </w:rPr>
              <w:t>KAVI: Bloomberg is the world's dominant financial data provider. From Bloomberg, STOs receive: Instrument data — bond coupon rates, maturity dates, call schedules. Company data — financials, analyst ratings. Market data — real-time and end-of-day prices. Corporate action data — dividends, splits, rights issues. In India, Bloomberg connectivity is standard at all major banks and brokers.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NSE website screenshot: security details, corporate actions, holiday calendar.</w:t>
            </w:r>
          </w:p>
        </w:tc>
        <w:tc>
          <w:tcPr>
            <w:tcW w:type="dxa" w:w="2493"/>
          </w:tcPr>
          <w:p>
            <w:pPr>
              <w:jc w:val="center"/>
            </w:pPr>
            <w:r>
              <w:rPr>
                <w:rFonts w:ascii="Calibri" w:hAnsi="Calibri"/>
                <w:b/>
                <w:i w:val="0"/>
                <w:color w:val="007A87"/>
                <w:sz w:val="18"/>
              </w:rPr>
              <w:t>NSE BSE DATA</w:t>
            </w:r>
          </w:p>
        </w:tc>
        <w:tc>
          <w:tcPr>
            <w:tcW w:type="dxa" w:w="2493"/>
          </w:tcPr>
          <w:p>
            <w:r>
              <w:rPr>
                <w:sz w:val="20"/>
              </w:rPr>
              <w:t>ARIA: Indian STOs also pull data directly from NSE and BSE. NSE provides: Security master files — ISIN, lot size, settlement cycle. Holiday calendars — critical for settlement date calculation. Corporate action announcements — ex-dates, record dates, payout dates. CEMEX (NSE's clearing data) — margin requirements, settlement obligations.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SWIFT BIC directory screen. Counterparty SWIFT code lookup.</w:t>
            </w:r>
          </w:p>
        </w:tc>
        <w:tc>
          <w:tcPr>
            <w:tcW w:type="dxa" w:w="2493"/>
          </w:tcPr>
          <w:p>
            <w:pPr>
              <w:jc w:val="center"/>
            </w:pPr>
            <w:r>
              <w:rPr>
                <w:rFonts w:ascii="Calibri" w:hAnsi="Calibri"/>
                <w:b/>
                <w:i w:val="0"/>
                <w:color w:val="007A87"/>
                <w:sz w:val="18"/>
              </w:rPr>
              <w:t>SWIFT DATA</w:t>
            </w:r>
          </w:p>
        </w:tc>
        <w:tc>
          <w:tcPr>
            <w:tcW w:type="dxa" w:w="2493"/>
          </w:tcPr>
          <w:p>
            <w:r>
              <w:rPr>
                <w:sz w:val="20"/>
              </w:rPr>
              <w:t>RYO: SWIFT is the global messaging network for financial transactions. For reference data, SWIFT provides the BIC directory — Bank Identifier Codes for every financial institution globally. When a Back Office team sends a settlement instruction to a counterparty's custodian, they use the SWIFT BIC to route the message correctly. Getting the BIC wrong = settlement failure.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Comparison table: ISIN vs CUSIP vs SEDOL vs Bloomberg ticker vs NSE symbol.</w:t>
            </w:r>
          </w:p>
        </w:tc>
        <w:tc>
          <w:tcPr>
            <w:tcW w:type="dxa" w:w="2493"/>
          </w:tcPr>
          <w:p>
            <w:pPr>
              <w:jc w:val="center"/>
            </w:pPr>
            <w:r>
              <w:rPr>
                <w:rFonts w:ascii="Calibri" w:hAnsi="Calibri"/>
                <w:b/>
                <w:i w:val="0"/>
                <w:color w:val="007A87"/>
                <w:sz w:val="18"/>
              </w:rPr>
              <w:t>SECURITY IDENTIFIERS</w:t>
            </w:r>
          </w:p>
        </w:tc>
        <w:tc>
          <w:tcPr>
            <w:tcW w:type="dxa" w:w="2493"/>
          </w:tcPr>
          <w:p>
            <w:r>
              <w:rPr>
                <w:sz w:val="20"/>
              </w:rPr>
              <w:t>KAVI: Every security needs a unique identifier — like a national ID number. The main identifiers: ISIN (International Securities Identification Number): the global standard — 12-character code (e.g., INE002A01018 for Reliance). CUSIP: US domestic identifier — 9 characters. SEDOL: UK identifier — 7 characters. Bloomberg ticker: proprietary (e.g., RELIANCE IN Equity). NSE symbol: exchange-specific (e.g., RELIANCE). ARIA: Indian operations teams use ISIN as the primary identifier for settlement with depositories (NSDL/CDSL). Using NSE symbols alone can cause errors when the same company has multiple share classes.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Data source summary infographic.</w:t>
            </w:r>
          </w:p>
        </w:tc>
        <w:tc>
          <w:tcPr>
            <w:tcW w:type="dxa" w:w="2493"/>
          </w:tcPr>
          <w:p>
            <w:pPr>
              <w:jc w:val="center"/>
            </w:pPr>
            <w:r>
              <w:rPr>
                <w:rFonts w:ascii="Calibri" w:hAnsi="Calibri"/>
                <w:b/>
                <w:i w:val="0"/>
                <w:color w:val="007A87"/>
                <w:sz w:val="18"/>
              </w:rPr>
              <w:t>RECAP D2 2 V2</w:t>
            </w:r>
          </w:p>
        </w:tc>
        <w:tc>
          <w:tcPr>
            <w:tcW w:type="dxa" w:w="2493"/>
          </w:tcPr>
          <w:p>
            <w:r>
              <w:rPr>
                <w:sz w:val="20"/>
              </w:rPr>
              <w:t>RYO: Key sources: Bloomberg (instrument and market data), NSE/BSE (Indian market data), SWIFT (counterparty BICs). KAVI: Key identifiers: ISIN is the global standard. Always use ISIN for settlement instructions. In Video 3, we'll see how the RDM team manages this data operationally — and what happens when data goes stale.</w:t>
            </w:r>
          </w:p>
        </w:tc>
      </w:tr>
    </w:tbl>
    <w:p/>
    <w:p>
      <w:r>
        <w:rPr>
          <w:rFonts w:ascii="Calibri" w:hAnsi="Calibri"/>
          <w:b/>
          <w:i w:val="0"/>
          <w:color w:val="007A87"/>
          <w:sz w:val="20"/>
        </w:rPr>
        <w:t xml:space="preserve">▶ Transition: </w:t>
      </w:r>
      <w:r>
        <w:rPr>
          <w:rFonts w:ascii="Calibri" w:hAnsi="Calibri"/>
          <w:b w:val="0"/>
          <w:i/>
          <w:color w:val="404040"/>
          <w:sz w:val="20"/>
        </w:rPr>
        <w:t>Next — D2.2 Video 3: RDM Process and Operational Impact</w:t>
      </w:r>
    </w:p>
    <w:p>
      <w:r>
        <w:br w:type="page"/>
      </w:r>
    </w:p>
    <w:p>
      <w:pPr>
        <w:spacing w:before="120"/>
        <w:shd w:val="clear" w:color="auto" w:fill="101C4F"/>
      </w:pPr>
      <w:r>
        <w:rPr>
          <w:rFonts w:ascii="Calibri" w:hAnsi="Calibri"/>
          <w:b/>
          <w:i w:val="0"/>
          <w:color w:val="FFFFFF"/>
          <w:sz w:val="24"/>
        </w:rPr>
        <w:t xml:space="preserve">  D2.2: Reference Data Management (RDM)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Reference Data Management (RDM)</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how static, dynamic, and market reference data is sourced, managed, and applied to ensure accurate trade processing across the STO.</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reference data quality to downstream settlement, P&amp;L, and regulatory reporting outcomes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RDM operational process and explain how reference data errors create settlement failures, P&amp;L breaks, and compliance risks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D2.2 Video 2: Data Sources and Identifiers</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D2.3 Video 1: Exchange Trade Initiation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Flowchart: Data sourcing → Validation → Enrichment → Distribution → Maintenance.</w:t>
            </w:r>
          </w:p>
        </w:tc>
        <w:tc>
          <w:tcPr>
            <w:tcW w:type="dxa" w:w="2493"/>
          </w:tcPr>
          <w:p>
            <w:pPr>
              <w:jc w:val="center"/>
            </w:pPr>
            <w:r>
              <w:rPr>
                <w:rFonts w:ascii="Calibri" w:hAnsi="Calibri"/>
                <w:b/>
                <w:i w:val="0"/>
                <w:color w:val="007A87"/>
                <w:sz w:val="18"/>
              </w:rPr>
              <w:t>RDM PROCESS</w:t>
            </w:r>
          </w:p>
        </w:tc>
        <w:tc>
          <w:tcPr>
            <w:tcW w:type="dxa" w:w="2493"/>
          </w:tcPr>
          <w:p>
            <w:r>
              <w:rPr>
                <w:sz w:val="20"/>
              </w:rPr>
              <w:t>ARIA: The Reference Data Management process has five stages: Source — collect data from Bloomberg, NSE, SWIFT, and other vendors. Validate — check for completeness, accuracy, and consistency. Enrich — add derived fields (e.g., settlement date = trade date + 1 business day). Distribute — push approved data to all downstream systems: OMS, settlement, risk, accounting. Maintain — update data when corporate actions or market changes occur.</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Office setting. RDM team at their stations — one fixing a corporate action record, another validating a new security setup.</w:t>
            </w:r>
          </w:p>
        </w:tc>
        <w:tc>
          <w:tcPr>
            <w:tcW w:type="dxa" w:w="2493"/>
          </w:tcPr>
          <w:p>
            <w:pPr>
              <w:jc w:val="center"/>
            </w:pPr>
            <w:r>
              <w:rPr>
                <w:rFonts w:ascii="Calibri" w:hAnsi="Calibri"/>
                <w:b/>
                <w:i w:val="0"/>
                <w:color w:val="007A87"/>
                <w:sz w:val="18"/>
              </w:rPr>
              <w:t>RDM TEAM</w:t>
            </w:r>
          </w:p>
        </w:tc>
        <w:tc>
          <w:tcPr>
            <w:tcW w:type="dxa" w:w="2493"/>
          </w:tcPr>
          <w:p>
            <w:r>
              <w:rPr>
                <w:sz w:val="20"/>
              </w:rPr>
              <w:t>RYO: The Reference Data Team is responsible for setting up new securities in the system before any trading begins. When a new bond is issued, the RDM team creates the security record — entering all static fields from the Bloomberg data. When a corporate action is announced (dividend, bonus share), the RDM team updates the record with ex-dates, record dates, payout amounts. This must happen correctly before trading starts — or all trades book against wrong data.</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Animation: A corporate action was not updated. Bond coupon rate still shows old rate. P&amp;L incorrect.</w:t>
            </w:r>
          </w:p>
        </w:tc>
        <w:tc>
          <w:tcPr>
            <w:tcW w:type="dxa" w:w="2493"/>
          </w:tcPr>
          <w:p>
            <w:pPr>
              <w:jc w:val="center"/>
            </w:pPr>
            <w:r>
              <w:rPr>
                <w:rFonts w:ascii="Calibri" w:hAnsi="Calibri"/>
                <w:b/>
                <w:i w:val="0"/>
                <w:color w:val="007A87"/>
                <w:sz w:val="18"/>
              </w:rPr>
              <w:t>STALE DATA</w:t>
            </w:r>
          </w:p>
        </w:tc>
        <w:tc>
          <w:tcPr>
            <w:tcW w:type="dxa" w:w="2493"/>
          </w:tcPr>
          <w:p>
            <w:r>
              <w:rPr>
                <w:sz w:val="20"/>
              </w:rPr>
              <w:t>KAVI: What is stale data? Data that was once correct but has not been updated when the underlying reality changed. Example: Infosys announces a 2:1 bonus share. The RDM team doesn't update the lot size and price adjustment fields. Trades continue booking at the pre-bonus price. The P&amp;L report shows a fictitious gain. Clients' portfolio valuations are wrong. This is a real, common operational risk.</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Regulator's screen showing trade report with incorrect data. SEBI inquiry notice.</w:t>
            </w:r>
          </w:p>
        </w:tc>
        <w:tc>
          <w:tcPr>
            <w:tcW w:type="dxa" w:w="2493"/>
          </w:tcPr>
          <w:p>
            <w:pPr>
              <w:jc w:val="center"/>
            </w:pPr>
            <w:r>
              <w:rPr>
                <w:rFonts w:ascii="Calibri" w:hAnsi="Calibri"/>
                <w:b/>
                <w:i w:val="0"/>
                <w:color w:val="007A87"/>
                <w:sz w:val="18"/>
              </w:rPr>
              <w:t>REGULATORY IMPACT</w:t>
            </w:r>
          </w:p>
        </w:tc>
        <w:tc>
          <w:tcPr>
            <w:tcW w:type="dxa" w:w="2493"/>
          </w:tcPr>
          <w:p>
            <w:r>
              <w:rPr>
                <w:sz w:val="20"/>
              </w:rPr>
              <w:t>ARIA: Reference data errors also hit regulatory reporting. RBI and SEBI require trade reports with correct ISINs, counterparty LEIs, and instrument classifications. If reference data is wrong, the regulatory report is wrong — creating compliance risk. ARIA: Under SEBI's LODR regulations, companies must report corporate actions accurately and timely. Depositories like NSDL cross-check their records against STOs' reference data to identify discrepancies.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Checklist animation: dual-control for new security setup, daily data quality checks, exception reports.</w:t>
            </w:r>
          </w:p>
        </w:tc>
        <w:tc>
          <w:tcPr>
            <w:tcW w:type="dxa" w:w="2493"/>
          </w:tcPr>
          <w:p>
            <w:pPr>
              <w:jc w:val="center"/>
            </w:pPr>
            <w:r>
              <w:rPr>
                <w:rFonts w:ascii="Calibri" w:hAnsi="Calibri"/>
                <w:b/>
                <w:i w:val="0"/>
                <w:color w:val="007A87"/>
                <w:sz w:val="18"/>
              </w:rPr>
              <w:t>CONTROLS</w:t>
            </w:r>
          </w:p>
        </w:tc>
        <w:tc>
          <w:tcPr>
            <w:tcW w:type="dxa" w:w="2493"/>
          </w:tcPr>
          <w:p>
            <w:r>
              <w:rPr>
                <w:sz w:val="20"/>
              </w:rPr>
              <w:t>KAVI: Best practice RDM controls include: Four-eyes principle — all new security setups require a maker-checker review. Daily data quality reports — automated checks for missing fields, out-of-range values, stale records. Vendor comparison — cross-checking Bloomberg data against NSE source data for Indian securities. Exception management — flagging and resolving all data issues before market open.</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Full RDM process summary.</w:t>
            </w:r>
          </w:p>
        </w:tc>
        <w:tc>
          <w:tcPr>
            <w:tcW w:type="dxa" w:w="2493"/>
          </w:tcPr>
          <w:p>
            <w:pPr>
              <w:jc w:val="center"/>
            </w:pPr>
            <w:r>
              <w:rPr>
                <w:rFonts w:ascii="Calibri" w:hAnsi="Calibri"/>
                <w:b/>
                <w:i w:val="0"/>
                <w:color w:val="007A87"/>
                <w:sz w:val="18"/>
              </w:rPr>
              <w:t>RECAP D2 2 V3</w:t>
            </w:r>
          </w:p>
        </w:tc>
        <w:tc>
          <w:tcPr>
            <w:tcW w:type="dxa" w:w="2493"/>
          </w:tcPr>
          <w:p>
            <w:r>
              <w:rPr>
                <w:sz w:val="20"/>
              </w:rPr>
              <w:t>RYO: The RDM process: Source → Validate → Enrich → Distribute → Maintain. Stale or incorrect data causes settlement failures, P&amp;L errors, and regulatory violations. ARIA: The RDM team is often underestimated — but they are the backbone of operational accuracy. Up next: the Exchange Trade Lifecycle begins with how trades are initiated and executed.</w:t>
            </w:r>
          </w:p>
        </w:tc>
      </w:tr>
    </w:tbl>
    <w:p/>
    <w:p>
      <w:r>
        <w:rPr>
          <w:rFonts w:ascii="Calibri" w:hAnsi="Calibri"/>
          <w:b/>
          <w:i w:val="0"/>
          <w:color w:val="007A87"/>
          <w:sz w:val="20"/>
        </w:rPr>
        <w:t xml:space="preserve">▶ Transition: </w:t>
      </w:r>
      <w:r>
        <w:rPr>
          <w:rFonts w:ascii="Calibri" w:hAnsi="Calibri"/>
          <w:b w:val="0"/>
          <w:i/>
          <w:color w:val="404040"/>
          <w:sz w:val="20"/>
        </w:rPr>
        <w:t>Next — D2.3 Video 1: Exchange Trade Initiation</w:t>
      </w:r>
    </w:p>
    <w:p>
      <w:r>
        <w:br w:type="page"/>
      </w:r>
    </w:p>
    <w:p>
      <w:pPr>
        <w:spacing w:before="120"/>
        <w:shd w:val="clear" w:color="auto" w:fill="101C4F"/>
      </w:pPr>
      <w:r>
        <w:rPr>
          <w:rFonts w:ascii="Calibri" w:hAnsi="Calibri"/>
          <w:b/>
          <w:i w:val="0"/>
          <w:color w:val="FFFFFF"/>
          <w:sz w:val="24"/>
        </w:rPr>
        <w:t xml:space="preserve">  D2.3: Exchange Trade Lifecycle: Initiation and Execution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Exchange Trade Lifecycle: Initiation and Execution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how an exchange trade is initiated, what order types are available, and how execution occurs through OMS and exchange market infrastructure.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a trade and explain the trade initiation process for exchange-traded instruments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constitutes a trade, who the participants are, and how a trade is initiated on an exchange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D2.2: Reference Data Management</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D2.3 Video 2: Order Types and Trade Execution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Animation: A handshake icon evolving into a formal trade ticket with all fields labelled.</w:t>
            </w:r>
          </w:p>
        </w:tc>
        <w:tc>
          <w:tcPr>
            <w:tcW w:type="dxa" w:w="2493"/>
          </w:tcPr>
          <w:p>
            <w:pPr>
              <w:jc w:val="center"/>
            </w:pPr>
            <w:r>
              <w:rPr>
                <w:rFonts w:ascii="Calibri" w:hAnsi="Calibri"/>
                <w:b/>
                <w:i w:val="0"/>
                <w:color w:val="007A87"/>
                <w:sz w:val="18"/>
              </w:rPr>
              <w:t>TRADE DEF</w:t>
            </w:r>
          </w:p>
        </w:tc>
        <w:tc>
          <w:tcPr>
            <w:tcW w:type="dxa" w:w="2493"/>
          </w:tcPr>
          <w:p>
            <w:r>
              <w:rPr>
                <w:sz w:val="20"/>
              </w:rPr>
              <w:t>KAVI: What exactly is a trade? A trade is a legally binding agreement between two parties to buy or sell a financial instrument at a specified price and quantity on a specified date. RYO: On an exchange like NSE or BSE, thousands of such agreements happen every second. Each one triggers a cascade of operational events.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Circle diagram: Investor → Broker/Member → Exchange → Clearing Corporation → Custodian/Depository.</w:t>
            </w:r>
          </w:p>
        </w:tc>
        <w:tc>
          <w:tcPr>
            <w:tcW w:type="dxa" w:w="2493"/>
          </w:tcPr>
          <w:p>
            <w:pPr>
              <w:jc w:val="center"/>
            </w:pPr>
            <w:r>
              <w:rPr>
                <w:rFonts w:ascii="Calibri" w:hAnsi="Calibri"/>
                <w:b/>
                <w:i w:val="0"/>
                <w:color w:val="007A87"/>
                <w:sz w:val="18"/>
              </w:rPr>
              <w:t>PARTICIPANTS</w:t>
            </w:r>
          </w:p>
        </w:tc>
        <w:tc>
          <w:tcPr>
            <w:tcW w:type="dxa" w:w="2493"/>
          </w:tcPr>
          <w:p>
            <w:r>
              <w:rPr>
                <w:sz w:val="20"/>
              </w:rPr>
              <w:t>ARIA: The key participants in an exchange trade: The Investor — places the order (retail, institutional, FPI). The Broker/Trading Member — executes the order on the exchange on the investor's behalf. The Exchange (NSE/BSE) — provides the electronic order matching platform. The Clearing Corporation (NSCCL/BSE Clearing) — guarantees settlement. The Custodian/Depository (NSDL/CDSL) — holds the securities.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Screen showing: investment decision → portfolio manager → trader → order management system.</w:t>
            </w:r>
          </w:p>
        </w:tc>
        <w:tc>
          <w:tcPr>
            <w:tcW w:type="dxa" w:w="2493"/>
          </w:tcPr>
          <w:p>
            <w:pPr>
              <w:jc w:val="center"/>
            </w:pPr>
            <w:r>
              <w:rPr>
                <w:rFonts w:ascii="Calibri" w:hAnsi="Calibri"/>
                <w:b/>
                <w:i w:val="0"/>
                <w:color w:val="007A87"/>
                <w:sz w:val="18"/>
              </w:rPr>
              <w:t>TRADE INITIATION</w:t>
            </w:r>
          </w:p>
        </w:tc>
        <w:tc>
          <w:tcPr>
            <w:tcW w:type="dxa" w:w="2493"/>
          </w:tcPr>
          <w:p>
            <w:r>
              <w:rPr>
                <w:sz w:val="20"/>
              </w:rPr>
              <w:t>RYO: Trade initiation starts with an investment decision — a portfolio manager decides to buy Tata Steel based on research. They communicate the order to their trader: 'Buy 50,000 shares of Tata Steel at best market price.' The trader enters this into the Order Management System (OMS) — a software platform that captures, routes, and tracks orders.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OMS screen showing order fields: security, direction, quantity, price, order type, client code, fund.</w:t>
            </w:r>
          </w:p>
        </w:tc>
        <w:tc>
          <w:tcPr>
            <w:tcW w:type="dxa" w:w="2493"/>
          </w:tcPr>
          <w:p>
            <w:pPr>
              <w:jc w:val="center"/>
            </w:pPr>
            <w:r>
              <w:rPr>
                <w:rFonts w:ascii="Calibri" w:hAnsi="Calibri"/>
                <w:b/>
                <w:i w:val="0"/>
                <w:color w:val="007A87"/>
                <w:sz w:val="18"/>
              </w:rPr>
              <w:t>OMS</w:t>
            </w:r>
          </w:p>
        </w:tc>
        <w:tc>
          <w:tcPr>
            <w:tcW w:type="dxa" w:w="2493"/>
          </w:tcPr>
          <w:p>
            <w:r>
              <w:rPr>
                <w:sz w:val="20"/>
              </w:rPr>
              <w:t>KAVI: The OMS captures all the key order details: Security (Tata Steel — NSE symbol: TATASTEEL). Direction (Buy). Quantity (50,000 shares). Price (Market or limit). Order type (we'll cover this in detail in Video 2). Client code (which fund or client is this for). These fields come directly from — you guessed it — the reference data system!</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Side-by-side: Buy-side (mutual funds, insurance, pension) vs Sell-side (banks, brokers, dealers).</w:t>
            </w:r>
          </w:p>
        </w:tc>
        <w:tc>
          <w:tcPr>
            <w:tcW w:type="dxa" w:w="2493"/>
          </w:tcPr>
          <w:p>
            <w:pPr>
              <w:jc w:val="center"/>
            </w:pPr>
            <w:r>
              <w:rPr>
                <w:rFonts w:ascii="Calibri" w:hAnsi="Calibri"/>
                <w:b/>
                <w:i w:val="0"/>
                <w:color w:val="007A87"/>
                <w:sz w:val="18"/>
              </w:rPr>
              <w:t>MARKET PARTICIPANTS</w:t>
            </w:r>
          </w:p>
        </w:tc>
        <w:tc>
          <w:tcPr>
            <w:tcW w:type="dxa" w:w="2493"/>
          </w:tcPr>
          <w:p>
            <w:r>
              <w:rPr>
                <w:sz w:val="20"/>
              </w:rPr>
              <w:t>ARIA: In the exchange world, we have two broad types of participants. Buy-side: asset managers, mutual funds, insurance companies, pension funds — they are buying securities to build investment portfolios. Sell-side: investment banks, brokers, market makers — they facilitate transactions, provide liquidity, and execute orders for the buy-side. RYO: In India, registered FPIs (Foreign Portfolio Investors) are another key category — they bring global capital into Indian equity and debt markets.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Trade initiation summary diagram.</w:t>
            </w:r>
          </w:p>
        </w:tc>
        <w:tc>
          <w:tcPr>
            <w:tcW w:type="dxa" w:w="2493"/>
          </w:tcPr>
          <w:p>
            <w:pPr>
              <w:jc w:val="center"/>
            </w:pPr>
            <w:r>
              <w:rPr>
                <w:rFonts w:ascii="Calibri" w:hAnsi="Calibri"/>
                <w:b/>
                <w:i w:val="0"/>
                <w:color w:val="007A87"/>
                <w:sz w:val="18"/>
              </w:rPr>
              <w:t>RECAP D2 3 V1</w:t>
            </w:r>
          </w:p>
        </w:tc>
        <w:tc>
          <w:tcPr>
            <w:tcW w:type="dxa" w:w="2493"/>
          </w:tcPr>
          <w:p>
            <w:r>
              <w:rPr>
                <w:sz w:val="20"/>
              </w:rPr>
              <w:t>KAVI: Trade initiation: investment decision → OMS entry → exchange connectivity. The key participants span buy-side, sell-side, exchange, clearing, and custody. ARIA: In Video 2, we'll explore the different order types available and how orders are actually executed on NSE/BSE.</w:t>
            </w:r>
          </w:p>
        </w:tc>
      </w:tr>
    </w:tbl>
    <w:p/>
    <w:p>
      <w:r>
        <w:rPr>
          <w:rFonts w:ascii="Calibri" w:hAnsi="Calibri"/>
          <w:b/>
          <w:i w:val="0"/>
          <w:color w:val="007A87"/>
          <w:sz w:val="20"/>
        </w:rPr>
        <w:t xml:space="preserve">▶ Transition: </w:t>
      </w:r>
      <w:r>
        <w:rPr>
          <w:rFonts w:ascii="Calibri" w:hAnsi="Calibri"/>
          <w:b w:val="0"/>
          <w:i/>
          <w:color w:val="404040"/>
          <w:sz w:val="20"/>
        </w:rPr>
        <w:t>Next — D2.3 Video 2: Order Types and Trade Execution</w:t>
      </w:r>
    </w:p>
    <w:p>
      <w:r>
        <w:br w:type="page"/>
      </w:r>
    </w:p>
    <w:p>
      <w:pPr>
        <w:spacing w:before="120"/>
        <w:shd w:val="clear" w:color="auto" w:fill="101C4F"/>
      </w:pPr>
      <w:r>
        <w:rPr>
          <w:rFonts w:ascii="Calibri" w:hAnsi="Calibri"/>
          <w:b/>
          <w:i w:val="0"/>
          <w:color w:val="FFFFFF"/>
          <w:sz w:val="24"/>
        </w:rPr>
        <w:t xml:space="preserve">  D2.3: Exchange Trade Lifecycle: Initiation and Execution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Exchange Trade Lifecycle: Initiation and Execution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how an exchange trade is initiated, what order types are available, and how execution occurs through OMS and exchange market infrastructure.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Distinguish between order types and trace the execution of an order on NSE</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identify and apply the main order types (market, limit, stop-loss) and describe how orders are matched and executed on the exchange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D2.3 Video 1: Trade Initiation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D2.3 Video 3: Execution Channels and DMA</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Menu of order types appearing on a trading terminal screen.</w:t>
            </w:r>
          </w:p>
        </w:tc>
        <w:tc>
          <w:tcPr>
            <w:tcW w:type="dxa" w:w="2493"/>
          </w:tcPr>
          <w:p>
            <w:pPr>
              <w:jc w:val="center"/>
            </w:pPr>
            <w:r>
              <w:rPr>
                <w:rFonts w:ascii="Calibri" w:hAnsi="Calibri"/>
                <w:b/>
                <w:i w:val="0"/>
                <w:color w:val="007A87"/>
                <w:sz w:val="18"/>
              </w:rPr>
              <w:t>ORDER TYPES INTRO</w:t>
            </w:r>
          </w:p>
        </w:tc>
        <w:tc>
          <w:tcPr>
            <w:tcW w:type="dxa" w:w="2493"/>
          </w:tcPr>
          <w:p>
            <w:r>
              <w:rPr>
                <w:sz w:val="20"/>
              </w:rPr>
              <w:t>RYO: Once a decision is made, HOW you place the order matters enormously. There are several order types, each serving a different purpose. Let's go through the main ones.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Animation: order placed with 'AT MARKET' stamp. Immediate fill at best available price.</w:t>
            </w:r>
          </w:p>
        </w:tc>
        <w:tc>
          <w:tcPr>
            <w:tcW w:type="dxa" w:w="2493"/>
          </w:tcPr>
          <w:p>
            <w:pPr>
              <w:jc w:val="center"/>
            </w:pPr>
            <w:r>
              <w:rPr>
                <w:rFonts w:ascii="Calibri" w:hAnsi="Calibri"/>
                <w:b/>
                <w:i w:val="0"/>
                <w:color w:val="007A87"/>
                <w:sz w:val="18"/>
              </w:rPr>
              <w:t>MARKET ORDER</w:t>
            </w:r>
          </w:p>
        </w:tc>
        <w:tc>
          <w:tcPr>
            <w:tcW w:type="dxa" w:w="2493"/>
          </w:tcPr>
          <w:p>
            <w:r>
              <w:rPr>
                <w:sz w:val="20"/>
              </w:rPr>
              <w:t>KAVI: Market Order: Buy or sell immediately at the best available price in the market. Pros: guaranteed execution — your order will fill. Cons: price risk — in volatile markets, you may get a much worse price than expected. Used when: speed is more important than price precision. Example: 'Buy 1,000 shares of HDFC Bank at market' — fills instantly at whatever the exchange is showing.</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Order book screen: limit buy order placed at ₹1,800. Order sits in queue until price reached.</w:t>
            </w:r>
          </w:p>
        </w:tc>
        <w:tc>
          <w:tcPr>
            <w:tcW w:type="dxa" w:w="2493"/>
          </w:tcPr>
          <w:p>
            <w:pPr>
              <w:jc w:val="center"/>
            </w:pPr>
            <w:r>
              <w:rPr>
                <w:rFonts w:ascii="Calibri" w:hAnsi="Calibri"/>
                <w:b/>
                <w:i w:val="0"/>
                <w:color w:val="007A87"/>
                <w:sz w:val="18"/>
              </w:rPr>
              <w:t>LIMIT ORDER</w:t>
            </w:r>
          </w:p>
        </w:tc>
        <w:tc>
          <w:tcPr>
            <w:tcW w:type="dxa" w:w="2493"/>
          </w:tcPr>
          <w:p>
            <w:r>
              <w:rPr>
                <w:sz w:val="20"/>
              </w:rPr>
              <w:t>ARIA: Limit Order: Buy at no more than price X, or sell at no less than price Y. Pros: price certainty — you control the maximum you'll pay. Cons: no execution guarantee — if the price never reaches your limit, the order doesn't fill. Used when: price is more important than speed. Example: 'Buy 1,000 HDFC Bank, limit ₹1,800' — order waits in the NSE order book until a seller appears at ₹1,800 or below.</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Chart showing price dropping. Stop-loss triggers at ₹1,750, order converts to market order.</w:t>
            </w:r>
          </w:p>
        </w:tc>
        <w:tc>
          <w:tcPr>
            <w:tcW w:type="dxa" w:w="2493"/>
          </w:tcPr>
          <w:p>
            <w:pPr>
              <w:jc w:val="center"/>
            </w:pPr>
            <w:r>
              <w:rPr>
                <w:rFonts w:ascii="Calibri" w:hAnsi="Calibri"/>
                <w:b/>
                <w:i w:val="0"/>
                <w:color w:val="007A87"/>
                <w:sz w:val="18"/>
              </w:rPr>
              <w:t>STOP LOSS</w:t>
            </w:r>
          </w:p>
        </w:tc>
        <w:tc>
          <w:tcPr>
            <w:tcW w:type="dxa" w:w="2493"/>
          </w:tcPr>
          <w:p>
            <w:r>
              <w:rPr>
                <w:sz w:val="20"/>
              </w:rPr>
              <w:t>RYO: Stop-Loss Order: an order to sell (or buy) once the price crosses a trigger level. Purpose: to limit losses. How it works: 'Place a stop-loss sell at ₹1,750' — if the share price falls to ₹1,750, the stop-loss activates and becomes a market sell order. In India, NSE supports stop-loss limit and stop-loss market orders. Important: during a market crash, stop-losses can trigger in a cascade — amplifying the fall.</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NSE order book animation: bids on the left, offers on the right. Orders match when price meets.</w:t>
            </w:r>
          </w:p>
        </w:tc>
        <w:tc>
          <w:tcPr>
            <w:tcW w:type="dxa" w:w="2493"/>
          </w:tcPr>
          <w:p>
            <w:pPr>
              <w:jc w:val="center"/>
            </w:pPr>
            <w:r>
              <w:rPr>
                <w:rFonts w:ascii="Calibri" w:hAnsi="Calibri"/>
                <w:b/>
                <w:i w:val="0"/>
                <w:color w:val="007A87"/>
                <w:sz w:val="18"/>
              </w:rPr>
              <w:t>ORDER MATCHING</w:t>
            </w:r>
          </w:p>
        </w:tc>
        <w:tc>
          <w:tcPr>
            <w:tcW w:type="dxa" w:w="2493"/>
          </w:tcPr>
          <w:p>
            <w:r>
              <w:rPr>
                <w:sz w:val="20"/>
              </w:rPr>
              <w:t>KAVI: How does the exchange match orders? NSE uses price-time priority: all buy orders are ranked by price (highest price first), then by time (earliest first). All sell orders are ranked by price (lowest first), then time. ARIA: When the best bid price equals the best ask price — a match is made. The trade is executed. Both buyer and seller are informed simultaneously. This happens in milliseconds on NSE's electronic trading system.</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Order type summary table.</w:t>
            </w:r>
          </w:p>
        </w:tc>
        <w:tc>
          <w:tcPr>
            <w:tcW w:type="dxa" w:w="2493"/>
          </w:tcPr>
          <w:p>
            <w:pPr>
              <w:jc w:val="center"/>
            </w:pPr>
            <w:r>
              <w:rPr>
                <w:rFonts w:ascii="Calibri" w:hAnsi="Calibri"/>
                <w:b/>
                <w:i w:val="0"/>
                <w:color w:val="007A87"/>
                <w:sz w:val="18"/>
              </w:rPr>
              <w:t>RECAP D2 3 V2</w:t>
            </w:r>
          </w:p>
        </w:tc>
        <w:tc>
          <w:tcPr>
            <w:tcW w:type="dxa" w:w="2493"/>
          </w:tcPr>
          <w:p>
            <w:r>
              <w:rPr>
                <w:sz w:val="20"/>
              </w:rPr>
              <w:t>RYO: Market order = guaranteed execution, price uncertainty. Limit order = price certainty, no execution guarantee. Stop-loss = automated loss-limitation trigger. KAVI: NSE matches orders using price-time priority. In Video 3, we'll look at execution channels — from traditional broker terminals to Direct Market Access (DMA) used by sophisticated institutions.</w:t>
            </w:r>
          </w:p>
        </w:tc>
      </w:tr>
    </w:tbl>
    <w:p/>
    <w:p>
      <w:r>
        <w:rPr>
          <w:rFonts w:ascii="Calibri" w:hAnsi="Calibri"/>
          <w:b/>
          <w:i w:val="0"/>
          <w:color w:val="007A87"/>
          <w:sz w:val="20"/>
        </w:rPr>
        <w:t xml:space="preserve">▶ Transition: </w:t>
      </w:r>
      <w:r>
        <w:rPr>
          <w:rFonts w:ascii="Calibri" w:hAnsi="Calibri"/>
          <w:b w:val="0"/>
          <w:i/>
          <w:color w:val="404040"/>
          <w:sz w:val="20"/>
        </w:rPr>
        <w:t>Next — D2.3 Video 3: Execution Channels and DMA</w:t>
      </w:r>
    </w:p>
    <w:p>
      <w:r>
        <w:br w:type="page"/>
      </w:r>
    </w:p>
    <w:p>
      <w:pPr>
        <w:spacing w:before="120"/>
        <w:shd w:val="clear" w:color="auto" w:fill="101C4F"/>
      </w:pPr>
      <w:r>
        <w:rPr>
          <w:rFonts w:ascii="Calibri" w:hAnsi="Calibri"/>
          <w:b/>
          <w:i w:val="0"/>
          <w:color w:val="FFFFFF"/>
          <w:sz w:val="24"/>
        </w:rPr>
        <w:t xml:space="preserve">  D2.3: Exchange Trade Lifecycle: Initiation and Execution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Exchange Trade Lifecycle: Initiation and Execution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how an exchange trade is initiated, what order types are available, and how execution occurs through OMS and exchange market infrastructure.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execution quality and channel choice to downstream operational risk</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compare execution channels (voice, OMS, DMA, algorithmic) and explain how execution quality affects post-trade operations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D2.3 Video 2: Order Types</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D2.4 Video 1: Trade Capture and Enrichment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Graphic: four execution channels shown as lanes — voice, OMS, DMA, algo.</w:t>
            </w:r>
          </w:p>
        </w:tc>
        <w:tc>
          <w:tcPr>
            <w:tcW w:type="dxa" w:w="2493"/>
          </w:tcPr>
          <w:p>
            <w:pPr>
              <w:jc w:val="center"/>
            </w:pPr>
            <w:r>
              <w:rPr>
                <w:rFonts w:ascii="Calibri" w:hAnsi="Calibri"/>
                <w:b/>
                <w:i w:val="0"/>
                <w:color w:val="007A87"/>
                <w:sz w:val="18"/>
              </w:rPr>
              <w:t>EXEC CHANNELS INTRO</w:t>
            </w:r>
          </w:p>
        </w:tc>
        <w:tc>
          <w:tcPr>
            <w:tcW w:type="dxa" w:w="2493"/>
          </w:tcPr>
          <w:p>
            <w:r>
              <w:rPr>
                <w:sz w:val="20"/>
              </w:rPr>
              <w:t>ARIA: How does an order actually reach the exchange? There are four main execution channels, each with different operational implications.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Character on phone: portfolio manager calling broker. Manual trade ticket written.</w:t>
            </w:r>
          </w:p>
        </w:tc>
        <w:tc>
          <w:tcPr>
            <w:tcW w:type="dxa" w:w="2493"/>
          </w:tcPr>
          <w:p>
            <w:pPr>
              <w:jc w:val="center"/>
            </w:pPr>
            <w:r>
              <w:rPr>
                <w:rFonts w:ascii="Calibri" w:hAnsi="Calibri"/>
                <w:b/>
                <w:i w:val="0"/>
                <w:color w:val="007A87"/>
                <w:sz w:val="18"/>
              </w:rPr>
              <w:t>VOICE EXEC</w:t>
            </w:r>
          </w:p>
        </w:tc>
        <w:tc>
          <w:tcPr>
            <w:tcW w:type="dxa" w:w="2493"/>
          </w:tcPr>
          <w:p>
            <w:r>
              <w:rPr>
                <w:sz w:val="20"/>
              </w:rPr>
              <w:t>KAVI: Voice Execution: the traditional method — client calls broker, broker executes on the exchange, calls back with fill details. Still used for large, illiquid trades where human judgment adds value. Operational risk: manual ticket entry → higher error rate. Compliance requirement: all voice trades must be recorded under SEBI regulations.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OMS routing screen: order entered → FIX protocol message → exchange gateway → fill confirmation back.</w:t>
            </w:r>
          </w:p>
        </w:tc>
        <w:tc>
          <w:tcPr>
            <w:tcW w:type="dxa" w:w="2493"/>
          </w:tcPr>
          <w:p>
            <w:pPr>
              <w:jc w:val="center"/>
            </w:pPr>
            <w:r>
              <w:rPr>
                <w:rFonts w:ascii="Calibri" w:hAnsi="Calibri"/>
                <w:b/>
                <w:i w:val="0"/>
                <w:color w:val="007A87"/>
                <w:sz w:val="18"/>
              </w:rPr>
              <w:t>OMS EXEC</w:t>
            </w:r>
          </w:p>
        </w:tc>
        <w:tc>
          <w:tcPr>
            <w:tcW w:type="dxa" w:w="2493"/>
          </w:tcPr>
          <w:p>
            <w:r>
              <w:rPr>
                <w:sz w:val="20"/>
              </w:rPr>
              <w:t>RYO: OMS (Order Management System) Execution: the portfolio manager enters the order into an OMS (like Charles River, Macgregor, or Flextrade). The OMS sends the order electronically via FIX protocol to the broker's exchange gateway. The execution report comes back automatically and updates the position. Benefit: straight-through processing — no manual re-keying. This is the standard for institutional buy-side trading.</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Speed graphic: DMA order bypasses broker's intervention, goes directly to exchange with microsecond latency.</w:t>
            </w:r>
          </w:p>
        </w:tc>
        <w:tc>
          <w:tcPr>
            <w:tcW w:type="dxa" w:w="2493"/>
          </w:tcPr>
          <w:p>
            <w:pPr>
              <w:jc w:val="center"/>
            </w:pPr>
            <w:r>
              <w:rPr>
                <w:rFonts w:ascii="Calibri" w:hAnsi="Calibri"/>
                <w:b/>
                <w:i w:val="0"/>
                <w:color w:val="007A87"/>
                <w:sz w:val="18"/>
              </w:rPr>
              <w:t>DMA</w:t>
            </w:r>
          </w:p>
        </w:tc>
        <w:tc>
          <w:tcPr>
            <w:tcW w:type="dxa" w:w="2493"/>
          </w:tcPr>
          <w:p>
            <w:r>
              <w:rPr>
                <w:sz w:val="20"/>
              </w:rPr>
              <w:t>ARIA: Direct Market Access (DMA): institutional investors can access the exchange order book directly through a sponsored broker connection — without a human broker in the middle. SEBI permits DMA in India for institutional clients. Benefits: faster execution, better price discovery, lower market impact for large orders. Operational requirement: the sponsoring broker must maintain risk controls to prevent erroneous orders.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Algorithm animation: VWAP algo splitting a 5 lakh share order into small slices over the day.</w:t>
            </w:r>
          </w:p>
        </w:tc>
        <w:tc>
          <w:tcPr>
            <w:tcW w:type="dxa" w:w="2493"/>
          </w:tcPr>
          <w:p>
            <w:pPr>
              <w:jc w:val="center"/>
            </w:pPr>
            <w:r>
              <w:rPr>
                <w:rFonts w:ascii="Calibri" w:hAnsi="Calibri"/>
                <w:b/>
                <w:i w:val="0"/>
                <w:color w:val="007A87"/>
                <w:sz w:val="18"/>
              </w:rPr>
              <w:t>ALGO TRADING</w:t>
            </w:r>
          </w:p>
        </w:tc>
        <w:tc>
          <w:tcPr>
            <w:tcW w:type="dxa" w:w="2493"/>
          </w:tcPr>
          <w:p>
            <w:r>
              <w:rPr>
                <w:sz w:val="20"/>
              </w:rPr>
              <w:t>KAVI: Algorithmic Trading: computer programs that automatically split and execute large orders using strategies like VWAP (Volume Weighted Average Price), TWAP (Time Weighted), or implementation shortfall. Used by large funds to minimise market impact when buying or selling large positions. In India, SEBI has specific regulations for algo trading — brokers must register their algorithms and implement circuit breakers.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Execution channel comparison table.</w:t>
            </w:r>
          </w:p>
        </w:tc>
        <w:tc>
          <w:tcPr>
            <w:tcW w:type="dxa" w:w="2493"/>
          </w:tcPr>
          <w:p>
            <w:pPr>
              <w:jc w:val="center"/>
            </w:pPr>
            <w:r>
              <w:rPr>
                <w:rFonts w:ascii="Calibri" w:hAnsi="Calibri"/>
                <w:b/>
                <w:i w:val="0"/>
                <w:color w:val="007A87"/>
                <w:sz w:val="18"/>
              </w:rPr>
              <w:t>RECAP D2 3 V3</w:t>
            </w:r>
          </w:p>
        </w:tc>
        <w:tc>
          <w:tcPr>
            <w:tcW w:type="dxa" w:w="2493"/>
          </w:tcPr>
          <w:p>
            <w:r>
              <w:rPr>
                <w:sz w:val="20"/>
              </w:rPr>
              <w:t>RYO: Execution channels: Voice (flexible but error-prone), OMS (efficient, electronic, straight-through), DMA (fast, direct, institution-only), Algo (sophisticated, minimises market impact). ARIA: Execution quality directly affects post-trade operations — a bad fill creates reconciliation breaks; a system error creates failed trades. Up next: what happens immediately after execution — trade capture, enrichment, and confirmation.</w:t>
            </w:r>
          </w:p>
        </w:tc>
      </w:tr>
    </w:tbl>
    <w:p/>
    <w:p>
      <w:r>
        <w:rPr>
          <w:rFonts w:ascii="Calibri" w:hAnsi="Calibri"/>
          <w:b/>
          <w:i w:val="0"/>
          <w:color w:val="007A87"/>
          <w:sz w:val="20"/>
        </w:rPr>
        <w:t xml:space="preserve">▶ Transition: </w:t>
      </w:r>
      <w:r>
        <w:rPr>
          <w:rFonts w:ascii="Calibri" w:hAnsi="Calibri"/>
          <w:b w:val="0"/>
          <w:i/>
          <w:color w:val="404040"/>
          <w:sz w:val="20"/>
        </w:rPr>
        <w:t>Next — D2.4 Video 1: Trade Capture and Enrichment</w:t>
      </w:r>
    </w:p>
    <w:p>
      <w:r>
        <w:br w:type="page"/>
      </w:r>
    </w:p>
    <w:p>
      <w:pPr>
        <w:spacing w:before="120"/>
        <w:shd w:val="clear" w:color="auto" w:fill="101C4F"/>
      </w:pPr>
      <w:r>
        <w:rPr>
          <w:rFonts w:ascii="Calibri" w:hAnsi="Calibri"/>
          <w:b/>
          <w:i w:val="0"/>
          <w:color w:val="FFFFFF"/>
          <w:sz w:val="24"/>
        </w:rPr>
        <w:t xml:space="preserve">  D2.4: Post-Trade Processing: Capture, Enrichment &amp; Confirmation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Post-Trade Processing: Capture, Enrichment &amp; Confirmation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post-trade workflow from trade capture through enrichment, validation, verification, and confirmation to produce a settled trade instruction.</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Describe trade capture and the enrichment process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trade capture is, what data enrichment adds to a raw trade, and why enrichment is critical for settlement</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D2.3: Exchange Trade Lifecycle</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D2.4 Video 2: Trade Validation and Verification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Timeline graphic: Trade execution → Trade capture → Enrichment → Validation → Confirmation → Settlement.</w:t>
            </w:r>
          </w:p>
        </w:tc>
        <w:tc>
          <w:tcPr>
            <w:tcW w:type="dxa" w:w="2493"/>
          </w:tcPr>
          <w:p>
            <w:pPr>
              <w:jc w:val="center"/>
            </w:pPr>
            <w:r>
              <w:rPr>
                <w:rFonts w:ascii="Calibri" w:hAnsi="Calibri"/>
                <w:b/>
                <w:i w:val="0"/>
                <w:color w:val="007A87"/>
                <w:sz w:val="18"/>
              </w:rPr>
              <w:t>CAPTURE INTRO</w:t>
            </w:r>
          </w:p>
        </w:tc>
        <w:tc>
          <w:tcPr>
            <w:tcW w:type="dxa" w:w="2493"/>
          </w:tcPr>
          <w:p>
            <w:r>
              <w:rPr>
                <w:sz w:val="20"/>
              </w:rPr>
              <w:t>KAVI: The moment a trade executes on the exchange, the post-trade clock starts ticking. There are multiple steps between execution and settlement. Each step must be completed within tight timeframes. Let's start with Trade Capture.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Trade ticket appearing on screen with core fields: security, direction, quantity, price, execution time.</w:t>
            </w:r>
          </w:p>
        </w:tc>
        <w:tc>
          <w:tcPr>
            <w:tcW w:type="dxa" w:w="2493"/>
          </w:tcPr>
          <w:p>
            <w:pPr>
              <w:jc w:val="center"/>
            </w:pPr>
            <w:r>
              <w:rPr>
                <w:rFonts w:ascii="Calibri" w:hAnsi="Calibri"/>
                <w:b/>
                <w:i w:val="0"/>
                <w:color w:val="007A87"/>
                <w:sz w:val="18"/>
              </w:rPr>
              <w:t>TRADE CAPTURE</w:t>
            </w:r>
          </w:p>
        </w:tc>
        <w:tc>
          <w:tcPr>
            <w:tcW w:type="dxa" w:w="2493"/>
          </w:tcPr>
          <w:p>
            <w:r>
              <w:rPr>
                <w:sz w:val="20"/>
              </w:rPr>
              <w:t>RYO: Trade capture is the process of recording the executed trade in the firm's internal systems — the Middle and Back Office systems — with all relevant details. What gets captured: Security ISIN and name. Buy or sell direction. Quantity. Executed price. Execution venue (NSE, BSE). Trade timestamp. Client / fund code. Broker. This raw trade ticket is the starting point for everything that follows.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Animation: raw trade ticket on left, enriched trade ticket on right with additional fields highlighted.</w:t>
            </w:r>
          </w:p>
        </w:tc>
        <w:tc>
          <w:tcPr>
            <w:tcW w:type="dxa" w:w="2493"/>
          </w:tcPr>
          <w:p>
            <w:pPr>
              <w:jc w:val="center"/>
            </w:pPr>
            <w:r>
              <w:rPr>
                <w:rFonts w:ascii="Calibri" w:hAnsi="Calibri"/>
                <w:b/>
                <w:i w:val="0"/>
                <w:color w:val="007A87"/>
                <w:sz w:val="18"/>
              </w:rPr>
              <w:t>ENRICHMENT DEF</w:t>
            </w:r>
          </w:p>
        </w:tc>
        <w:tc>
          <w:tcPr>
            <w:tcW w:type="dxa" w:w="2493"/>
          </w:tcPr>
          <w:p>
            <w:r>
              <w:rPr>
                <w:sz w:val="20"/>
              </w:rPr>
              <w:t>ARIA: Trade enrichment is the process of adding additional information to the raw trade ticket — information that is needed for settlement but was not part of the original execution. What enrichment adds: Settlement date (trade date + T cycles). Settlement amount (quantity × price ± accrued interest for bonds). Standard Settlement Instructions (SSI) — the custodian account details for where securities and cash should go. Counterparty details. Currency and FX rate (for cross-border trades).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Screen showing SSI database: counterparty lookup → default settlement account populated automatically.</w:t>
            </w:r>
          </w:p>
        </w:tc>
        <w:tc>
          <w:tcPr>
            <w:tcW w:type="dxa" w:w="2493"/>
          </w:tcPr>
          <w:p>
            <w:pPr>
              <w:jc w:val="center"/>
            </w:pPr>
            <w:r>
              <w:rPr>
                <w:rFonts w:ascii="Calibri" w:hAnsi="Calibri"/>
                <w:b/>
                <w:i w:val="0"/>
                <w:color w:val="007A87"/>
                <w:sz w:val="18"/>
              </w:rPr>
              <w:t>SSI DETAIL</w:t>
            </w:r>
          </w:p>
        </w:tc>
        <w:tc>
          <w:tcPr>
            <w:tcW w:type="dxa" w:w="2493"/>
          </w:tcPr>
          <w:p>
            <w:r>
              <w:rPr>
                <w:sz w:val="20"/>
              </w:rPr>
              <w:t>KAVI: Standard Settlement Instructions (SSIs) are pre-agreed account details for each counterparty that specify WHERE to deliver securities and WHERE to receive cash. The SSI database is a core part of reference data. When a trade is enriched, the system automatically looks up the counterparty's SSI and populates the settlement instruction. Wrong SSI = settlement failure — the most common cause of settlement breaks.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Straight-Through Processing animation: trade flows automatically from execution through enrichment to settlement instruction with zero manual touch.</w:t>
            </w:r>
          </w:p>
        </w:tc>
        <w:tc>
          <w:tcPr>
            <w:tcW w:type="dxa" w:w="2493"/>
          </w:tcPr>
          <w:p>
            <w:pPr>
              <w:jc w:val="center"/>
            </w:pPr>
            <w:r>
              <w:rPr>
                <w:rFonts w:ascii="Calibri" w:hAnsi="Calibri"/>
                <w:b/>
                <w:i w:val="0"/>
                <w:color w:val="007A87"/>
                <w:sz w:val="18"/>
              </w:rPr>
              <w:t>STP</w:t>
            </w:r>
          </w:p>
        </w:tc>
        <w:tc>
          <w:tcPr>
            <w:tcW w:type="dxa" w:w="2493"/>
          </w:tcPr>
          <w:p>
            <w:r>
              <w:rPr>
                <w:sz w:val="20"/>
              </w:rPr>
              <w:t>RYO: The goal of trade enrichment is Straight-Through Processing (STP) — automating the entire post-trade workflow with zero manual intervention. High STP rates (90%+) are a key performance metric for operations teams. Low STP means manual breaks — extra work, higher error risk, and missed settlement deadlines. ARIA: In India, SEBI and NSE track settlement failure rates by broker. High failure rates attract scrutiny and potential penalties.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Trade capture and enrichment summary.</w:t>
            </w:r>
          </w:p>
        </w:tc>
        <w:tc>
          <w:tcPr>
            <w:tcW w:type="dxa" w:w="2493"/>
          </w:tcPr>
          <w:p>
            <w:pPr>
              <w:jc w:val="center"/>
            </w:pPr>
            <w:r>
              <w:rPr>
                <w:rFonts w:ascii="Calibri" w:hAnsi="Calibri"/>
                <w:b/>
                <w:i w:val="0"/>
                <w:color w:val="007A87"/>
                <w:sz w:val="18"/>
              </w:rPr>
              <w:t>RECAP D2 4 V1</w:t>
            </w:r>
          </w:p>
        </w:tc>
        <w:tc>
          <w:tcPr>
            <w:tcW w:type="dxa" w:w="2493"/>
          </w:tcPr>
          <w:p>
            <w:r>
              <w:rPr>
                <w:sz w:val="20"/>
              </w:rPr>
              <w:t>KAVI: Trade capture = recording raw execution data. Enrichment = adding settlement date, SSI, settlement amount. High STP = operational excellence. ARIA: In Video 2, we'll look at what happens after enrichment: validation and verification — the checks that catch errors before they reach settlement.</w:t>
            </w:r>
          </w:p>
        </w:tc>
      </w:tr>
    </w:tbl>
    <w:p/>
    <w:p>
      <w:r>
        <w:rPr>
          <w:rFonts w:ascii="Calibri" w:hAnsi="Calibri"/>
          <w:b/>
          <w:i w:val="0"/>
          <w:color w:val="007A87"/>
          <w:sz w:val="20"/>
        </w:rPr>
        <w:t xml:space="preserve">▶ Transition: </w:t>
      </w:r>
      <w:r>
        <w:rPr>
          <w:rFonts w:ascii="Calibri" w:hAnsi="Calibri"/>
          <w:b w:val="0"/>
          <w:i/>
          <w:color w:val="404040"/>
          <w:sz w:val="20"/>
        </w:rPr>
        <w:t>Next — D2.4 Video 2: Trade Validation and Verification</w:t>
      </w:r>
    </w:p>
    <w:p>
      <w:r>
        <w:br w:type="page"/>
      </w:r>
    </w:p>
    <w:p>
      <w:pPr>
        <w:spacing w:before="120"/>
        <w:shd w:val="clear" w:color="auto" w:fill="101C4F"/>
      </w:pPr>
      <w:r>
        <w:rPr>
          <w:rFonts w:ascii="Calibri" w:hAnsi="Calibri"/>
          <w:b/>
          <w:i w:val="0"/>
          <w:color w:val="FFFFFF"/>
          <w:sz w:val="24"/>
        </w:rPr>
        <w:t xml:space="preserve">  D2.4: Post-Trade Processing: Capture, Enrichment &amp; Confirmation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Post-Trade Processing: Capture, Enrichment &amp; Confirmation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post-trade workflow from trade capture through enrichment, validation, verification, and confirmation to produce a settled trade instruction.</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Process a trade through validation and verification checks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trade validation and verification steps and identify what kinds of errors each is designed to catch</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D2.4 Video 1: Trade Capture and Enrichment</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D2.4 Video 3: Trade Confirmation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Quality control checkpoint graphic. Multiple checks listed on a gate.</w:t>
            </w:r>
          </w:p>
        </w:tc>
        <w:tc>
          <w:tcPr>
            <w:tcW w:type="dxa" w:w="2493"/>
          </w:tcPr>
          <w:p>
            <w:pPr>
              <w:jc w:val="center"/>
            </w:pPr>
            <w:r>
              <w:rPr>
                <w:rFonts w:ascii="Calibri" w:hAnsi="Calibri"/>
                <w:b/>
                <w:i w:val="0"/>
                <w:color w:val="007A87"/>
                <w:sz w:val="18"/>
              </w:rPr>
              <w:t>VALIDATION INTRO</w:t>
            </w:r>
          </w:p>
        </w:tc>
        <w:tc>
          <w:tcPr>
            <w:tcW w:type="dxa" w:w="2493"/>
          </w:tcPr>
          <w:p>
            <w:r>
              <w:rPr>
                <w:sz w:val="20"/>
              </w:rPr>
              <w:t>RYO: After enrichment, the trade goes through validation — a series of automated checks to ensure the trade is correct and within acceptable parameters before it proceeds to confirmation and settlement.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Checklist animation: security exists? client authorised? within position limits? correct settlement type?</w:t>
            </w:r>
          </w:p>
        </w:tc>
        <w:tc>
          <w:tcPr>
            <w:tcW w:type="dxa" w:w="2493"/>
          </w:tcPr>
          <w:p>
            <w:pPr>
              <w:jc w:val="center"/>
            </w:pPr>
            <w:r>
              <w:rPr>
                <w:rFonts w:ascii="Calibri" w:hAnsi="Calibri"/>
                <w:b/>
                <w:i w:val="0"/>
                <w:color w:val="007A87"/>
                <w:sz w:val="18"/>
              </w:rPr>
              <w:t>VALIDATION CHECKS</w:t>
            </w:r>
          </w:p>
        </w:tc>
        <w:tc>
          <w:tcPr>
            <w:tcW w:type="dxa" w:w="2493"/>
          </w:tcPr>
          <w:p>
            <w:r>
              <w:rPr>
                <w:sz w:val="20"/>
              </w:rPr>
              <w:t>KAVI: Key validation checks include: Security validation — does the ISIN exist in the reference data master? Is the security eligible for the fund (some funds can't hold certain instruments)? Client/fund validation — is the client code valid? Is the fund authorised to trade this instrument? Position limit checks — does this trade breach any concentration or exposure limit set by the fund's investment mandate? Settlement type — is this a DVP (Delivery vs Payment) or FOP (Free of Payment) trade?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Compliance screen: restricted list check, short-selling check, pre-trade compliance rules.</w:t>
            </w:r>
          </w:p>
        </w:tc>
        <w:tc>
          <w:tcPr>
            <w:tcW w:type="dxa" w:w="2493"/>
          </w:tcPr>
          <w:p>
            <w:pPr>
              <w:jc w:val="center"/>
            </w:pPr>
            <w:r>
              <w:rPr>
                <w:rFonts w:ascii="Calibri" w:hAnsi="Calibri"/>
                <w:b/>
                <w:i w:val="0"/>
                <w:color w:val="007A87"/>
                <w:sz w:val="18"/>
              </w:rPr>
              <w:t>COMPLIANCE CHECKS</w:t>
            </w:r>
          </w:p>
        </w:tc>
        <w:tc>
          <w:tcPr>
            <w:tcW w:type="dxa" w:w="2493"/>
          </w:tcPr>
          <w:p>
            <w:r>
              <w:rPr>
                <w:sz w:val="20"/>
              </w:rPr>
              <w:t>ARIA: Compliance validation is equally critical. Restricted list check — is this security on the firm's or client's restricted list? Pre-trade compliance — does this trade breach any regulatory rule (e.g., SEBI insider trading restrictions, FEMA limits for FPIs)? Short-selling check — for equity trades, is the client allowed to short-sell? In India, FPIs must comply with SEBI's short-selling circular, which prohibits naked short-selling.</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Two-person check: maker enters trade, checker independently verifies key fields.</w:t>
            </w:r>
          </w:p>
        </w:tc>
        <w:tc>
          <w:tcPr>
            <w:tcW w:type="dxa" w:w="2493"/>
          </w:tcPr>
          <w:p>
            <w:pPr>
              <w:jc w:val="center"/>
            </w:pPr>
            <w:r>
              <w:rPr>
                <w:rFonts w:ascii="Calibri" w:hAnsi="Calibri"/>
                <w:b/>
                <w:i w:val="0"/>
                <w:color w:val="007A87"/>
                <w:sz w:val="18"/>
              </w:rPr>
              <w:t>VERIFICATION</w:t>
            </w:r>
          </w:p>
        </w:tc>
        <w:tc>
          <w:tcPr>
            <w:tcW w:type="dxa" w:w="2493"/>
          </w:tcPr>
          <w:p>
            <w:r>
              <w:rPr>
                <w:sz w:val="20"/>
              </w:rPr>
              <w:t>RYO: Trade verification is the four-eyes (maker-checker) process. After automated validation, a second operations analyst manually verifies the high-value or complex trades against the original trade ticket. Verification catches: mis-keyed prices (100 vs 1,000). Wrong direction (buy vs sell). Wrong fund allocation. Verification is required under SEBI's broker networth and compliance framework for all trades above a threshold value.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Red exception report: list of validation failures. Operations team triaging.</w:t>
            </w:r>
          </w:p>
        </w:tc>
        <w:tc>
          <w:tcPr>
            <w:tcW w:type="dxa" w:w="2493"/>
          </w:tcPr>
          <w:p>
            <w:pPr>
              <w:jc w:val="center"/>
            </w:pPr>
            <w:r>
              <w:rPr>
                <w:rFonts w:ascii="Calibri" w:hAnsi="Calibri"/>
                <w:b/>
                <w:i w:val="0"/>
                <w:color w:val="007A87"/>
                <w:sz w:val="18"/>
              </w:rPr>
              <w:t>FAILED VALIDATION</w:t>
            </w:r>
          </w:p>
        </w:tc>
        <w:tc>
          <w:tcPr>
            <w:tcW w:type="dxa" w:w="2493"/>
          </w:tcPr>
          <w:p>
            <w:r>
              <w:rPr>
                <w:sz w:val="20"/>
              </w:rPr>
              <w:t>KAVI: When validation fails, the trade is quarantined in an exception queue — it does NOT proceed to settlement. The operations team must investigate and resolve the exception: Is it a data error? A system issue? A genuine compliance breach? ARIA: Exception management is a core skill for operations analysts. Speed is critical — if an exception is not resolved before the settlement instruction deadline, the trade will fail to settle — with financial penalties for both parties.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Validation and verification summary.</w:t>
            </w:r>
          </w:p>
        </w:tc>
        <w:tc>
          <w:tcPr>
            <w:tcW w:type="dxa" w:w="2493"/>
          </w:tcPr>
          <w:p>
            <w:pPr>
              <w:jc w:val="center"/>
            </w:pPr>
            <w:r>
              <w:rPr>
                <w:rFonts w:ascii="Calibri" w:hAnsi="Calibri"/>
                <w:b/>
                <w:i w:val="0"/>
                <w:color w:val="007A87"/>
                <w:sz w:val="18"/>
              </w:rPr>
              <w:t>RECAP D2 4 V2</w:t>
            </w:r>
          </w:p>
        </w:tc>
        <w:tc>
          <w:tcPr>
            <w:tcW w:type="dxa" w:w="2493"/>
          </w:tcPr>
          <w:p>
            <w:r>
              <w:rPr>
                <w:sz w:val="20"/>
              </w:rPr>
              <w:t>RYO: Validation = automated checks (security, client, limits, compliance). Verification = human four-eyes check for high-value trades. KAVI: Both processes protect the firm from erroneous settlement instructions. In Video 3, we'll complete the post-trade workflow with Trade Confirmation — how the two sides of the trade agree on the details.</w:t>
            </w:r>
          </w:p>
        </w:tc>
      </w:tr>
    </w:tbl>
    <w:p/>
    <w:p>
      <w:r>
        <w:rPr>
          <w:rFonts w:ascii="Calibri" w:hAnsi="Calibri"/>
          <w:b/>
          <w:i w:val="0"/>
          <w:color w:val="007A87"/>
          <w:sz w:val="20"/>
        </w:rPr>
        <w:t xml:space="preserve">▶ Transition: </w:t>
      </w:r>
      <w:r>
        <w:rPr>
          <w:rFonts w:ascii="Calibri" w:hAnsi="Calibri"/>
          <w:b w:val="0"/>
          <w:i/>
          <w:color w:val="404040"/>
          <w:sz w:val="20"/>
        </w:rPr>
        <w:t>Next — D2.4 Video 3: Trade Confirmation</w:t>
      </w:r>
    </w:p>
    <w:p>
      <w:r>
        <w:br w:type="page"/>
      </w:r>
    </w:p>
    <w:p>
      <w:pPr>
        <w:spacing w:before="120"/>
        <w:shd w:val="clear" w:color="auto" w:fill="101C4F"/>
      </w:pPr>
      <w:r>
        <w:rPr>
          <w:rFonts w:ascii="Calibri" w:hAnsi="Calibri"/>
          <w:b/>
          <w:i w:val="0"/>
          <w:color w:val="FFFFFF"/>
          <w:sz w:val="24"/>
        </w:rPr>
        <w:t xml:space="preserve">  D2.4: Post-Trade Processing: Capture, Enrichment &amp; Confirmation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Post-Trade Processing: Capture, Enrichment &amp; Confirmation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post-trade workflow from trade capture through enrichment, validation, verification, and confirmation to produce a settled trade instruction.</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trade confirmation to settlement risk and regulatory obligations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the trade confirmation process, the role of SWIFT, and why unconfirmed trades create settlement and regulatory risk</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D2.4 Video 2: Trade Validation and Verification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D2.5 Video 1: Settlement Mechanics and DVP</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Two counterparties shown on opposite sides of a screen. Confirmation message flowing between them.</w:t>
            </w:r>
          </w:p>
        </w:tc>
        <w:tc>
          <w:tcPr>
            <w:tcW w:type="dxa" w:w="2493"/>
          </w:tcPr>
          <w:p>
            <w:pPr>
              <w:jc w:val="center"/>
            </w:pPr>
            <w:r>
              <w:rPr>
                <w:rFonts w:ascii="Calibri" w:hAnsi="Calibri"/>
                <w:b/>
                <w:i w:val="0"/>
                <w:color w:val="007A87"/>
                <w:sz w:val="18"/>
              </w:rPr>
              <w:t>CONFIRMATION INTRO</w:t>
            </w:r>
          </w:p>
        </w:tc>
        <w:tc>
          <w:tcPr>
            <w:tcW w:type="dxa" w:w="2493"/>
          </w:tcPr>
          <w:p>
            <w:r>
              <w:rPr>
                <w:sz w:val="20"/>
              </w:rPr>
              <w:t>ARIA: Trade confirmation is the formal agreement process between the two counterparties to a trade — verifying that both sides have recorded the same trade details. Without confirmation, there is a risk that the two sides have different records — creating a dispute at settlement time.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NSE confirmation screen: trade confirmation sent automatically to both members after execution.</w:t>
            </w:r>
          </w:p>
        </w:tc>
        <w:tc>
          <w:tcPr>
            <w:tcW w:type="dxa" w:w="2493"/>
          </w:tcPr>
          <w:p>
            <w:pPr>
              <w:jc w:val="center"/>
            </w:pPr>
            <w:r>
              <w:rPr>
                <w:rFonts w:ascii="Calibri" w:hAnsi="Calibri"/>
                <w:b/>
                <w:i w:val="0"/>
                <w:color w:val="007A87"/>
                <w:sz w:val="18"/>
              </w:rPr>
              <w:t>EXCHANGE CONFIRM</w:t>
            </w:r>
          </w:p>
        </w:tc>
        <w:tc>
          <w:tcPr>
            <w:tcW w:type="dxa" w:w="2493"/>
          </w:tcPr>
          <w:p>
            <w:r>
              <w:rPr>
                <w:sz w:val="20"/>
              </w:rPr>
              <w:t>KAVI: For exchange-traded transactions, confirmation is largely automated. When a trade executes on NSE, the exchange sends a confirmation to both the buyer's broker and the seller's broker simultaneously. Both sides receive the same trade details — security, quantity, price, settlement date. This NSE confirmation is the definitive record.</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SWIFT message MT515 / MT518 flow between buy-side fund, custodian, and counterparty.</w:t>
            </w:r>
          </w:p>
        </w:tc>
        <w:tc>
          <w:tcPr>
            <w:tcW w:type="dxa" w:w="2493"/>
          </w:tcPr>
          <w:p>
            <w:pPr>
              <w:jc w:val="center"/>
            </w:pPr>
            <w:r>
              <w:rPr>
                <w:rFonts w:ascii="Calibri" w:hAnsi="Calibri"/>
                <w:b/>
                <w:i w:val="0"/>
                <w:color w:val="007A87"/>
                <w:sz w:val="18"/>
              </w:rPr>
              <w:t>INSTITUTIONAL CONFIRM</w:t>
            </w:r>
          </w:p>
        </w:tc>
        <w:tc>
          <w:tcPr>
            <w:tcW w:type="dxa" w:w="2493"/>
          </w:tcPr>
          <w:p>
            <w:r>
              <w:rPr>
                <w:sz w:val="20"/>
              </w:rPr>
              <w:t>RYO: For institutional trades, the confirmation process is more complex. The buy-side fund allocates the trade to specific portfolios — an 'allocation' message is sent. The custodian bank receives the allocation and sends a settlement instruction to the counterparty's custodian. Both custodians confirm the settlement instruction details via SWIFT — using standardised message types (MT54x series or ISO 20022 equivalents). If both sides' instructions match, the trade is 'matched' — ready for settlement.</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Matching screen: buy-side instruction vs sell-side instruction. Matched fields highlighted in green.</w:t>
            </w:r>
          </w:p>
        </w:tc>
        <w:tc>
          <w:tcPr>
            <w:tcW w:type="dxa" w:w="2493"/>
          </w:tcPr>
          <w:p>
            <w:pPr>
              <w:jc w:val="center"/>
            </w:pPr>
            <w:r>
              <w:rPr>
                <w:rFonts w:ascii="Calibri" w:hAnsi="Calibri"/>
                <w:b/>
                <w:i w:val="0"/>
                <w:color w:val="007A87"/>
                <w:sz w:val="18"/>
              </w:rPr>
              <w:t>TRADE MATCHING</w:t>
            </w:r>
          </w:p>
        </w:tc>
        <w:tc>
          <w:tcPr>
            <w:tcW w:type="dxa" w:w="2493"/>
          </w:tcPr>
          <w:p>
            <w:r>
              <w:rPr>
                <w:sz w:val="20"/>
              </w:rPr>
              <w:t>ARIA: Trade matching is the critical step before settlement. NSCCL (for exchange trades) or the custodians (for institutional OTC) compare the settlement instructions from both sides. They must agree on: ISIN, quantity, settlement date, settlement amount, settlement account. A 'match' means both sides agree — settlement proceeds. An 'unmatched' instruction is a break that must be resolved before the settlement deadline.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Timeline: T+0 trade, T+0 confirmation, T+1 settlement. SEBI deadline highlighted.</w:t>
            </w:r>
          </w:p>
        </w:tc>
        <w:tc>
          <w:tcPr>
            <w:tcW w:type="dxa" w:w="2493"/>
          </w:tcPr>
          <w:p>
            <w:pPr>
              <w:jc w:val="center"/>
            </w:pPr>
            <w:r>
              <w:rPr>
                <w:rFonts w:ascii="Calibri" w:hAnsi="Calibri"/>
                <w:b/>
                <w:i w:val="0"/>
                <w:color w:val="007A87"/>
                <w:sz w:val="18"/>
              </w:rPr>
              <w:t>REGULATORY CONFIRM</w:t>
            </w:r>
          </w:p>
        </w:tc>
        <w:tc>
          <w:tcPr>
            <w:tcW w:type="dxa" w:w="2493"/>
          </w:tcPr>
          <w:p>
            <w:r>
              <w:rPr>
                <w:sz w:val="20"/>
              </w:rPr>
              <w:t>KAVI: SEBI requires prompt trade confirmation. For exchange trades, NSE provides near-instantaneous confirmation. For institutional off-market transactions, SEBI mandates confirmation within prescribed timelines. Late confirmation creates regulatory risk — SEBI can penalise brokers for systematic confirmation failures. Under SEBI's LODR (Listing Obligations) and FUTP (Fraud and Unfair Trade Practices) regulations, proper trade documentation is a strict requirement.</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Full post-trade workflow diagram: Capture → Enrichment → Validation → Verification → Confirmation → Settlement.</w:t>
            </w:r>
          </w:p>
        </w:tc>
        <w:tc>
          <w:tcPr>
            <w:tcW w:type="dxa" w:w="2493"/>
          </w:tcPr>
          <w:p>
            <w:pPr>
              <w:jc w:val="center"/>
            </w:pPr>
            <w:r>
              <w:rPr>
                <w:rFonts w:ascii="Calibri" w:hAnsi="Calibri"/>
                <w:b/>
                <w:i w:val="0"/>
                <w:color w:val="007A87"/>
                <w:sz w:val="18"/>
              </w:rPr>
              <w:t>RECAP D2 4 V3</w:t>
            </w:r>
          </w:p>
        </w:tc>
        <w:tc>
          <w:tcPr>
            <w:tcW w:type="dxa" w:w="2493"/>
          </w:tcPr>
          <w:p>
            <w:r>
              <w:rPr>
                <w:sz w:val="20"/>
              </w:rPr>
              <w:t>RYO: Confirmation: exchange provides automatic confirmation; institutional trades require custodian matching via SWIFT. Unmatched trades = settlement risk. ARIA: The full post-trade chain: Capture → Enrich → Validate → Verify → Confirm → Settle. Each step must be completed accurately and on time. Up next: how settlement actually works — DVP, T+1, and what happens when things go wrong.</w:t>
            </w:r>
          </w:p>
        </w:tc>
      </w:tr>
    </w:tbl>
    <w:p/>
    <w:p>
      <w:r>
        <w:rPr>
          <w:rFonts w:ascii="Calibri" w:hAnsi="Calibri"/>
          <w:b/>
          <w:i w:val="0"/>
          <w:color w:val="007A87"/>
          <w:sz w:val="20"/>
        </w:rPr>
        <w:t xml:space="preserve">▶ Transition: </w:t>
      </w:r>
      <w:r>
        <w:rPr>
          <w:rFonts w:ascii="Calibri" w:hAnsi="Calibri"/>
          <w:b w:val="0"/>
          <w:i/>
          <w:color w:val="404040"/>
          <w:sz w:val="20"/>
        </w:rPr>
        <w:t>Next — D2.5 Video 1: Settlement Mechanics and DVP</w:t>
      </w:r>
    </w:p>
    <w:p>
      <w:r>
        <w:br w:type="page"/>
      </w:r>
    </w:p>
    <w:p>
      <w:pPr>
        <w:spacing w:before="120"/>
        <w:shd w:val="clear" w:color="auto" w:fill="101C4F"/>
      </w:pPr>
      <w:r>
        <w:rPr>
          <w:rFonts w:ascii="Calibri" w:hAnsi="Calibri"/>
          <w:b/>
          <w:i w:val="0"/>
          <w:color w:val="FFFFFF"/>
          <w:sz w:val="24"/>
        </w:rPr>
        <w:t xml:space="preserve">  D2.5: Trade Settlement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Settlement</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settlement cycle (T+1), DVP mechanics, settlement failure consequences, and India's transition to T+1 settlement.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settlement and describe DVP mechanics and settlement cycles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settlement means, how DVP works, and what India's T+1 settlement cycle involves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D2.4: Post-Trade Processing</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D2.5 Video 2: Settlement Failures and Auction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Animation: trade ticket transforming into cash and securities exchanging hands.</w:t>
            </w:r>
          </w:p>
        </w:tc>
        <w:tc>
          <w:tcPr>
            <w:tcW w:type="dxa" w:w="2493"/>
          </w:tcPr>
          <w:p>
            <w:pPr>
              <w:jc w:val="center"/>
            </w:pPr>
            <w:r>
              <w:rPr>
                <w:rFonts w:ascii="Calibri" w:hAnsi="Calibri"/>
                <w:b/>
                <w:i w:val="0"/>
                <w:color w:val="007A87"/>
                <w:sz w:val="18"/>
              </w:rPr>
              <w:t>SETTLEMENT DEF</w:t>
            </w:r>
          </w:p>
        </w:tc>
        <w:tc>
          <w:tcPr>
            <w:tcW w:type="dxa" w:w="2493"/>
          </w:tcPr>
          <w:p>
            <w:r>
              <w:rPr>
                <w:sz w:val="20"/>
              </w:rPr>
              <w:t>KAVI: Settlement is the final stage of the trade lifecycle — the actual transfer of securities from seller to buyer, and cash from buyer to seller. Until settlement happens, the trade is just a promise. RYO: Settlement makes it real: the buyer's demat account is credited with shares; the seller's bank account is credited with cash.</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DVP mechanism animation: securities leg and cash leg shown as two simultaneous arrows.</w:t>
            </w:r>
          </w:p>
        </w:tc>
        <w:tc>
          <w:tcPr>
            <w:tcW w:type="dxa" w:w="2493"/>
          </w:tcPr>
          <w:p>
            <w:pPr>
              <w:jc w:val="center"/>
            </w:pPr>
            <w:r>
              <w:rPr>
                <w:rFonts w:ascii="Calibri" w:hAnsi="Calibri"/>
                <w:b/>
                <w:i w:val="0"/>
                <w:color w:val="007A87"/>
                <w:sz w:val="18"/>
              </w:rPr>
              <w:t>DVP</w:t>
            </w:r>
          </w:p>
        </w:tc>
        <w:tc>
          <w:tcPr>
            <w:tcW w:type="dxa" w:w="2493"/>
          </w:tcPr>
          <w:p>
            <w:r>
              <w:rPr>
                <w:sz w:val="20"/>
              </w:rPr>
              <w:t>ARIA: In India (and globally), exchange-traded equity settlement uses Delivery versus Payment (DVP). DVP means: the securities are delivered to the buyer IF AND ONLY IF the cash is simultaneously delivered to the seller. This simultaneity eliminates the biggest settlement risk — that one party delivers but the other defaults before paying. NSCCL acts as the central counterparty, guaranteeing both legs.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Calendar animation: Trade date (T) → T+1 (settlement day) highlighted.</w:t>
            </w:r>
          </w:p>
        </w:tc>
        <w:tc>
          <w:tcPr>
            <w:tcW w:type="dxa" w:w="2493"/>
          </w:tcPr>
          <w:p>
            <w:pPr>
              <w:jc w:val="center"/>
            </w:pPr>
            <w:r>
              <w:rPr>
                <w:rFonts w:ascii="Calibri" w:hAnsi="Calibri"/>
                <w:b/>
                <w:i w:val="0"/>
                <w:color w:val="007A87"/>
                <w:sz w:val="18"/>
              </w:rPr>
              <w:t>SETTLEMENT CYCLE</w:t>
            </w:r>
          </w:p>
        </w:tc>
        <w:tc>
          <w:tcPr>
            <w:tcW w:type="dxa" w:w="2493"/>
          </w:tcPr>
          <w:p>
            <w:r>
              <w:rPr>
                <w:sz w:val="20"/>
              </w:rPr>
              <w:t>RYO: The settlement cycle defines how many business days after the trade date that settlement must occur. India's current cycle: T+1 for exchange-traded equities — settlement happens the next business day. Government securities: T+1. Corporate bonds: T+2 or T+1. Derivatives: mark-to-market daily, with physical/cash settlement at expiry. India moved from T+2 to T+1 for equities in 2023 — one of the world's fastest settlement cycles, improving liquidity and reducing risk.</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NSCCL settlement cycle diagram: multilateral netting → net obligations → pay-in → pay-out.</w:t>
            </w:r>
          </w:p>
        </w:tc>
        <w:tc>
          <w:tcPr>
            <w:tcW w:type="dxa" w:w="2493"/>
          </w:tcPr>
          <w:p>
            <w:pPr>
              <w:jc w:val="center"/>
            </w:pPr>
            <w:r>
              <w:rPr>
                <w:rFonts w:ascii="Calibri" w:hAnsi="Calibri"/>
                <w:b/>
                <w:i w:val="0"/>
                <w:color w:val="007A87"/>
                <w:sz w:val="18"/>
              </w:rPr>
              <w:t>SETTLEMENT MECHANICS</w:t>
            </w:r>
          </w:p>
        </w:tc>
        <w:tc>
          <w:tcPr>
            <w:tcW w:type="dxa" w:w="2493"/>
          </w:tcPr>
          <w:p>
            <w:r>
              <w:rPr>
                <w:sz w:val="20"/>
              </w:rPr>
              <w:t>KAVI: The settlement mechanics at NSCCL: Step 1 — Multilateral netting: all buy and sell trades in each security across all clearing members are netted. Instead of settling every individual trade, only the net position is settled. This dramatically reduces the volume of securities and cash that actually move. Step 2 — Pay-in: brokers with net short positions deliver securities and cash to NSCCL by the pay-in deadline. Step 3 — Pay-out: NSCCL distributes securities and cash to brokers with net long positions.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NSDL/CDSL depository screen: demat account showing holdings. Settlement credit being posted.</w:t>
            </w:r>
          </w:p>
        </w:tc>
        <w:tc>
          <w:tcPr>
            <w:tcW w:type="dxa" w:w="2493"/>
          </w:tcPr>
          <w:p>
            <w:pPr>
              <w:jc w:val="center"/>
            </w:pPr>
            <w:r>
              <w:rPr>
                <w:rFonts w:ascii="Calibri" w:hAnsi="Calibri"/>
                <w:b/>
                <w:i w:val="0"/>
                <w:color w:val="007A87"/>
                <w:sz w:val="18"/>
              </w:rPr>
              <w:t>DEMAT</w:t>
            </w:r>
          </w:p>
        </w:tc>
        <w:tc>
          <w:tcPr>
            <w:tcW w:type="dxa" w:w="2493"/>
          </w:tcPr>
          <w:p>
            <w:r>
              <w:rPr>
                <w:sz w:val="20"/>
              </w:rPr>
              <w:t>ARIA: In India, securities are held in dematerialised (demat) form — electronic entries in accounts at NSDL (National Securities Depository Limited) or CDSL (Central Depository Services Limited). Every investor needs a demat account to hold shares. Settlement = NSCCL instructs NSDL/CDSL to credit the buyer's demat account and debit the seller's demat account. This happens electronically on T+1. RYO: Cash settlement happens simultaneously via the Reserve Bank of India's RTGS system for institutional transactions, and through the clearing bank system for retail.</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Settlement mechanics summary diagram.</w:t>
            </w:r>
          </w:p>
        </w:tc>
        <w:tc>
          <w:tcPr>
            <w:tcW w:type="dxa" w:w="2493"/>
          </w:tcPr>
          <w:p>
            <w:pPr>
              <w:jc w:val="center"/>
            </w:pPr>
            <w:r>
              <w:rPr>
                <w:rFonts w:ascii="Calibri" w:hAnsi="Calibri"/>
                <w:b/>
                <w:i w:val="0"/>
                <w:color w:val="007A87"/>
                <w:sz w:val="18"/>
              </w:rPr>
              <w:t>RECAP D2 5 V1</w:t>
            </w:r>
          </w:p>
        </w:tc>
        <w:tc>
          <w:tcPr>
            <w:tcW w:type="dxa" w:w="2493"/>
          </w:tcPr>
          <w:p>
            <w:r>
              <w:rPr>
                <w:sz w:val="20"/>
              </w:rPr>
              <w:t>KAVI: Settlement = actual exchange of securities and cash. DVP = simultaneous exchange, eliminating principal risk. T+1 = India's world-class settlement cycle. ARIA: Netting reduces gross settlement obligations. NSDL/CDSL hold securities electronically. In Video 2, we'll look at what happens when settlement fails — the auction mechanism and penalties.</w:t>
            </w:r>
          </w:p>
        </w:tc>
      </w:tr>
    </w:tbl>
    <w:p/>
    <w:p>
      <w:r>
        <w:rPr>
          <w:rFonts w:ascii="Calibri" w:hAnsi="Calibri"/>
          <w:b/>
          <w:i w:val="0"/>
          <w:color w:val="007A87"/>
          <w:sz w:val="20"/>
        </w:rPr>
        <w:t xml:space="preserve">▶ Transition: </w:t>
      </w:r>
      <w:r>
        <w:rPr>
          <w:rFonts w:ascii="Calibri" w:hAnsi="Calibri"/>
          <w:b w:val="0"/>
          <w:i/>
          <w:color w:val="404040"/>
          <w:sz w:val="20"/>
        </w:rPr>
        <w:t>Next — D2.5 Video 2: Settlement Failures and Auction</w:t>
      </w:r>
    </w:p>
    <w:p>
      <w:r>
        <w:br w:type="page"/>
      </w:r>
    </w:p>
    <w:p>
      <w:pPr>
        <w:spacing w:before="120"/>
        <w:shd w:val="clear" w:color="auto" w:fill="101C4F"/>
      </w:pPr>
      <w:r>
        <w:rPr>
          <w:rFonts w:ascii="Calibri" w:hAnsi="Calibri"/>
          <w:b/>
          <w:i w:val="0"/>
          <w:color w:val="FFFFFF"/>
          <w:sz w:val="24"/>
        </w:rPr>
        <w:t xml:space="preserve">  D2.5: Trade Settlement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Settlement</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settlement cycle (T+1), DVP mechanics, settlement failure consequences, and India's transition to T+1 settlement.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Identify settlement failure causes and describe the auction mechanism</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identify common causes of settlement failure, describe the NSE/NSCCL auction process, and calculate the financial impact of a failed trade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D2.5 Video 1: DVP and T+1</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D2.5 Video 3: Settlement Operations and Reconciliation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Red alert graphic: 'Settlement Failure' notification on trading screen.</w:t>
            </w:r>
          </w:p>
        </w:tc>
        <w:tc>
          <w:tcPr>
            <w:tcW w:type="dxa" w:w="2493"/>
          </w:tcPr>
          <w:p>
            <w:pPr>
              <w:jc w:val="center"/>
            </w:pPr>
            <w:r>
              <w:rPr>
                <w:rFonts w:ascii="Calibri" w:hAnsi="Calibri"/>
                <w:b/>
                <w:i w:val="0"/>
                <w:color w:val="007A87"/>
                <w:sz w:val="18"/>
              </w:rPr>
              <w:t>FAIL INTRO</w:t>
            </w:r>
          </w:p>
        </w:tc>
        <w:tc>
          <w:tcPr>
            <w:tcW w:type="dxa" w:w="2493"/>
          </w:tcPr>
          <w:p>
            <w:r>
              <w:rPr>
                <w:sz w:val="20"/>
              </w:rPr>
              <w:t>RYO: A settlement failure occurs when a trade does not settle on the expected settlement date. The seller does not deliver the securities, or the buyer does not deliver the cash. This is a serious event — creating financial risk, operational cost, and regulatory scrutiny for both parties.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Cause tree: insufficient shares in demat → bad SSI → SWIFT message error → client funding issue → corporate action confusion.</w:t>
            </w:r>
          </w:p>
        </w:tc>
        <w:tc>
          <w:tcPr>
            <w:tcW w:type="dxa" w:w="2493"/>
          </w:tcPr>
          <w:p>
            <w:pPr>
              <w:jc w:val="center"/>
            </w:pPr>
            <w:r>
              <w:rPr>
                <w:rFonts w:ascii="Calibri" w:hAnsi="Calibri"/>
                <w:b/>
                <w:i w:val="0"/>
                <w:color w:val="007A87"/>
                <w:sz w:val="18"/>
              </w:rPr>
              <w:t>FAIL CAUSES</w:t>
            </w:r>
          </w:p>
        </w:tc>
        <w:tc>
          <w:tcPr>
            <w:tcW w:type="dxa" w:w="2493"/>
          </w:tcPr>
          <w:p>
            <w:r>
              <w:rPr>
                <w:sz w:val="20"/>
              </w:rPr>
              <w:t>KAVI: Common causes of settlement failure: Short delivery — the seller doesn't have enough shares in their demat account to deliver. Wrong SSI — settlement instruction sent to the wrong custodian account. Funding failure — the buyer's cash account has insufficient funds on settlement day. Corporate action confusion — shares blocked due to record date or ex-date issues. System errors — SWIFT message not sent, or sent with wrong fields.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NSE auction screen: failed delivery triggers close-out auction. Auction price shown.</w:t>
            </w:r>
          </w:p>
        </w:tc>
        <w:tc>
          <w:tcPr>
            <w:tcW w:type="dxa" w:w="2493"/>
          </w:tcPr>
          <w:p>
            <w:pPr>
              <w:jc w:val="center"/>
            </w:pPr>
            <w:r>
              <w:rPr>
                <w:rFonts w:ascii="Calibri" w:hAnsi="Calibri"/>
                <w:b/>
                <w:i w:val="0"/>
                <w:color w:val="007A87"/>
                <w:sz w:val="18"/>
              </w:rPr>
              <w:t>AUCTION PROCESS</w:t>
            </w:r>
          </w:p>
        </w:tc>
        <w:tc>
          <w:tcPr>
            <w:tcW w:type="dxa" w:w="2493"/>
          </w:tcPr>
          <w:p>
            <w:r>
              <w:rPr>
                <w:sz w:val="20"/>
              </w:rPr>
              <w:t>ARIA: When a seller fails to deliver on T+1, NSCCL invokes the auction mechanism: T+1 (settlement day): short delivery identified. T+2 (auction day): NSCCL conducts a close-out auction — buying the undelivered securities from other market participants at the best available price. The failed seller must pay the difference if the auction price is higher than the original trade price — PLUS a penalty. The buyer receives shares from the auction on T+3.</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Financial calculation: auction shortfall + 2% penalty charge. Operations analyst calculating cost.</w:t>
            </w:r>
          </w:p>
        </w:tc>
        <w:tc>
          <w:tcPr>
            <w:tcW w:type="dxa" w:w="2493"/>
          </w:tcPr>
          <w:p>
            <w:pPr>
              <w:jc w:val="center"/>
            </w:pPr>
            <w:r>
              <w:rPr>
                <w:rFonts w:ascii="Calibri" w:hAnsi="Calibri"/>
                <w:b/>
                <w:i w:val="0"/>
                <w:color w:val="007A87"/>
                <w:sz w:val="18"/>
              </w:rPr>
              <w:t>PENALTY</w:t>
            </w:r>
          </w:p>
        </w:tc>
        <w:tc>
          <w:tcPr>
            <w:tcW w:type="dxa" w:w="2493"/>
          </w:tcPr>
          <w:p>
            <w:r>
              <w:rPr>
                <w:sz w:val="20"/>
              </w:rPr>
              <w:t>RYO: The financial penalty for settlement failure: Auction shortfall — if the auction price is higher than the original trade price, the failing seller pays the difference. Close-out penalty — NSCCL charges an additional penalty of up to 2% of the contract value for systematic failure. Repetitive failures attract SEBI attention and can result in suspension of trading privileges. For operations, settlement failures are a key KPI — firms track 'fail rates' rigorously.</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Timeline showing India's phased move: T+3 (2003) → T+2 (2003) → T+1 (2023). Global comparison.</w:t>
            </w:r>
          </w:p>
        </w:tc>
        <w:tc>
          <w:tcPr>
            <w:tcW w:type="dxa" w:w="2493"/>
          </w:tcPr>
          <w:p>
            <w:pPr>
              <w:jc w:val="center"/>
            </w:pPr>
            <w:r>
              <w:rPr>
                <w:rFonts w:ascii="Calibri" w:hAnsi="Calibri"/>
                <w:b/>
                <w:i w:val="0"/>
                <w:color w:val="007A87"/>
                <w:sz w:val="18"/>
              </w:rPr>
              <w:t>INDIA T1</w:t>
            </w:r>
          </w:p>
        </w:tc>
        <w:tc>
          <w:tcPr>
            <w:tcW w:type="dxa" w:w="2493"/>
          </w:tcPr>
          <w:p>
            <w:r>
              <w:rPr>
                <w:sz w:val="20"/>
              </w:rPr>
              <w:t>KAVI: India was one of the first markets globally to move to T+1 settlement for equities — completing the rollout in January 2023. Benefits: Reduced counterparty risk (positions are exposed for only 1 day). Reduced capital requirement for brokers (less margin needed for fewer days' exposure). Improved liquidity — investors get their cash/shares faster. ARIA: Challenge: FPIs (Foreign Portfolio Investors) raised concerns about T+1 being too fast given currency hedging requirements — RBI and SEBI introduced a special window for FPI settlement to address this.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Settlement failure and auction summary.</w:t>
            </w:r>
          </w:p>
        </w:tc>
        <w:tc>
          <w:tcPr>
            <w:tcW w:type="dxa" w:w="2493"/>
          </w:tcPr>
          <w:p>
            <w:pPr>
              <w:jc w:val="center"/>
            </w:pPr>
            <w:r>
              <w:rPr>
                <w:rFonts w:ascii="Calibri" w:hAnsi="Calibri"/>
                <w:b/>
                <w:i w:val="0"/>
                <w:color w:val="007A87"/>
                <w:sz w:val="18"/>
              </w:rPr>
              <w:t>RECAP D2 5 V2</w:t>
            </w:r>
          </w:p>
        </w:tc>
        <w:tc>
          <w:tcPr>
            <w:tcW w:type="dxa" w:w="2493"/>
          </w:tcPr>
          <w:p>
            <w:r>
              <w:rPr>
                <w:sz w:val="20"/>
              </w:rPr>
              <w:t>RYO: Settlement failure causes: short delivery, bad SSI, funding issues. Auction mechanism: NSCCL buys undelivered securities and charges the failing seller. KAVI: India's T+1 reduces risk but increases operational pressure to resolve issues faster. In Video 3, we'll look at the daily settlement operations workflow — how operations teams manage settlement queues.</w:t>
            </w:r>
          </w:p>
        </w:tc>
      </w:tr>
    </w:tbl>
    <w:p/>
    <w:p>
      <w:r>
        <w:rPr>
          <w:rFonts w:ascii="Calibri" w:hAnsi="Calibri"/>
          <w:b/>
          <w:i w:val="0"/>
          <w:color w:val="007A87"/>
          <w:sz w:val="20"/>
        </w:rPr>
        <w:t xml:space="preserve">▶ Transition: </w:t>
      </w:r>
      <w:r>
        <w:rPr>
          <w:rFonts w:ascii="Calibri" w:hAnsi="Calibri"/>
          <w:b w:val="0"/>
          <w:i/>
          <w:color w:val="404040"/>
          <w:sz w:val="20"/>
        </w:rPr>
        <w:t>Next — D2.5 Video 3: Settlement Operations and Reconciliation</w:t>
      </w:r>
    </w:p>
    <w:p>
      <w:r>
        <w:br w:type="page"/>
      </w:r>
    </w:p>
    <w:p>
      <w:pPr>
        <w:spacing w:before="120"/>
        <w:shd w:val="clear" w:color="auto" w:fill="101C4F"/>
      </w:pPr>
      <w:r>
        <w:rPr>
          <w:rFonts w:ascii="Calibri" w:hAnsi="Calibri"/>
          <w:b/>
          <w:i w:val="0"/>
          <w:color w:val="FFFFFF"/>
          <w:sz w:val="24"/>
        </w:rPr>
        <w:t xml:space="preserve">  D2.5: Trade Settlement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Settlement</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settlement cycle (T+1), DVP mechanics, settlement failure consequences, and India's transition to T+1 settlement.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settlement operations workflow to risk management and client service</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daily settlement operations process, explain the role of the settlement queue, and relate settlement quality to client satisfaction and regulatory compliance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D2.5 Video 2: Settlement Failure and Auction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D2.6 Video 1: Introduction to OTC Markets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Operations team at settlement workstations. Morning start: settlement queue on screen.</w:t>
            </w:r>
          </w:p>
        </w:tc>
        <w:tc>
          <w:tcPr>
            <w:tcW w:type="dxa" w:w="2493"/>
          </w:tcPr>
          <w:p>
            <w:pPr>
              <w:jc w:val="center"/>
            </w:pPr>
            <w:r>
              <w:rPr>
                <w:rFonts w:ascii="Calibri" w:hAnsi="Calibri"/>
                <w:b/>
                <w:i w:val="0"/>
                <w:color w:val="007A87"/>
                <w:sz w:val="18"/>
              </w:rPr>
              <w:t>SETTLEMENT OPS</w:t>
            </w:r>
          </w:p>
        </w:tc>
        <w:tc>
          <w:tcPr>
            <w:tcW w:type="dxa" w:w="2493"/>
          </w:tcPr>
          <w:p>
            <w:r>
              <w:rPr>
                <w:sz w:val="20"/>
              </w:rPr>
              <w:t>ARIA: Let's look at the daily settlement operations workflow. The operations team starts each morning by reviewing the settlement queue — a list of all trades due to settle today. Priority: high-value trades, trades close to the pay-in deadline, and any flagged exceptions from the previous night's batch.</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Settlement queue screen: status indicators — matched, unmatched, queued, settled.</w:t>
            </w:r>
          </w:p>
        </w:tc>
        <w:tc>
          <w:tcPr>
            <w:tcW w:type="dxa" w:w="2493"/>
          </w:tcPr>
          <w:p>
            <w:pPr>
              <w:jc w:val="center"/>
            </w:pPr>
            <w:r>
              <w:rPr>
                <w:rFonts w:ascii="Calibri" w:hAnsi="Calibri"/>
                <w:b/>
                <w:i w:val="0"/>
                <w:color w:val="007A87"/>
                <w:sz w:val="18"/>
              </w:rPr>
              <w:t>SETTLEMENT QUEUE</w:t>
            </w:r>
          </w:p>
        </w:tc>
        <w:tc>
          <w:tcPr>
            <w:tcW w:type="dxa" w:w="2493"/>
          </w:tcPr>
          <w:p>
            <w:r>
              <w:rPr>
                <w:sz w:val="20"/>
              </w:rPr>
              <w:t>KAVI: Each trade in the queue has a status: Matched — both buyer and seller instructions agree. Ready to settle. Unmatched — instructions from the two sides don't agree. Needs investigation. Queued — instruction sent, awaiting confirmation from depository. Settled — complete. Green is good; amber and red need attention. The goal is to have 100% of trades matched before the pay-in deadline.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Clock animation: NSE pay-in deadline approaching. Operations urgently resolving breaks.</w:t>
            </w:r>
          </w:p>
        </w:tc>
        <w:tc>
          <w:tcPr>
            <w:tcW w:type="dxa" w:w="2493"/>
          </w:tcPr>
          <w:p>
            <w:pPr>
              <w:jc w:val="center"/>
            </w:pPr>
            <w:r>
              <w:rPr>
                <w:rFonts w:ascii="Calibri" w:hAnsi="Calibri"/>
                <w:b/>
                <w:i w:val="0"/>
                <w:color w:val="007A87"/>
                <w:sz w:val="18"/>
              </w:rPr>
              <w:t>PAY IN DEADLINE</w:t>
            </w:r>
          </w:p>
        </w:tc>
        <w:tc>
          <w:tcPr>
            <w:tcW w:type="dxa" w:w="2493"/>
          </w:tcPr>
          <w:p>
            <w:r>
              <w:rPr>
                <w:sz w:val="20"/>
              </w:rPr>
              <w:t>RYO: In India's T+1 environment, the NSCCL pay-in deadline is in the morning of T+1 — creating an extremely tight window. Operations must identify and resolve any unmatched trades by the pay-in deadline. For large institutional trades, this requires close coordination with: the fund manager (to confirm allocation), the custodian (to confirm cash and securities availability), the broker (to confirm trade details).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Corporate action event: dividend record date. Operations checking which settled positions are entitled.</w:t>
            </w:r>
          </w:p>
        </w:tc>
        <w:tc>
          <w:tcPr>
            <w:tcW w:type="dxa" w:w="2493"/>
          </w:tcPr>
          <w:p>
            <w:pPr>
              <w:jc w:val="center"/>
            </w:pPr>
            <w:r>
              <w:rPr>
                <w:rFonts w:ascii="Calibri" w:hAnsi="Calibri"/>
                <w:b/>
                <w:i w:val="0"/>
                <w:color w:val="007A87"/>
                <w:sz w:val="18"/>
              </w:rPr>
              <w:t>CORPORATE ACTIONS</w:t>
            </w:r>
          </w:p>
        </w:tc>
        <w:tc>
          <w:tcPr>
            <w:tcW w:type="dxa" w:w="2493"/>
          </w:tcPr>
          <w:p>
            <w:r>
              <w:rPr>
                <w:sz w:val="20"/>
              </w:rPr>
              <w:t>ARIA: Settlement operations also handles corporate actions processing. When a company declares a dividend, rights issue, or bonus shares, the record date determines who is entitled. Operations must ensure that all trades settling before the record date are correctly recorded so that clients receive their entitlement. Failure to process corporate actions correctly leads to client P&amp;L errors and potential disputes.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Client's portfolio statement: incorrect position shown. Operations correcting the record.</w:t>
            </w:r>
          </w:p>
        </w:tc>
        <w:tc>
          <w:tcPr>
            <w:tcW w:type="dxa" w:w="2493"/>
          </w:tcPr>
          <w:p>
            <w:pPr>
              <w:jc w:val="center"/>
            </w:pPr>
            <w:r>
              <w:rPr>
                <w:rFonts w:ascii="Calibri" w:hAnsi="Calibri"/>
                <w:b/>
                <w:i w:val="0"/>
                <w:color w:val="007A87"/>
                <w:sz w:val="18"/>
              </w:rPr>
              <w:t>CLIENT IMPACT</w:t>
            </w:r>
          </w:p>
        </w:tc>
        <w:tc>
          <w:tcPr>
            <w:tcW w:type="dxa" w:w="2493"/>
          </w:tcPr>
          <w:p>
            <w:r>
              <w:rPr>
                <w:sz w:val="20"/>
              </w:rPr>
              <w:t>KAVI: Settlement quality directly impacts client service. If a trade fails to settle, the client's portfolio shows a 'pending' position — creating uncertainty about their investment exposure. RYO: For institutional clients like mutual funds, a settlement failure can breach their investment mandate (e.g., they may be overweight a sector until the purchase settles). Operations teams are measured on settlement efficiency — it is a direct reflection of service quality.</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Settlement operations workflow summary.</w:t>
            </w:r>
          </w:p>
        </w:tc>
        <w:tc>
          <w:tcPr>
            <w:tcW w:type="dxa" w:w="2493"/>
          </w:tcPr>
          <w:p>
            <w:pPr>
              <w:jc w:val="center"/>
            </w:pPr>
            <w:r>
              <w:rPr>
                <w:rFonts w:ascii="Calibri" w:hAnsi="Calibri"/>
                <w:b/>
                <w:i w:val="0"/>
                <w:color w:val="007A87"/>
                <w:sz w:val="18"/>
              </w:rPr>
              <w:t>RECAP D2 5 V3</w:t>
            </w:r>
          </w:p>
        </w:tc>
        <w:tc>
          <w:tcPr>
            <w:tcW w:type="dxa" w:w="2493"/>
          </w:tcPr>
          <w:p>
            <w:r>
              <w:rPr>
                <w:sz w:val="20"/>
              </w:rPr>
              <w:t>ARIA: Settlement operations: daily queue management, matching, pay-in deadline, corporate action processing. KAVI: Settlement quality = operational excellence = client satisfaction = regulatory compliance. Up next: the OTC world — how are trades done outside exchanges, and how does the ISDA framework govern them?</w:t>
            </w:r>
          </w:p>
        </w:tc>
      </w:tr>
    </w:tbl>
    <w:p/>
    <w:p>
      <w:r>
        <w:rPr>
          <w:rFonts w:ascii="Calibri" w:hAnsi="Calibri"/>
          <w:b/>
          <w:i w:val="0"/>
          <w:color w:val="007A87"/>
          <w:sz w:val="20"/>
        </w:rPr>
        <w:t xml:space="preserve">▶ Transition: </w:t>
      </w:r>
      <w:r>
        <w:rPr>
          <w:rFonts w:ascii="Calibri" w:hAnsi="Calibri"/>
          <w:b w:val="0"/>
          <w:i/>
          <w:color w:val="404040"/>
          <w:sz w:val="20"/>
        </w:rPr>
        <w:t>Next — D2.6 Video 1: Introduction to OTC Markets</w:t>
      </w:r>
    </w:p>
    <w:p>
      <w:r>
        <w:br w:type="page"/>
      </w:r>
    </w:p>
    <w:p>
      <w:pPr>
        <w:spacing w:before="120"/>
        <w:shd w:val="clear" w:color="auto" w:fill="101C4F"/>
      </w:pPr>
      <w:r>
        <w:rPr>
          <w:rFonts w:ascii="Calibri" w:hAnsi="Calibri"/>
          <w:b/>
          <w:i w:val="0"/>
          <w:color w:val="FFFFFF"/>
          <w:sz w:val="24"/>
        </w:rPr>
        <w:t xml:space="preserve">  D2.6: OTC Markets and ISDA Framework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D2.6</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OTC Markets and ISDA Framework</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structure of OTC markets, the role of the ISDA Master Agreement, and how OTC trades differ operationally from exchange-traded instruments.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OTC markets and compare them to exchange-traded markets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OTC markets are, who participates, and the key differences from exchange-traded markets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D2.5: Trade Settlement</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D2.6 Video 2: ISDA Master Agreement Structure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Two market diagrams: Exchange (centralised hub with all participants connected to exchange) vs OTC (web of bilateral connections between participants).</w:t>
            </w:r>
          </w:p>
        </w:tc>
        <w:tc>
          <w:tcPr>
            <w:tcW w:type="dxa" w:w="2493"/>
          </w:tcPr>
          <w:p>
            <w:pPr>
              <w:jc w:val="center"/>
            </w:pPr>
            <w:r>
              <w:rPr>
                <w:rFonts w:ascii="Calibri" w:hAnsi="Calibri"/>
                <w:b/>
                <w:i w:val="0"/>
                <w:color w:val="007A87"/>
                <w:sz w:val="18"/>
              </w:rPr>
              <w:t>OTC INTRO</w:t>
            </w:r>
          </w:p>
        </w:tc>
        <w:tc>
          <w:tcPr>
            <w:tcW w:type="dxa" w:w="2493"/>
          </w:tcPr>
          <w:p>
            <w:r>
              <w:rPr>
                <w:sz w:val="20"/>
              </w:rPr>
              <w:t>RYO: We've been in the exchange world — NSE, BSE, NSCCL. Now let's step into the OTC world: the Over-The-Counter market. KAVI: OTC trades are bilateral — they happen directly between two parties, without going through an exchange. No exchange, no central order book, no exchange-mandated settlement cycle.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Product icons: IRS, FX Forward, CDS, Structured Notes, Currency Swap, Bespoke Bond.</w:t>
            </w:r>
          </w:p>
        </w:tc>
        <w:tc>
          <w:tcPr>
            <w:tcW w:type="dxa" w:w="2493"/>
          </w:tcPr>
          <w:p>
            <w:pPr>
              <w:jc w:val="center"/>
            </w:pPr>
            <w:r>
              <w:rPr>
                <w:rFonts w:ascii="Calibri" w:hAnsi="Calibri"/>
                <w:b/>
                <w:i w:val="0"/>
                <w:color w:val="007A87"/>
                <w:sz w:val="18"/>
              </w:rPr>
              <w:t>OTC EXAMPLES</w:t>
            </w:r>
          </w:p>
        </w:tc>
        <w:tc>
          <w:tcPr>
            <w:tcW w:type="dxa" w:w="2493"/>
          </w:tcPr>
          <w:p>
            <w:r>
              <w:rPr>
                <w:sz w:val="20"/>
              </w:rPr>
              <w:t>ARIA: What trades in OTC markets? Interest Rate Swaps (IRS). Foreign Exchange Forwards and Options. Credit Default Swaps (CDS). Currency Swaps. Bespoke structured products — notes with custom payoffs. Government securities repos. Most of the world's derivative notional outstanding is OTC — ISDA estimates over $600 trillion globally. In India, the IRS and FX forward markets are both massive OTC markets regulated by RBI.</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Comparison table: OTC vs Exchange across 6 dimensions.</w:t>
            </w:r>
          </w:p>
        </w:tc>
        <w:tc>
          <w:tcPr>
            <w:tcW w:type="dxa" w:w="2493"/>
          </w:tcPr>
          <w:p>
            <w:pPr>
              <w:jc w:val="center"/>
            </w:pPr>
            <w:r>
              <w:rPr>
                <w:rFonts w:ascii="Calibri" w:hAnsi="Calibri"/>
                <w:b/>
                <w:i w:val="0"/>
                <w:color w:val="007A87"/>
                <w:sz w:val="18"/>
              </w:rPr>
              <w:t>OTC KEY CHARS</w:t>
            </w:r>
          </w:p>
        </w:tc>
        <w:tc>
          <w:tcPr>
            <w:tcW w:type="dxa" w:w="2493"/>
          </w:tcPr>
          <w:p>
            <w:r>
              <w:rPr>
                <w:sz w:val="20"/>
              </w:rPr>
              <w:t>KAVI: Key characteristics of OTC markets: Customisation — any terms can be negotiated: notional, maturity, payment frequency, currency. No central exchange — trades happen by phone, Bloomberg chat, or electronic platforms. No standard central counterparty — each trade has counterparty credit risk (unless cleared through CCIL). Price transparency — limited; OTC prices are negotiated bilaterally, not displayed on a public order book. Regulation — governed by RBI (interest rate and FX derivatives) and SEBI (equity derivatives). Documentation — governed by ISDA Master Agreement.</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Diagram: Dealer banks at the centre, connected to: corporates, asset managers, FPIs, central banks, insurance, pension funds.</w:t>
            </w:r>
          </w:p>
        </w:tc>
        <w:tc>
          <w:tcPr>
            <w:tcW w:type="dxa" w:w="2493"/>
          </w:tcPr>
          <w:p>
            <w:pPr>
              <w:jc w:val="center"/>
            </w:pPr>
            <w:r>
              <w:rPr>
                <w:rFonts w:ascii="Calibri" w:hAnsi="Calibri"/>
                <w:b/>
                <w:i w:val="0"/>
                <w:color w:val="007A87"/>
                <w:sz w:val="18"/>
              </w:rPr>
              <w:t>OTC PARTICIPANTS</w:t>
            </w:r>
          </w:p>
        </w:tc>
        <w:tc>
          <w:tcPr>
            <w:tcW w:type="dxa" w:w="2493"/>
          </w:tcPr>
          <w:p>
            <w:r>
              <w:rPr>
                <w:sz w:val="20"/>
              </w:rPr>
              <w:t>RYO: OTC market participants: Dealer Banks — the core of the OTC market. They make markets in swaps, FX forwards, and other OTC instruments. In India: SBI, HDFC Bank, ICICI Bank, Citi, Deutsche, Standard Chartered. End Users — corporates (hedging), asset managers (portfolio management), FPIs (currency hedging), insurance companies (ALM). Central Banks — RBI intervenes in the FX forward market. Each transaction is governed by a bilateral legal agreement — the ISDA Master Agreement for derivatives.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Side-by-side comparison: Exchange-Traded (standardised, cleared, transparent) vs OTC (customised, bilateral, negotiated).</w:t>
            </w:r>
          </w:p>
        </w:tc>
        <w:tc>
          <w:tcPr>
            <w:tcW w:type="dxa" w:w="2493"/>
          </w:tcPr>
          <w:p>
            <w:pPr>
              <w:jc w:val="center"/>
            </w:pPr>
            <w:r>
              <w:rPr>
                <w:rFonts w:ascii="Calibri" w:hAnsi="Calibri"/>
                <w:b/>
                <w:i w:val="0"/>
                <w:color w:val="007A87"/>
                <w:sz w:val="18"/>
              </w:rPr>
              <w:t>ETD OTC COMPARE</w:t>
            </w:r>
          </w:p>
        </w:tc>
        <w:tc>
          <w:tcPr>
            <w:tcW w:type="dxa" w:w="2493"/>
          </w:tcPr>
          <w:p>
            <w:r>
              <w:rPr>
                <w:sz w:val="20"/>
              </w:rPr>
              <w:t>ARIA: Why does OTC exist alongside exchanges? Because standardisation isn't always possible. A corporate treasurer who needs a ₹500 crore IRS for exactly 4 years and 7 months cannot use a standardised exchange contract. The OTC market provides exactly the customisation needed. RYO: The tradeoff: more customisation but more counterparty risk, less transparency, and more complex documentation and operations.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OTC market summary.</w:t>
            </w:r>
          </w:p>
        </w:tc>
        <w:tc>
          <w:tcPr>
            <w:tcW w:type="dxa" w:w="2493"/>
          </w:tcPr>
          <w:p>
            <w:pPr>
              <w:jc w:val="center"/>
            </w:pPr>
            <w:r>
              <w:rPr>
                <w:rFonts w:ascii="Calibri" w:hAnsi="Calibri"/>
                <w:b/>
                <w:i w:val="0"/>
                <w:color w:val="007A87"/>
                <w:sz w:val="18"/>
              </w:rPr>
              <w:t>RECAP D2 6 V1</w:t>
            </w:r>
          </w:p>
        </w:tc>
        <w:tc>
          <w:tcPr>
            <w:tcW w:type="dxa" w:w="2493"/>
          </w:tcPr>
          <w:p>
            <w:r>
              <w:rPr>
                <w:sz w:val="20"/>
              </w:rPr>
              <w:t>KAVI: OTC = bilateral, customised, no exchange. Products: IRS, FX forwards, CDS, currency swaps. Participants: dealer banks and end users. ARIA: Key risk in OTC = counterparty credit risk — unlike exchange trades guaranteed by NSCCL. In Video 2, we'll look at how the ISDA Master Agreement manages and reduces this counterparty risk.</w:t>
            </w:r>
          </w:p>
        </w:tc>
      </w:tr>
    </w:tbl>
    <w:p/>
    <w:p>
      <w:r>
        <w:rPr>
          <w:rFonts w:ascii="Calibri" w:hAnsi="Calibri"/>
          <w:b/>
          <w:i w:val="0"/>
          <w:color w:val="007A87"/>
          <w:sz w:val="20"/>
        </w:rPr>
        <w:t xml:space="preserve">▶ Transition: </w:t>
      </w:r>
      <w:r>
        <w:rPr>
          <w:rFonts w:ascii="Calibri" w:hAnsi="Calibri"/>
          <w:b w:val="0"/>
          <w:i/>
          <w:color w:val="404040"/>
          <w:sz w:val="20"/>
        </w:rPr>
        <w:t>Next — D2.6 Video 2: ISDA Master Agreement Structure</w:t>
      </w:r>
    </w:p>
    <w:p>
      <w:r>
        <w:br w:type="page"/>
      </w:r>
    </w:p>
    <w:p>
      <w:pPr>
        <w:spacing w:before="120"/>
        <w:shd w:val="clear" w:color="auto" w:fill="101C4F"/>
      </w:pPr>
      <w:r>
        <w:rPr>
          <w:rFonts w:ascii="Calibri" w:hAnsi="Calibri"/>
          <w:b/>
          <w:i w:val="0"/>
          <w:color w:val="FFFFFF"/>
          <w:sz w:val="24"/>
        </w:rPr>
        <w:t xml:space="preserve">  D2.6: OTC Markets and ISDA Framework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D2.6</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OTC Markets and ISDA Framework</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structure of OTC markets, the role of the ISDA Master Agreement, and how OTC trades differ operationally from exchange-traded instruments.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Identify the components of an ISDA Master Agreement and explain how netting works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four components of ISDA documentation and explain how close-out netting reduces credit exposure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D2.6 Video 1: OTC Markets</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D2.6 Video 3: OTC vs ETD Operational Comparison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ISDA logo and document stack. Four components shown as layered documents.</w:t>
            </w:r>
          </w:p>
        </w:tc>
        <w:tc>
          <w:tcPr>
            <w:tcW w:type="dxa" w:w="2493"/>
          </w:tcPr>
          <w:p>
            <w:pPr>
              <w:jc w:val="center"/>
            </w:pPr>
            <w:r>
              <w:rPr>
                <w:rFonts w:ascii="Calibri" w:hAnsi="Calibri"/>
                <w:b/>
                <w:i w:val="0"/>
                <w:color w:val="007A87"/>
                <w:sz w:val="18"/>
              </w:rPr>
              <w:t>ISDA INTRO</w:t>
            </w:r>
          </w:p>
        </w:tc>
        <w:tc>
          <w:tcPr>
            <w:tcW w:type="dxa" w:w="2493"/>
          </w:tcPr>
          <w:p>
            <w:r>
              <w:rPr>
                <w:sz w:val="20"/>
              </w:rPr>
              <w:t>RYO: Every OTC derivative trade globally is governed by the ISDA Master Agreement — the legal framework published by the International Swaps and Derivatives Association. Without an ISDA agreement, two parties cannot legally trade OTC derivatives. Let's look at the four components.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Document with standard text highlighted. 'Boilerplate' label — same for all counterparty pairs.</w:t>
            </w:r>
          </w:p>
        </w:tc>
        <w:tc>
          <w:tcPr>
            <w:tcW w:type="dxa" w:w="2493"/>
          </w:tcPr>
          <w:p>
            <w:pPr>
              <w:jc w:val="center"/>
            </w:pPr>
            <w:r>
              <w:rPr>
                <w:rFonts w:ascii="Calibri" w:hAnsi="Calibri"/>
                <w:b/>
                <w:i w:val="0"/>
                <w:color w:val="007A87"/>
                <w:sz w:val="18"/>
              </w:rPr>
              <w:t>ISDA MASTER</w:t>
            </w:r>
          </w:p>
        </w:tc>
        <w:tc>
          <w:tcPr>
            <w:tcW w:type="dxa" w:w="2493"/>
          </w:tcPr>
          <w:p>
            <w:r>
              <w:rPr>
                <w:sz w:val="20"/>
              </w:rPr>
              <w:t>KAVI: Component 1: The ISDA Master Agreement itself. This is the standard boilerplate legal document — the same text published by ISDA (2002 version is current standard). It contains: Events of Default (bankruptcy, failure to pay, breach of agreement). Termination Events (illegality, tax changes, force majeure). Close-out netting provisions. Representations and warranties. Both parties sign the same standard document — very little negotiation of this layer.</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Schedule document: bilateral amendments to the master. Party-specific elections highlighted.</w:t>
            </w:r>
          </w:p>
        </w:tc>
        <w:tc>
          <w:tcPr>
            <w:tcW w:type="dxa" w:w="2493"/>
          </w:tcPr>
          <w:p>
            <w:pPr>
              <w:jc w:val="center"/>
            </w:pPr>
            <w:r>
              <w:rPr>
                <w:rFonts w:ascii="Calibri" w:hAnsi="Calibri"/>
                <w:b/>
                <w:i w:val="0"/>
                <w:color w:val="007A87"/>
                <w:sz w:val="18"/>
              </w:rPr>
              <w:t>ISDA SCHEDULE</w:t>
            </w:r>
          </w:p>
        </w:tc>
        <w:tc>
          <w:tcPr>
            <w:tcW w:type="dxa" w:w="2493"/>
          </w:tcPr>
          <w:p>
            <w:r>
              <w:rPr>
                <w:sz w:val="20"/>
              </w:rPr>
              <w:t>ARIA: Component 2: The Schedule. The Schedule is where the two parties make their bilateral elections and amendments to the Master Agreement. What's in the Schedule: governing law (English law or New York law — Indian banks often prefer English law for international trades). Threshold amounts for credit support. Whether physical or cash settlement applies. Currency of payment. This IS negotiated — it's unique for each counterparty pair.</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Credit Support Annex document. Collateral posting flowchart: MTM changes → collateral call → cash/securities transferred.</w:t>
            </w:r>
          </w:p>
        </w:tc>
        <w:tc>
          <w:tcPr>
            <w:tcW w:type="dxa" w:w="2493"/>
          </w:tcPr>
          <w:p>
            <w:pPr>
              <w:jc w:val="center"/>
            </w:pPr>
            <w:r>
              <w:rPr>
                <w:rFonts w:ascii="Calibri" w:hAnsi="Calibri"/>
                <w:b/>
                <w:i w:val="0"/>
                <w:color w:val="007A87"/>
                <w:sz w:val="18"/>
              </w:rPr>
              <w:t>ISDA CSA</w:t>
            </w:r>
          </w:p>
        </w:tc>
        <w:tc>
          <w:tcPr>
            <w:tcW w:type="dxa" w:w="2493"/>
          </w:tcPr>
          <w:p>
            <w:r>
              <w:rPr>
                <w:sz w:val="20"/>
              </w:rPr>
              <w:t>RYO: Component 3: Credit Support Annex (CSA). The CSA governs collateral. It specifies: eligible collateral (cash, government securities). haircuts on non-cash collateral. threshold (below which no collateral is required). minimum transfer amount (to avoid tiny collateral movements). As the MTM of trades moves, the party that is 'out of the money' posts collateral to the 'in the money' party. This collateral posting dramatically reduces credit exposure between counterparties.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Trade confirmation document: specific trade terms. References master agreement.</w:t>
            </w:r>
          </w:p>
        </w:tc>
        <w:tc>
          <w:tcPr>
            <w:tcW w:type="dxa" w:w="2493"/>
          </w:tcPr>
          <w:p>
            <w:pPr>
              <w:jc w:val="center"/>
            </w:pPr>
            <w:r>
              <w:rPr>
                <w:rFonts w:ascii="Calibri" w:hAnsi="Calibri"/>
                <w:b/>
                <w:i w:val="0"/>
                <w:color w:val="007A87"/>
                <w:sz w:val="18"/>
              </w:rPr>
              <w:t>ISDA CONFIRMATION</w:t>
            </w:r>
          </w:p>
        </w:tc>
        <w:tc>
          <w:tcPr>
            <w:tcW w:type="dxa" w:w="2493"/>
          </w:tcPr>
          <w:p>
            <w:r>
              <w:rPr>
                <w:sz w:val="20"/>
              </w:rPr>
              <w:t>KAVI: Component 4: Trade Confirmation. Each individual OTC trade has its own confirmation, specifying: notional amount, fixed/floating rates, payment dates, maturity, day count convention. The confirmation references the Master Agreement and Schedule — those documents' terms govern the trade. Without a signed confirmation, there is a legal dispute risk. Under ISDA protocols, unconfirmed trades must be confirmed within 1–5 business days (depending on product type and regulatory jurisdiction).</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Netting animation: 10 trades between two banks. Gross exposure: ₹500 crore. After netting: ₹50 crore net payable.</w:t>
            </w:r>
          </w:p>
        </w:tc>
        <w:tc>
          <w:tcPr>
            <w:tcW w:type="dxa" w:w="2493"/>
          </w:tcPr>
          <w:p>
            <w:pPr>
              <w:jc w:val="center"/>
            </w:pPr>
            <w:r>
              <w:rPr>
                <w:rFonts w:ascii="Calibri" w:hAnsi="Calibri"/>
                <w:b/>
                <w:i w:val="0"/>
                <w:color w:val="007A87"/>
                <w:sz w:val="18"/>
              </w:rPr>
              <w:t>NETTING</w:t>
            </w:r>
          </w:p>
        </w:tc>
        <w:tc>
          <w:tcPr>
            <w:tcW w:type="dxa" w:w="2493"/>
          </w:tcPr>
          <w:p>
            <w:r>
              <w:rPr>
                <w:sz w:val="20"/>
              </w:rPr>
              <w:t>ARIA: ISDA's most powerful feature: close-out netting. If a counterparty defaults, all trades between the two parties are immediately terminated, valued, and netted to a single net payable or receivable. Without netting: the non-defaulting party must pay all negative MTM trades but only file a claim for positive MTM trades — which may recover pennies in bankruptcy. With netting: only the net position matters. This reduces credit exposure by 75–85%. RYO: This is why ISDA documentation is mandatory — the netting benefit alone saves banks billions in capital requirements globally.</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ISDA four-component summary.</w:t>
            </w:r>
          </w:p>
        </w:tc>
        <w:tc>
          <w:tcPr>
            <w:tcW w:type="dxa" w:w="2493"/>
          </w:tcPr>
          <w:p>
            <w:pPr>
              <w:jc w:val="center"/>
            </w:pPr>
            <w:r>
              <w:rPr>
                <w:rFonts w:ascii="Calibri" w:hAnsi="Calibri"/>
                <w:b/>
                <w:i w:val="0"/>
                <w:color w:val="007A87"/>
                <w:sz w:val="18"/>
              </w:rPr>
              <w:t>RECAP D2 6 V2</w:t>
            </w:r>
          </w:p>
        </w:tc>
        <w:tc>
          <w:tcPr>
            <w:tcW w:type="dxa" w:w="2493"/>
          </w:tcPr>
          <w:p>
            <w:r>
              <w:rPr>
                <w:sz w:val="20"/>
              </w:rPr>
              <w:t>KAVI: ISDA framework: Master Agreement (standard boilerplate), Schedule (bilateral elections), CSA (collateral), Confirmation (trade-specific). ARIA: Netting = most powerful risk reduction tool in OTC markets. In Video 3, we'll compare OTC and ETD operations in detail — what makes an operations analyst's job different in each world.</w:t>
            </w:r>
          </w:p>
        </w:tc>
      </w:tr>
    </w:tbl>
    <w:p/>
    <w:p>
      <w:r>
        <w:rPr>
          <w:rFonts w:ascii="Calibri" w:hAnsi="Calibri"/>
          <w:b/>
          <w:i w:val="0"/>
          <w:color w:val="007A87"/>
          <w:sz w:val="20"/>
        </w:rPr>
        <w:t xml:space="preserve">▶ Transition: </w:t>
      </w:r>
      <w:r>
        <w:rPr>
          <w:rFonts w:ascii="Calibri" w:hAnsi="Calibri"/>
          <w:b w:val="0"/>
          <w:i/>
          <w:color w:val="404040"/>
          <w:sz w:val="20"/>
        </w:rPr>
        <w:t>Next — D2.6 Video 3: OTC vs ETD Operational Comparison</w:t>
      </w:r>
    </w:p>
    <w:p>
      <w:r>
        <w:br w:type="page"/>
      </w:r>
    </w:p>
    <w:p>
      <w:pPr>
        <w:spacing w:before="120"/>
        <w:shd w:val="clear" w:color="auto" w:fill="101C4F"/>
      </w:pPr>
      <w:r>
        <w:rPr>
          <w:rFonts w:ascii="Calibri" w:hAnsi="Calibri"/>
          <w:b/>
          <w:i w:val="0"/>
          <w:color w:val="FFFFFF"/>
          <w:sz w:val="24"/>
        </w:rPr>
        <w:t xml:space="preserve">  D2.6: OTC Markets and ISDA Framework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D2.6</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OTC Markets and ISDA Framework</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structure of OTC markets, the role of the ISDA Master Agreement, and how OTC trades differ operationally from exchange-traded instruments.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the ISDA framework to operational workflow and counterparty risk management</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compare operational workflows for OTC vs ETD trades and explain how ISDA documentation creates an operational framework for risk management</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D2.6 Video 2: ISDA Master Agreement</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D2.7 Video 1: OTC Trade Initiation and Execution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Two-lane road animation: ETD lane (fast, standardised) and OTC lane (complex, bespoke).</w:t>
            </w:r>
          </w:p>
        </w:tc>
        <w:tc>
          <w:tcPr>
            <w:tcW w:type="dxa" w:w="2493"/>
          </w:tcPr>
          <w:p>
            <w:pPr>
              <w:jc w:val="center"/>
            </w:pPr>
            <w:r>
              <w:rPr>
                <w:rFonts w:ascii="Calibri" w:hAnsi="Calibri"/>
                <w:b/>
                <w:i w:val="0"/>
                <w:color w:val="007A87"/>
                <w:sz w:val="18"/>
              </w:rPr>
              <w:t>OTC ETD OPS</w:t>
            </w:r>
          </w:p>
        </w:tc>
        <w:tc>
          <w:tcPr>
            <w:tcW w:type="dxa" w:w="2493"/>
          </w:tcPr>
          <w:p>
            <w:r>
              <w:rPr>
                <w:sz w:val="20"/>
              </w:rPr>
              <w:t>RYO: Exchange-traded and OTC operations are completely different worlds. Let's compare them side by side.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Table: ETD confirmation (automatic, T+0, exchange confirms) vs OTC confirmation (manual, T+0 to T+5, bilateral).</w:t>
            </w:r>
          </w:p>
        </w:tc>
        <w:tc>
          <w:tcPr>
            <w:tcW w:type="dxa" w:w="2493"/>
          </w:tcPr>
          <w:p>
            <w:pPr>
              <w:jc w:val="center"/>
            </w:pPr>
            <w:r>
              <w:rPr>
                <w:rFonts w:ascii="Calibri" w:hAnsi="Calibri"/>
                <w:b/>
                <w:i w:val="0"/>
                <w:color w:val="007A87"/>
                <w:sz w:val="18"/>
              </w:rPr>
              <w:t>CONFIRMATION COMPARE</w:t>
            </w:r>
          </w:p>
        </w:tc>
        <w:tc>
          <w:tcPr>
            <w:tcW w:type="dxa" w:w="2493"/>
          </w:tcPr>
          <w:p>
            <w:r>
              <w:rPr>
                <w:sz w:val="20"/>
              </w:rPr>
              <w:t>KAVI: Trade confirmation: ETD — automatic and near-instantaneous. NSE confirms to both sides the moment the trade executes. OTC — manual process. The two dealers exchange a term sheet, negotiate any discrepancies, and sign a confirmation. This can take 1–5 days. ISDA protocols (2009 Dodd-Frank reforms globally) require timely confirmation, but in practice, OTC confirmation backlogs are a known operational risk.</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Table: ETD settlement (T+1, NSCCL/NSDL, standardised DVP) vs OTC (bespoke, bilateral, or CCP-cleared).</w:t>
            </w:r>
          </w:p>
        </w:tc>
        <w:tc>
          <w:tcPr>
            <w:tcW w:type="dxa" w:w="2493"/>
          </w:tcPr>
          <w:p>
            <w:pPr>
              <w:jc w:val="center"/>
            </w:pPr>
            <w:r>
              <w:rPr>
                <w:rFonts w:ascii="Calibri" w:hAnsi="Calibri"/>
                <w:b/>
                <w:i w:val="0"/>
                <w:color w:val="007A87"/>
                <w:sz w:val="18"/>
              </w:rPr>
              <w:t>SETTLEMENT COMPARE</w:t>
            </w:r>
          </w:p>
        </w:tc>
        <w:tc>
          <w:tcPr>
            <w:tcW w:type="dxa" w:w="2493"/>
          </w:tcPr>
          <w:p>
            <w:r>
              <w:rPr>
                <w:sz w:val="20"/>
              </w:rPr>
              <w:t>ARIA: Settlement: ETD — NSCCL guarantees and nets all exchange trades. Settlement via NSDL/CDSL on T+1. OTC — settlement is bilateral (unless cleared through CCIL). For an IRS, settlement = periodic net cash flows (no principal exchange for vanilla IRS). For a currency swap — physical principal exchange at inception and maturity. For CDS — contingent settlement only if a credit event occurs.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Table: ETD (daily SPAN margin) vs OTC uncleared (ISDA CSA collateral) vs OTC cleared (CCP initial + variation margin).</w:t>
            </w:r>
          </w:p>
        </w:tc>
        <w:tc>
          <w:tcPr>
            <w:tcW w:type="dxa" w:w="2493"/>
          </w:tcPr>
          <w:p>
            <w:pPr>
              <w:jc w:val="center"/>
            </w:pPr>
            <w:r>
              <w:rPr>
                <w:rFonts w:ascii="Calibri" w:hAnsi="Calibri"/>
                <w:b/>
                <w:i w:val="0"/>
                <w:color w:val="007A87"/>
                <w:sz w:val="18"/>
              </w:rPr>
              <w:t>MARGIN COMPARE</w:t>
            </w:r>
          </w:p>
        </w:tc>
        <w:tc>
          <w:tcPr>
            <w:tcW w:type="dxa" w:w="2493"/>
          </w:tcPr>
          <w:p>
            <w:r>
              <w:rPr>
                <w:sz w:val="20"/>
              </w:rPr>
              <w:t>RYO: Margin and collateral: ETD — daily SPAN margin collected by NSCCL from all clearing members. No CSA needed. OTC uncleared — bilateral collateral governed by ISDA CSA. Daily or weekly MTM calls. OTC cleared (via CCIL) — initial margin and daily variation margin collected by CCIL. More standardised. Post-RBI 2014 mandate, vanilla INR IRS must be cleared through CCIL — bridging the gap between OTC flexibility and ETD-style centralised clearing.</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 reporting: OTC trades reported to CCIL's Trade Repository within 30 minutes of execution.</w:t>
            </w:r>
          </w:p>
        </w:tc>
        <w:tc>
          <w:tcPr>
            <w:tcW w:type="dxa" w:w="2493"/>
          </w:tcPr>
          <w:p>
            <w:pPr>
              <w:jc w:val="center"/>
            </w:pPr>
            <w:r>
              <w:rPr>
                <w:rFonts w:ascii="Calibri" w:hAnsi="Calibri"/>
                <w:b/>
                <w:i w:val="0"/>
                <w:color w:val="007A87"/>
                <w:sz w:val="18"/>
              </w:rPr>
              <w:t>REGULATORY REPORTING</w:t>
            </w:r>
          </w:p>
        </w:tc>
        <w:tc>
          <w:tcPr>
            <w:tcW w:type="dxa" w:w="2493"/>
          </w:tcPr>
          <w:p>
            <w:r>
              <w:rPr>
                <w:sz w:val="20"/>
              </w:rPr>
              <w:t>KAVI: Regulatory reporting: ETD — exchange automatically reports to SEBI. OTC — RBI mandates reporting of all derivative trades to CCIL's Trade Repository within 30 minutes of execution. Operations teams must have automated TR reporting systems. Failure to report on time is a regulatory violation — RBI has issued fines for TR reporting failures.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OTC vs ETD comparison table and ISDA workflow summary.</w:t>
            </w:r>
          </w:p>
        </w:tc>
        <w:tc>
          <w:tcPr>
            <w:tcW w:type="dxa" w:w="2493"/>
          </w:tcPr>
          <w:p>
            <w:pPr>
              <w:jc w:val="center"/>
            </w:pPr>
            <w:r>
              <w:rPr>
                <w:rFonts w:ascii="Calibri" w:hAnsi="Calibri"/>
                <w:b/>
                <w:i w:val="0"/>
                <w:color w:val="007A87"/>
                <w:sz w:val="18"/>
              </w:rPr>
              <w:t>RECAP D2 6 V3</w:t>
            </w:r>
          </w:p>
        </w:tc>
        <w:tc>
          <w:tcPr>
            <w:tcW w:type="dxa" w:w="2493"/>
          </w:tcPr>
          <w:p>
            <w:r>
              <w:rPr>
                <w:sz w:val="20"/>
              </w:rPr>
              <w:t>ARIA: OTC operations are more complex: bespoke confirmation, bilateral settlement, ISDA documentation, TR reporting. RYO: But the same core principle applies as ETD: accurate data, timely processing, and robust controls. Up next: the full OTC Trade Lifecycle — from execution through CCIL clearing and final settlement.</w:t>
            </w:r>
          </w:p>
        </w:tc>
      </w:tr>
    </w:tbl>
    <w:p/>
    <w:p>
      <w:r>
        <w:rPr>
          <w:rFonts w:ascii="Calibri" w:hAnsi="Calibri"/>
          <w:b/>
          <w:i w:val="0"/>
          <w:color w:val="007A87"/>
          <w:sz w:val="20"/>
        </w:rPr>
        <w:t xml:space="preserve">▶ Transition: </w:t>
      </w:r>
      <w:r>
        <w:rPr>
          <w:rFonts w:ascii="Calibri" w:hAnsi="Calibri"/>
          <w:b w:val="0"/>
          <w:i/>
          <w:color w:val="404040"/>
          <w:sz w:val="20"/>
        </w:rPr>
        <w:t>Next — D2.7 Video 1: OTC Trade Initiation and Execution</w:t>
      </w:r>
    </w:p>
    <w:p>
      <w:r>
        <w:br w:type="page"/>
      </w:r>
    </w:p>
    <w:p>
      <w:pPr>
        <w:spacing w:before="120"/>
        <w:shd w:val="clear" w:color="auto" w:fill="101C4F"/>
      </w:pPr>
      <w:r>
        <w:rPr>
          <w:rFonts w:ascii="Calibri" w:hAnsi="Calibri"/>
          <w:b/>
          <w:i w:val="0"/>
          <w:color w:val="FFFFFF"/>
          <w:sz w:val="24"/>
        </w:rPr>
        <w:t xml:space="preserve">  D2.7: OTC Trade Lifecycle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D2.7</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OTC Trade Lifecycle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end-to-end OTC trade lifecycle — from execution through confirmation, CCIL clearing, trade repository reporting, and settlement.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Describe OTC trade execution and the initial post-trade steps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trace an OTC derivative trade from execution through initial confirmation and CCIL submission</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D2.6: OTC Markets and ISDA Framework</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D2.7 Video 2: OTC Clearing and Trade Reporting</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Two bank traders on screen — one at HDFC Bank, one at Citi — negotiating over Bloomberg chat.</w:t>
            </w:r>
          </w:p>
        </w:tc>
        <w:tc>
          <w:tcPr>
            <w:tcW w:type="dxa" w:w="2493"/>
          </w:tcPr>
          <w:p>
            <w:pPr>
              <w:jc w:val="center"/>
            </w:pPr>
            <w:r>
              <w:rPr>
                <w:rFonts w:ascii="Calibri" w:hAnsi="Calibri"/>
                <w:b/>
                <w:i w:val="0"/>
                <w:color w:val="007A87"/>
                <w:sz w:val="18"/>
              </w:rPr>
              <w:t>OTC EXEC INTRO</w:t>
            </w:r>
          </w:p>
        </w:tc>
        <w:tc>
          <w:tcPr>
            <w:tcW w:type="dxa" w:w="2493"/>
          </w:tcPr>
          <w:p>
            <w:r>
              <w:rPr>
                <w:sz w:val="20"/>
              </w:rPr>
              <w:t>KAVI: Let's trace an OTC IRS trade from start to finish. HDFC Bank wants to pay fixed 7.40% and receive 3-month MIBOR on ₹500 crore for 3 years. Citi Bank is willing to take the other side. RYO: The trade is agreed over Bloomberg chat at 10:15 AM. Both traders confirm the key terms: notional, fixed rate, floating index, effective date, maturity date, payment frequency.</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OMS screen: OTC trade captured with all fields. ISDA reference populated automatically.</w:t>
            </w:r>
          </w:p>
        </w:tc>
        <w:tc>
          <w:tcPr>
            <w:tcW w:type="dxa" w:w="2493"/>
          </w:tcPr>
          <w:p>
            <w:pPr>
              <w:jc w:val="center"/>
            </w:pPr>
            <w:r>
              <w:rPr>
                <w:rFonts w:ascii="Calibri" w:hAnsi="Calibri"/>
                <w:b/>
                <w:i w:val="0"/>
                <w:color w:val="007A87"/>
                <w:sz w:val="18"/>
              </w:rPr>
              <w:t>TRADE CAPTURE OTC</w:t>
            </w:r>
          </w:p>
        </w:tc>
        <w:tc>
          <w:tcPr>
            <w:tcW w:type="dxa" w:w="2493"/>
          </w:tcPr>
          <w:p>
            <w:r>
              <w:rPr>
                <w:sz w:val="20"/>
              </w:rPr>
              <w:t>ARIA: Immediately after agreement, both traders enter the trade into their respective trade capture systems. The system automatically populates: the governing ISDA Master Agreement reference, the applicable definitions (ISDA 2006 Definitions for IRS), day count convention (Actual/365 for Indian IRS), business day convention (Modified Following). This capture must happen within minutes — operations teams have tight SLA targets.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Term sheet document: all trade economics on one page. Both parties' legal names, notional, rates, dates.</w:t>
            </w:r>
          </w:p>
        </w:tc>
        <w:tc>
          <w:tcPr>
            <w:tcW w:type="dxa" w:w="2493"/>
          </w:tcPr>
          <w:p>
            <w:pPr>
              <w:jc w:val="center"/>
            </w:pPr>
            <w:r>
              <w:rPr>
                <w:rFonts w:ascii="Calibri" w:hAnsi="Calibri"/>
                <w:b/>
                <w:i w:val="0"/>
                <w:color w:val="007A87"/>
                <w:sz w:val="18"/>
              </w:rPr>
              <w:t>TERM SHEET</w:t>
            </w:r>
          </w:p>
        </w:tc>
        <w:tc>
          <w:tcPr>
            <w:tcW w:type="dxa" w:w="2493"/>
          </w:tcPr>
          <w:p>
            <w:r>
              <w:rPr>
                <w:sz w:val="20"/>
              </w:rPr>
              <w:t>RYO: A term sheet or preliminary confirmation is immediately prepared, summarising all trade economics: Party A: HDFC Bank — pays fixed 7.40% quarterly. Party B: Citibank — pays 3-month MIBOR quarterly. Notional: ₹500 crore. Effective Date: 2 business days hence. Maturity: 3 years. Day count: Actual/365. This term sheet is shared with the counterparty for agreement.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CCIL submission screen: trade details sent electronically. CCIL acceptance confirmation received.</w:t>
            </w:r>
          </w:p>
        </w:tc>
        <w:tc>
          <w:tcPr>
            <w:tcW w:type="dxa" w:w="2493"/>
          </w:tcPr>
          <w:p>
            <w:pPr>
              <w:jc w:val="center"/>
            </w:pPr>
            <w:r>
              <w:rPr>
                <w:rFonts w:ascii="Calibri" w:hAnsi="Calibri"/>
                <w:b/>
                <w:i w:val="0"/>
                <w:color w:val="007A87"/>
                <w:sz w:val="18"/>
              </w:rPr>
              <w:t>CCIL SUBMISSION</w:t>
            </w:r>
          </w:p>
        </w:tc>
        <w:tc>
          <w:tcPr>
            <w:tcW w:type="dxa" w:w="2493"/>
          </w:tcPr>
          <w:p>
            <w:r>
              <w:rPr>
                <w:sz w:val="20"/>
              </w:rPr>
              <w:t>KAVI: For vanilla INR IRS — as mandated by RBI since 2014 — the trade must be submitted to CCIL for central clearing. Both parties submit trade details to CCIL's Clearing System electronically within 30 minutes. CCIL validates the trade: does it match the details submitted by both parties? If yes — CCIL accepts the trade for novation.</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Novation animation: original bilateral trade replaced by two CCIL-facing trades.</w:t>
            </w:r>
          </w:p>
        </w:tc>
        <w:tc>
          <w:tcPr>
            <w:tcW w:type="dxa" w:w="2493"/>
          </w:tcPr>
          <w:p>
            <w:pPr>
              <w:jc w:val="center"/>
            </w:pPr>
            <w:r>
              <w:rPr>
                <w:rFonts w:ascii="Calibri" w:hAnsi="Calibri"/>
                <w:b/>
                <w:i w:val="0"/>
                <w:color w:val="007A87"/>
                <w:sz w:val="18"/>
              </w:rPr>
              <w:t>NOVATION</w:t>
            </w:r>
          </w:p>
        </w:tc>
        <w:tc>
          <w:tcPr>
            <w:tcW w:type="dxa" w:w="2493"/>
          </w:tcPr>
          <w:p>
            <w:r>
              <w:rPr>
                <w:sz w:val="20"/>
              </w:rPr>
              <w:t>ARIA: Novation occurs: the original HDFC-Citi trade is replaced by two new trades — HDFC Bank faces CCIL as fixed payer; CCIL faces Citi Bank as fixed receiver. The bilateral credit risk between HDFC and Citi disappears. Both parties now only face CCIL's credit risk — which is backed by the Settlement Guarantee Fund. Initial margin is collected from both parties immediately post-novation.</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OTC TLC Phase 1 summary: execution → capture → term sheet → CCIL submission → novation.</w:t>
            </w:r>
          </w:p>
        </w:tc>
        <w:tc>
          <w:tcPr>
            <w:tcW w:type="dxa" w:w="2493"/>
          </w:tcPr>
          <w:p>
            <w:pPr>
              <w:jc w:val="center"/>
            </w:pPr>
            <w:r>
              <w:rPr>
                <w:rFonts w:ascii="Calibri" w:hAnsi="Calibri"/>
                <w:b/>
                <w:i w:val="0"/>
                <w:color w:val="007A87"/>
                <w:sz w:val="18"/>
              </w:rPr>
              <w:t>RECAP D2 7 V1</w:t>
            </w:r>
          </w:p>
        </w:tc>
        <w:tc>
          <w:tcPr>
            <w:tcW w:type="dxa" w:w="2493"/>
          </w:tcPr>
          <w:p>
            <w:r>
              <w:rPr>
                <w:sz w:val="20"/>
              </w:rPr>
              <w:t>RYO: OTC TLC Phase 1: Trade agreed bilaterally → captured in both systems → term sheet issued → submitted to CCIL → novated. KAVI: Post-novation, bilateral credit risk is replaced by CCIL credit risk. In Video 2, we'll cover the ongoing lifecycle: trade reporting, margin management, and the periodic payment process.</w:t>
            </w:r>
          </w:p>
        </w:tc>
      </w:tr>
    </w:tbl>
    <w:p/>
    <w:p>
      <w:r>
        <w:rPr>
          <w:rFonts w:ascii="Calibri" w:hAnsi="Calibri"/>
          <w:b/>
          <w:i w:val="0"/>
          <w:color w:val="007A87"/>
          <w:sz w:val="20"/>
        </w:rPr>
        <w:t xml:space="preserve">▶ Transition: </w:t>
      </w:r>
      <w:r>
        <w:rPr>
          <w:rFonts w:ascii="Calibri" w:hAnsi="Calibri"/>
          <w:b w:val="0"/>
          <w:i/>
          <w:color w:val="404040"/>
          <w:sz w:val="20"/>
        </w:rPr>
        <w:t>Next — D2.7 Video 2: OTC Clearing and Trade Reporting</w:t>
      </w:r>
    </w:p>
    <w:p>
      <w:r>
        <w:br w:type="page"/>
      </w:r>
    </w:p>
    <w:p>
      <w:pPr>
        <w:spacing w:before="120"/>
        <w:shd w:val="clear" w:color="auto" w:fill="101C4F"/>
      </w:pPr>
      <w:r>
        <w:rPr>
          <w:rFonts w:ascii="Calibri" w:hAnsi="Calibri"/>
          <w:b/>
          <w:i w:val="0"/>
          <w:color w:val="FFFFFF"/>
          <w:sz w:val="24"/>
        </w:rPr>
        <w:t xml:space="preserve">  D2.7: OTC Trade Lifecycle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D2.7</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OTC Trade Lifecycle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end-to-end OTC trade lifecycle — from execution through confirmation, CCIL clearing, trade repository reporting, and settlement.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Process the ongoing OTC lifecycle — margin calls, payments, and trade reporting</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ongoing management of a cleared OTC derivative including daily margin calls, periodic payment processing, and TR reporting obligations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D2.7 Video 1: OTC Trade Execution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D2.7 Video 3: OTC Trade Termination and Close-Out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Timeline: from trade date through daily margin management to final maturity.</w:t>
            </w:r>
          </w:p>
        </w:tc>
        <w:tc>
          <w:tcPr>
            <w:tcW w:type="dxa" w:w="2493"/>
          </w:tcPr>
          <w:p>
            <w:pPr>
              <w:jc w:val="center"/>
            </w:pPr>
            <w:r>
              <w:rPr>
                <w:rFonts w:ascii="Calibri" w:hAnsi="Calibri"/>
                <w:b/>
                <w:i w:val="0"/>
                <w:color w:val="007A87"/>
                <w:sz w:val="18"/>
              </w:rPr>
              <w:t>ONGOING INTRO</w:t>
            </w:r>
          </w:p>
        </w:tc>
        <w:tc>
          <w:tcPr>
            <w:tcW w:type="dxa" w:w="2493"/>
          </w:tcPr>
          <w:p>
            <w:r>
              <w:rPr>
                <w:sz w:val="20"/>
              </w:rPr>
              <w:t>ARIA: After novation, the OTC trade enters its ongoing lifecycle — which for a 3-year IRS means 3 years of daily operations. Three key ongoing processes: daily margin management with CCIL, quarterly payment processing, and trade repository reporting.</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Margin call screen: CCIL sends daily variation margin call. Bank's treasury processes payment.</w:t>
            </w:r>
          </w:p>
        </w:tc>
        <w:tc>
          <w:tcPr>
            <w:tcW w:type="dxa" w:w="2493"/>
          </w:tcPr>
          <w:p>
            <w:pPr>
              <w:jc w:val="center"/>
            </w:pPr>
            <w:r>
              <w:rPr>
                <w:rFonts w:ascii="Calibri" w:hAnsi="Calibri"/>
                <w:b/>
                <w:i w:val="0"/>
                <w:color w:val="007A87"/>
                <w:sz w:val="18"/>
              </w:rPr>
              <w:t>DAILY MARGIN</w:t>
            </w:r>
          </w:p>
        </w:tc>
        <w:tc>
          <w:tcPr>
            <w:tcW w:type="dxa" w:w="2493"/>
          </w:tcPr>
          <w:p>
            <w:r>
              <w:rPr>
                <w:sz w:val="20"/>
              </w:rPr>
              <w:t>KAVI: Every business day, CCIL revalues all cleared IRS positions and issues variation margin calls. If the swap has moved against a clearing member (e.g., rates fell and HDFC Bank is pay-fixed — now paying more than market), CCIL calls for variation margin to be paid by end of day. If rates moved favourably, CCIL returns variation margin. This daily settlement of gains and losses is a fundamental feature of cleared derivatives.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Quarterly payment calculation screen: MIBOR fixing × notional × days/365 vs fixed rate × notional × days/365. Net payment shown.</w:t>
            </w:r>
          </w:p>
        </w:tc>
        <w:tc>
          <w:tcPr>
            <w:tcW w:type="dxa" w:w="2493"/>
          </w:tcPr>
          <w:p>
            <w:pPr>
              <w:jc w:val="center"/>
            </w:pPr>
            <w:r>
              <w:rPr>
                <w:rFonts w:ascii="Calibri" w:hAnsi="Calibri"/>
                <w:b/>
                <w:i w:val="0"/>
                <w:color w:val="007A87"/>
                <w:sz w:val="18"/>
              </w:rPr>
              <w:t>PAYMENT CALC</w:t>
            </w:r>
          </w:p>
        </w:tc>
        <w:tc>
          <w:tcPr>
            <w:tcW w:type="dxa" w:w="2493"/>
          </w:tcPr>
          <w:p>
            <w:r>
              <w:rPr>
                <w:sz w:val="20"/>
              </w:rPr>
              <w:t>RYO: Every quarter, payment calculation day arrives. Operations calculates: Fixed leg = 7.40% × ₹500 crore × (91/365) = ₹9.25 crore. Floating leg = MIBOR fixing × ₹500 crore × (91/365). Net = Fixed − Floating. If MIBOR = 7.20%: Net = ₹9.25 crore − ₹9.00 crore = ₹0.25 crore. HDFC Bank pays ₹0.25 crore to CCIL; CCIL passes through to Citi. Payment via RTGS.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CCIL Trade Repository screen: trade data submitted within 30-minute window.</w:t>
            </w:r>
          </w:p>
        </w:tc>
        <w:tc>
          <w:tcPr>
            <w:tcW w:type="dxa" w:w="2493"/>
          </w:tcPr>
          <w:p>
            <w:pPr>
              <w:jc w:val="center"/>
            </w:pPr>
            <w:r>
              <w:rPr>
                <w:rFonts w:ascii="Calibri" w:hAnsi="Calibri"/>
                <w:b/>
                <w:i w:val="0"/>
                <w:color w:val="007A87"/>
                <w:sz w:val="18"/>
              </w:rPr>
              <w:t>TR REPORTING</w:t>
            </w:r>
          </w:p>
        </w:tc>
        <w:tc>
          <w:tcPr>
            <w:tcW w:type="dxa" w:w="2493"/>
          </w:tcPr>
          <w:p>
            <w:r>
              <w:rPr>
                <w:sz w:val="20"/>
              </w:rPr>
              <w:t>ARIA: RBI's trade repository reporting mandate: all OTC derivative transactions (IRS, FX forwards, CDS) must be reported to CCIL's TR within 30 minutes of execution. The report includes: trade identifier, counterparty details, product type, notional, rate, dates, cleared/uncleared status. Operations teams must have automated TR reporting systems. Manual TR reporting is too slow and error-prone given the 30-minute window.</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MTM report: daily P&amp;L from swap portfolio. Risk report: DV01 sensitivity.</w:t>
            </w:r>
          </w:p>
        </w:tc>
        <w:tc>
          <w:tcPr>
            <w:tcW w:type="dxa" w:w="2493"/>
          </w:tcPr>
          <w:p>
            <w:pPr>
              <w:jc w:val="center"/>
            </w:pPr>
            <w:r>
              <w:rPr>
                <w:rFonts w:ascii="Calibri" w:hAnsi="Calibri"/>
                <w:b/>
                <w:i w:val="0"/>
                <w:color w:val="007A87"/>
                <w:sz w:val="18"/>
              </w:rPr>
              <w:t>MTM REPORTING</w:t>
            </w:r>
          </w:p>
        </w:tc>
        <w:tc>
          <w:tcPr>
            <w:tcW w:type="dxa" w:w="2493"/>
          </w:tcPr>
          <w:p>
            <w:r>
              <w:rPr>
                <w:sz w:val="20"/>
              </w:rPr>
              <w:t>KAVI: Daily MTM reporting: the Finance/Product Control team revalues all OTC positions daily. For HDFC Bank's IRS portfolio: if rates have moved since trade date, each swap has a positive or negative MTM. This MTM is reported to: trading desks (for P&amp;L tracking), risk management (for limit monitoring), finance (for accounting entries), senior management. Under Ind AS, derivatives must be marked to fair value — with MTM going through P&amp;L or OCI depending on whether hedge accounting is applied.</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Ongoing OTC lifecycle summary.</w:t>
            </w:r>
          </w:p>
        </w:tc>
        <w:tc>
          <w:tcPr>
            <w:tcW w:type="dxa" w:w="2493"/>
          </w:tcPr>
          <w:p>
            <w:pPr>
              <w:jc w:val="center"/>
            </w:pPr>
            <w:r>
              <w:rPr>
                <w:rFonts w:ascii="Calibri" w:hAnsi="Calibri"/>
                <w:b/>
                <w:i w:val="0"/>
                <w:color w:val="007A87"/>
                <w:sz w:val="18"/>
              </w:rPr>
              <w:t>RECAP D2 7 V2</w:t>
            </w:r>
          </w:p>
        </w:tc>
        <w:tc>
          <w:tcPr>
            <w:tcW w:type="dxa" w:w="2493"/>
          </w:tcPr>
          <w:p>
            <w:r>
              <w:rPr>
                <w:sz w:val="20"/>
              </w:rPr>
              <w:t>RYO: Ongoing OTC lifecycle: daily variation margin calls, quarterly payment calculations, daily TR reporting, daily MTM revaluation. ARIA: Each of these processes has tight operational deadlines. Missed deadlines = regulatory violations, financial penalties, counterparty disputes. In Video 3, we'll cover how OTC trades end — early termination, close-out, and final settlement.</w:t>
            </w:r>
          </w:p>
        </w:tc>
      </w:tr>
    </w:tbl>
    <w:p/>
    <w:p>
      <w:r>
        <w:rPr>
          <w:rFonts w:ascii="Calibri" w:hAnsi="Calibri"/>
          <w:b/>
          <w:i w:val="0"/>
          <w:color w:val="007A87"/>
          <w:sz w:val="20"/>
        </w:rPr>
        <w:t xml:space="preserve">▶ Transition: </w:t>
      </w:r>
      <w:r>
        <w:rPr>
          <w:rFonts w:ascii="Calibri" w:hAnsi="Calibri"/>
          <w:b w:val="0"/>
          <w:i/>
          <w:color w:val="404040"/>
          <w:sz w:val="20"/>
        </w:rPr>
        <w:t>Next — D2.7 Video 3: OTC Trade Termination and Close-Out</w:t>
      </w:r>
    </w:p>
    <w:p>
      <w:r>
        <w:br w:type="page"/>
      </w:r>
    </w:p>
    <w:p>
      <w:pPr>
        <w:spacing w:before="120"/>
        <w:shd w:val="clear" w:color="auto" w:fill="101C4F"/>
      </w:pPr>
      <w:r>
        <w:rPr>
          <w:rFonts w:ascii="Calibri" w:hAnsi="Calibri"/>
          <w:b/>
          <w:i w:val="0"/>
          <w:color w:val="FFFFFF"/>
          <w:sz w:val="24"/>
        </w:rPr>
        <w:t xml:space="preserve">  D2.7: OTC Trade Lifecycle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D2.7</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OTC Trade Lifecycle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end-to-end OTC trade lifecycle — from execution through confirmation, CCIL clearing, trade repository reporting, and settlement.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OTC trade termination to credit risk management and regulatory obligations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OTC trade termination process, including early termination, close-out netting, and the operational steps for final settlement</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D2.7 Video 2: OTC Ongoing Lifecycle</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D2.8 Video 1: Introduction to Custodian Banks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Calendar showing swap maturity date. Operations preparing final settlement.</w:t>
            </w:r>
          </w:p>
        </w:tc>
        <w:tc>
          <w:tcPr>
            <w:tcW w:type="dxa" w:w="2493"/>
          </w:tcPr>
          <w:p>
            <w:pPr>
              <w:jc w:val="center"/>
            </w:pPr>
            <w:r>
              <w:rPr>
                <w:rFonts w:ascii="Calibri" w:hAnsi="Calibri"/>
                <w:b/>
                <w:i w:val="0"/>
                <w:color w:val="007A87"/>
                <w:sz w:val="18"/>
              </w:rPr>
              <w:t>TERMINATION INTRO</w:t>
            </w:r>
          </w:p>
        </w:tc>
        <w:tc>
          <w:tcPr>
            <w:tcW w:type="dxa" w:w="2493"/>
          </w:tcPr>
          <w:p>
            <w:r>
              <w:rPr>
                <w:sz w:val="20"/>
              </w:rPr>
              <w:t>RYO: All OTC trades must eventually terminate — either at scheduled maturity or through early termination. Let's look at both scenarios.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Maturity process: final payment calculated. CCIL releases initial margin. Trade archived.</w:t>
            </w:r>
          </w:p>
        </w:tc>
        <w:tc>
          <w:tcPr>
            <w:tcW w:type="dxa" w:w="2493"/>
          </w:tcPr>
          <w:p>
            <w:pPr>
              <w:jc w:val="center"/>
            </w:pPr>
            <w:r>
              <w:rPr>
                <w:rFonts w:ascii="Calibri" w:hAnsi="Calibri"/>
                <w:b/>
                <w:i w:val="0"/>
                <w:color w:val="007A87"/>
                <w:sz w:val="18"/>
              </w:rPr>
              <w:t>MATURITY</w:t>
            </w:r>
          </w:p>
        </w:tc>
        <w:tc>
          <w:tcPr>
            <w:tcW w:type="dxa" w:w="2493"/>
          </w:tcPr>
          <w:p>
            <w:r>
              <w:rPr>
                <w:sz w:val="20"/>
              </w:rPr>
              <w:t>KAVI: At scheduled maturity: the final periodic payment is calculated and paid. CCIL releases the initial margin held for this trade back to both parties. The trade is marked as 'matured' and archived in the trade management system. For audit purposes, all records (confirmations, margin calls, payment records) must be retained for at least 7 years under RBI's record-keeping requirements.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Early termination screen: counterparty requests close-out. MTM calculated. Break cost / gain determined.</w:t>
            </w:r>
          </w:p>
        </w:tc>
        <w:tc>
          <w:tcPr>
            <w:tcW w:type="dxa" w:w="2493"/>
          </w:tcPr>
          <w:p>
            <w:pPr>
              <w:jc w:val="center"/>
            </w:pPr>
            <w:r>
              <w:rPr>
                <w:rFonts w:ascii="Calibri" w:hAnsi="Calibri"/>
                <w:b/>
                <w:i w:val="0"/>
                <w:color w:val="007A87"/>
                <w:sz w:val="18"/>
              </w:rPr>
              <w:t>EARLY TERM</w:t>
            </w:r>
          </w:p>
        </w:tc>
        <w:tc>
          <w:tcPr>
            <w:tcW w:type="dxa" w:w="2493"/>
          </w:tcPr>
          <w:p>
            <w:r>
              <w:rPr>
                <w:sz w:val="20"/>
              </w:rPr>
              <w:t>ARIA: Early termination — also called close-out or unwind — occurs when one or both parties want to exit the trade before maturity. Under the ISDA Master Agreement, either party can agree to terminate early bilaterally. The MTM of the trade is calculated on the termination date. If the MTM is positive for HDFC Bank, Citi pays HDFC the MTM amount. If negative, HDFC pays Citi. This single payment closes the trade.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Default scenario: counterparty declared insolvent. ISDA close-out netting activated across all trades.</w:t>
            </w:r>
          </w:p>
        </w:tc>
        <w:tc>
          <w:tcPr>
            <w:tcW w:type="dxa" w:w="2493"/>
          </w:tcPr>
          <w:p>
            <w:pPr>
              <w:jc w:val="center"/>
            </w:pPr>
            <w:r>
              <w:rPr>
                <w:rFonts w:ascii="Calibri" w:hAnsi="Calibri"/>
                <w:b/>
                <w:i w:val="0"/>
                <w:color w:val="007A87"/>
                <w:sz w:val="18"/>
              </w:rPr>
              <w:t>DEFAULT CLOSEOUT</w:t>
            </w:r>
          </w:p>
        </w:tc>
        <w:tc>
          <w:tcPr>
            <w:tcW w:type="dxa" w:w="2493"/>
          </w:tcPr>
          <w:p>
            <w:r>
              <w:rPr>
                <w:sz w:val="20"/>
              </w:rPr>
              <w:t>RYO: Event of Default — if a counterparty becomes insolvent or breaches the ISDA agreement, the non-defaulting party can invoke automatic early termination under the ISDA Master Agreement. All trades between the two parties are immediately terminated. All individual MTM values are netted to produce a single net payable or receivable — the close-out amount. This is ISDA netting in action — reducing credit exposure from the sum of all positive MTM trades to a single net figure.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India-specific: IBC considerations. CCIL's role in protecting cleared trades from default contagion.</w:t>
            </w:r>
          </w:p>
        </w:tc>
        <w:tc>
          <w:tcPr>
            <w:tcW w:type="dxa" w:w="2493"/>
          </w:tcPr>
          <w:p>
            <w:pPr>
              <w:jc w:val="center"/>
            </w:pPr>
            <w:r>
              <w:rPr>
                <w:rFonts w:ascii="Calibri" w:hAnsi="Calibri"/>
                <w:b/>
                <w:i w:val="0"/>
                <w:color w:val="007A87"/>
                <w:sz w:val="18"/>
              </w:rPr>
              <w:t>INDIA SPECIFIC</w:t>
            </w:r>
          </w:p>
        </w:tc>
        <w:tc>
          <w:tcPr>
            <w:tcW w:type="dxa" w:w="2493"/>
          </w:tcPr>
          <w:p>
            <w:r>
              <w:rPr>
                <w:sz w:val="20"/>
              </w:rPr>
              <w:t>KAVI: India-specific consideration: under the Insolvency and Bankruptcy Code (IBC), CCIL-cleared trades are protected from the stay provisions that apply to other contracts. This means that even if a clearing member enters insolvency proceedings, CCIL can immediately close out and net the defaulting member's positions without waiting for court approval — a critical protection for market stability. For bilateral (uncleared) OTC trades, the enforceability of ISDA close-out netting against an Indian company in IBC proceedings has improved through recent legislative amendments.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Full OTC TLC summary diagram: from execution to termination.</w:t>
            </w:r>
          </w:p>
        </w:tc>
        <w:tc>
          <w:tcPr>
            <w:tcW w:type="dxa" w:w="2493"/>
          </w:tcPr>
          <w:p>
            <w:pPr>
              <w:jc w:val="center"/>
            </w:pPr>
            <w:r>
              <w:rPr>
                <w:rFonts w:ascii="Calibri" w:hAnsi="Calibri"/>
                <w:b/>
                <w:i w:val="0"/>
                <w:color w:val="007A87"/>
                <w:sz w:val="18"/>
              </w:rPr>
              <w:t>RECAP D2 7 V3</w:t>
            </w:r>
          </w:p>
        </w:tc>
        <w:tc>
          <w:tcPr>
            <w:tcW w:type="dxa" w:w="2493"/>
          </w:tcPr>
          <w:p>
            <w:r>
              <w:rPr>
                <w:sz w:val="20"/>
              </w:rPr>
              <w:t>ARIA: OTC TLC complete: Execution → Capture → CCIL Submission → Novation → Daily Margin → Periodic Payments → TR Reporting → Maturity or Early Termination. RYO: Each stage has operational, legal, and regulatory dimensions. Up next: Custodian Banks — the third-party institutions that safekeep client assets and enable settlement across all these trade types.</w:t>
            </w:r>
          </w:p>
        </w:tc>
      </w:tr>
    </w:tbl>
    <w:p/>
    <w:p>
      <w:r>
        <w:rPr>
          <w:rFonts w:ascii="Calibri" w:hAnsi="Calibri"/>
          <w:b/>
          <w:i w:val="0"/>
          <w:color w:val="007A87"/>
          <w:sz w:val="20"/>
        </w:rPr>
        <w:t xml:space="preserve">▶ Transition: </w:t>
      </w:r>
      <w:r>
        <w:rPr>
          <w:rFonts w:ascii="Calibri" w:hAnsi="Calibri"/>
          <w:b w:val="0"/>
          <w:i/>
          <w:color w:val="404040"/>
          <w:sz w:val="20"/>
        </w:rPr>
        <w:t>Next — D2.8 Video 1: Introduction to Custodian Banks</w:t>
      </w:r>
    </w:p>
    <w:p>
      <w:r>
        <w:br w:type="page"/>
      </w:r>
    </w:p>
    <w:p>
      <w:pPr>
        <w:spacing w:before="120"/>
        <w:shd w:val="clear" w:color="auto" w:fill="101C4F"/>
      </w:pPr>
      <w:r>
        <w:rPr>
          <w:rFonts w:ascii="Calibri" w:hAnsi="Calibri"/>
          <w:b/>
          <w:i w:val="0"/>
          <w:color w:val="FFFFFF"/>
          <w:sz w:val="24"/>
        </w:rPr>
        <w:t xml:space="preserve">  D2.8: Custodian Banks and Custody Services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D2.8</w:t>
            </w:r>
          </w:p>
        </w:tc>
      </w:tr>
      <w:tr>
        <w:tc>
          <w:tcPr>
            <w:tcW w:type="dxa" w:w="4986"/>
            <w:shd w:val="clear" w:color="auto" w:fill="007A87"/>
          </w:tcPr>
          <w:p>
            <w:r>
              <w:rPr>
                <w:rFonts w:ascii="Calibri" w:hAnsi="Calibri"/>
                <w:b/>
                <w:i w:val="0"/>
                <w:color w:val="FFFFFF"/>
                <w:sz w:val="20"/>
              </w:rPr>
              <w:t>UOR Title</w:t>
            </w:r>
          </w:p>
        </w:tc>
        <w:tc>
          <w:tcPr>
            <w:tcW w:type="dxa" w:w="4986"/>
          </w:tcPr>
          <w:p>
            <w:r>
              <w:rPr>
                <w:sz w:val="20"/>
              </w:rPr>
              <w:t>Custodian Banks and Custody Services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role of global and sub-custodians, the range of custody services they provide, and the structure of nostro and depot accounts.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a custodian and describe the core custody services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a custodian bank is, what services it provides, and why custodians are essential in the investment ecosystem</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D2.7: OTC Trade Lifecycle</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D2.8 Video 2: Global vs Sub-Custodian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Graphic: a bank vault morphing into a digital custodian platform. Client assets (shares, bonds, cash) safely stored.</w:t>
            </w:r>
          </w:p>
        </w:tc>
        <w:tc>
          <w:tcPr>
            <w:tcW w:type="dxa" w:w="2493"/>
          </w:tcPr>
          <w:p>
            <w:pPr>
              <w:jc w:val="center"/>
            </w:pPr>
            <w:r>
              <w:rPr>
                <w:rFonts w:ascii="Calibri" w:hAnsi="Calibri"/>
                <w:b/>
                <w:i w:val="0"/>
                <w:color w:val="007A87"/>
                <w:sz w:val="18"/>
              </w:rPr>
              <w:t>CUSTODIAN INTRO</w:t>
            </w:r>
          </w:p>
        </w:tc>
        <w:tc>
          <w:tcPr>
            <w:tcW w:type="dxa" w:w="2493"/>
          </w:tcPr>
          <w:p>
            <w:r>
              <w:rPr>
                <w:sz w:val="20"/>
              </w:rPr>
              <w:t>KAVI: Who holds your shares after you buy them? You might think the shares sit in your brokerage account — but in reality, they sit in the care of a custodian bank. RYO: A custodian is a financial institution that safekeeps and administers securities and other financial assets on behalf of clients — asset managers, pension funds, sovereign wealth funds, insurance companies, and FPIs.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Services diagram: safekeeping, settlement, corporate actions, FX, reporting, lending, proxy voting.</w:t>
            </w:r>
          </w:p>
        </w:tc>
        <w:tc>
          <w:tcPr>
            <w:tcW w:type="dxa" w:w="2493"/>
          </w:tcPr>
          <w:p>
            <w:pPr>
              <w:jc w:val="center"/>
            </w:pPr>
            <w:r>
              <w:rPr>
                <w:rFonts w:ascii="Calibri" w:hAnsi="Calibri"/>
                <w:b/>
                <w:i w:val="0"/>
                <w:color w:val="007A87"/>
                <w:sz w:val="18"/>
              </w:rPr>
              <w:t>CORE CUSTODY</w:t>
            </w:r>
          </w:p>
        </w:tc>
        <w:tc>
          <w:tcPr>
            <w:tcW w:type="dxa" w:w="2493"/>
          </w:tcPr>
          <w:p>
            <w:r>
              <w:rPr>
                <w:sz w:val="20"/>
              </w:rPr>
              <w:t>ARIA: Core custody services: Asset Safekeeping — holding client securities in segregated accounts at the central depository (NSDL/CDSL for Indian equities, RBI's SGL for government securities). Settlement Services — processing buy/sell settlement instructions, interfacing with depositories and clearing corporations. Corporate Actions Processing — collecting dividends, applying rights issues, processing bonus shares. Cash Management — managing client cash accounts in multiple currencies (nostro accounts).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Enhanced services: FX execution, securities lending, fund administration, reporting.</w:t>
            </w:r>
          </w:p>
        </w:tc>
        <w:tc>
          <w:tcPr>
            <w:tcW w:type="dxa" w:w="2493"/>
          </w:tcPr>
          <w:p>
            <w:pPr>
              <w:jc w:val="center"/>
            </w:pPr>
            <w:r>
              <w:rPr>
                <w:rFonts w:ascii="Calibri" w:hAnsi="Calibri"/>
                <w:b/>
                <w:i w:val="0"/>
                <w:color w:val="007A87"/>
                <w:sz w:val="18"/>
              </w:rPr>
              <w:t>ADDITIONAL SERVICES</w:t>
            </w:r>
          </w:p>
        </w:tc>
        <w:tc>
          <w:tcPr>
            <w:tcW w:type="dxa" w:w="2493"/>
          </w:tcPr>
          <w:p>
            <w:r>
              <w:rPr>
                <w:sz w:val="20"/>
              </w:rPr>
              <w:t>RYO: Additional custody services: FX (Foreign Exchange) services — converting dividends and proceeds from foreign securities into the client's base currency. Securities Lending — lending client securities to third parties (earning a fee) when the client doesn't need them. Fund Administration — calculating NAV (Net Asset Value) for mutual funds, maintaining fund accounting records. Regulatory Reporting — submitting reports to SEBI, RBI, and other regulators on behalf of clients. Proxy Voting — voting at company AGMs on behalf of clients who hold shares.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Indian custodian landscape: HDFC Bank Custody, Kotak Custody, SBI SG Global Securities, Deutsche Bank India, HSBC India Custody.</w:t>
            </w:r>
          </w:p>
        </w:tc>
        <w:tc>
          <w:tcPr>
            <w:tcW w:type="dxa" w:w="2493"/>
          </w:tcPr>
          <w:p>
            <w:pPr>
              <w:jc w:val="center"/>
            </w:pPr>
            <w:r>
              <w:rPr>
                <w:rFonts w:ascii="Calibri" w:hAnsi="Calibri"/>
                <w:b/>
                <w:i w:val="0"/>
                <w:color w:val="007A87"/>
                <w:sz w:val="18"/>
              </w:rPr>
              <w:t>CUSTODIAN INDIA</w:t>
            </w:r>
          </w:p>
        </w:tc>
        <w:tc>
          <w:tcPr>
            <w:tcW w:type="dxa" w:w="2493"/>
          </w:tcPr>
          <w:p>
            <w:r>
              <w:rPr>
                <w:sz w:val="20"/>
              </w:rPr>
              <w:t>KAVI: In India, SEBI-registered custodians include both Indian banks and foreign bank subsidiaries. Key custodians: HDFC Bank Custody Services, Kotak Mahindra Bank, SBI-SG Global Securities (joint venture), Deutsche Bank India, HSBC Securities Services, Standard Chartered. FPIs investing in India are required to appoint a SEBI-registered custodian for all their assets. This is a SEBI mandatory requirement — FPIs cannot hold Indian securities directly without a custodian.</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Comparison: custodian (holds and safekeeps) vs broker (executes trades). They are separate entities — segregation of assets.</w:t>
            </w:r>
          </w:p>
        </w:tc>
        <w:tc>
          <w:tcPr>
            <w:tcW w:type="dxa" w:w="2493"/>
          </w:tcPr>
          <w:p>
            <w:pPr>
              <w:jc w:val="center"/>
            </w:pPr>
            <w:r>
              <w:rPr>
                <w:rFonts w:ascii="Calibri" w:hAnsi="Calibri"/>
                <w:b/>
                <w:i w:val="0"/>
                <w:color w:val="007A87"/>
                <w:sz w:val="18"/>
              </w:rPr>
              <w:t>CUSTODY VS TRADING</w:t>
            </w:r>
          </w:p>
        </w:tc>
        <w:tc>
          <w:tcPr>
            <w:tcW w:type="dxa" w:w="2493"/>
          </w:tcPr>
          <w:p>
            <w:r>
              <w:rPr>
                <w:sz w:val="20"/>
              </w:rPr>
              <w:t>ARIA: An important distinction: custodian vs broker. The broker executes the trade. The custodian holds the assets. These must be separate entities — a core investor protection principle. Why? If the broker also held client assets, a broker insolvency could result in client assets being frozen or lost. By holding assets with an independent custodian, clients' assets are protected even if their broker fails. RBI and SEBI mandate this segregation for all institutional investors in India.</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Custody services summary.</w:t>
            </w:r>
          </w:p>
        </w:tc>
        <w:tc>
          <w:tcPr>
            <w:tcW w:type="dxa" w:w="2493"/>
          </w:tcPr>
          <w:p>
            <w:pPr>
              <w:jc w:val="center"/>
            </w:pPr>
            <w:r>
              <w:rPr>
                <w:rFonts w:ascii="Calibri" w:hAnsi="Calibri"/>
                <w:b/>
                <w:i w:val="0"/>
                <w:color w:val="007A87"/>
                <w:sz w:val="18"/>
              </w:rPr>
              <w:t>RECAP D2 8 V1</w:t>
            </w:r>
          </w:p>
        </w:tc>
        <w:tc>
          <w:tcPr>
            <w:tcW w:type="dxa" w:w="2493"/>
          </w:tcPr>
          <w:p>
            <w:r>
              <w:rPr>
                <w:sz w:val="20"/>
              </w:rPr>
              <w:t>KAVI: Custodian = safekeeping + settlement + corporate actions + reporting. Separate from broker — essential investor protection. ARIA: In India, SEBI-registered custodians are mandatory for FPIs. In Video 2, we'll look at the global custodian network — how a single custodian can hold assets across 100+ markets worldwide.</w:t>
            </w:r>
          </w:p>
        </w:tc>
      </w:tr>
    </w:tbl>
    <w:p/>
    <w:p>
      <w:r>
        <w:rPr>
          <w:rFonts w:ascii="Calibri" w:hAnsi="Calibri"/>
          <w:b/>
          <w:i w:val="0"/>
          <w:color w:val="007A87"/>
          <w:sz w:val="20"/>
        </w:rPr>
        <w:t xml:space="preserve">▶ Transition: </w:t>
      </w:r>
      <w:r>
        <w:rPr>
          <w:rFonts w:ascii="Calibri" w:hAnsi="Calibri"/>
          <w:b w:val="0"/>
          <w:i/>
          <w:color w:val="404040"/>
          <w:sz w:val="20"/>
        </w:rPr>
        <w:t>Next — D2.8 Video 2: Global vs Sub-Custodian</w:t>
      </w:r>
    </w:p>
    <w:p>
      <w:r>
        <w:br w:type="page"/>
      </w:r>
    </w:p>
    <w:p>
      <w:pPr>
        <w:spacing w:before="120"/>
        <w:shd w:val="clear" w:color="auto" w:fill="101C4F"/>
      </w:pPr>
      <w:r>
        <w:rPr>
          <w:rFonts w:ascii="Calibri" w:hAnsi="Calibri"/>
          <w:b/>
          <w:i w:val="0"/>
          <w:color w:val="FFFFFF"/>
          <w:sz w:val="24"/>
        </w:rPr>
        <w:t xml:space="preserve">  D2.8: Custodian Banks and Custody Services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D2.8</w:t>
            </w:r>
          </w:p>
        </w:tc>
      </w:tr>
      <w:tr>
        <w:tc>
          <w:tcPr>
            <w:tcW w:type="dxa" w:w="4986"/>
            <w:shd w:val="clear" w:color="auto" w:fill="007A87"/>
          </w:tcPr>
          <w:p>
            <w:r>
              <w:rPr>
                <w:rFonts w:ascii="Calibri" w:hAnsi="Calibri"/>
                <w:b/>
                <w:i w:val="0"/>
                <w:color w:val="FFFFFF"/>
                <w:sz w:val="20"/>
              </w:rPr>
              <w:t>UOR Title</w:t>
            </w:r>
          </w:p>
        </w:tc>
        <w:tc>
          <w:tcPr>
            <w:tcW w:type="dxa" w:w="4986"/>
          </w:tcPr>
          <w:p>
            <w:r>
              <w:rPr>
                <w:sz w:val="20"/>
              </w:rPr>
              <w:t>Custodian Banks and Custody Services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role of global and sub-custodians, the range of custody services they provide, and the structure of nostro and depot accounts.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Distinguish between global and sub-custodians and map asset flows through the custody chain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the global custodian / sub-custodian model and trace how securities are held and settled across multiple markets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D2.8 Video 1: Introduction to Custodians</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D2.8 Video 3: Nostro and Depot Accounts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World map: Global Custodian at centre (e.g., BNY Mellon, State Street) with connections to local sub-custodians in each country.</w:t>
            </w:r>
          </w:p>
        </w:tc>
        <w:tc>
          <w:tcPr>
            <w:tcW w:type="dxa" w:w="2493"/>
          </w:tcPr>
          <w:p>
            <w:pPr>
              <w:jc w:val="center"/>
            </w:pPr>
            <w:r>
              <w:rPr>
                <w:rFonts w:ascii="Calibri" w:hAnsi="Calibri"/>
                <w:b/>
                <w:i w:val="0"/>
                <w:color w:val="007A87"/>
                <w:sz w:val="18"/>
              </w:rPr>
              <w:t>GLOBAL CUSTODIAN</w:t>
            </w:r>
          </w:p>
        </w:tc>
        <w:tc>
          <w:tcPr>
            <w:tcW w:type="dxa" w:w="2493"/>
          </w:tcPr>
          <w:p>
            <w:r>
              <w:rPr>
                <w:sz w:val="20"/>
              </w:rPr>
              <w:t>RYO: A global custodian provides custody services across multiple markets from a single platform. An asset manager in London who invests in Indian equities, US bonds, Japanese shares, and Brazilian bonds doesn't want 4 separate custodians — they use one global custodian. The global custodian: provides a single, unified reporting platform across all markets. holds client assets in each local market through a network of local sub-custodians.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Logos: BNY Mellon, State Street, JPMorgan, Citibank Securities Services, HSBC. Market share data.</w:t>
            </w:r>
          </w:p>
        </w:tc>
        <w:tc>
          <w:tcPr>
            <w:tcW w:type="dxa" w:w="2493"/>
          </w:tcPr>
          <w:p>
            <w:pPr>
              <w:jc w:val="center"/>
            </w:pPr>
            <w:r>
              <w:rPr>
                <w:rFonts w:ascii="Calibri" w:hAnsi="Calibri"/>
                <w:b/>
                <w:i w:val="0"/>
                <w:color w:val="007A87"/>
                <w:sz w:val="18"/>
              </w:rPr>
              <w:t>GLOBAL CUSTODIAN NAMES</w:t>
            </w:r>
          </w:p>
        </w:tc>
        <w:tc>
          <w:tcPr>
            <w:tcW w:type="dxa" w:w="2493"/>
          </w:tcPr>
          <w:p>
            <w:r>
              <w:rPr>
                <w:sz w:val="20"/>
              </w:rPr>
              <w:t>KAVI: The world's largest global custodians: BNY Mellon — over $40 trillion in assets under custody. State Street Corporation — over $35 trillion. JPMorgan — over $30 trillion. These three dominate the global custody market. For Indian assets: all three maintain Indian rupee accounts and Indian sub-custodian relationships to service their FPI clients investing in India.</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India diagram: Global Custodian (BNY Mellon London) → Sub-Custodian (HDFC Bank India) → NSDL/CDSL depository.</w:t>
            </w:r>
          </w:p>
        </w:tc>
        <w:tc>
          <w:tcPr>
            <w:tcW w:type="dxa" w:w="2493"/>
          </w:tcPr>
          <w:p>
            <w:pPr>
              <w:jc w:val="center"/>
            </w:pPr>
            <w:r>
              <w:rPr>
                <w:rFonts w:ascii="Calibri" w:hAnsi="Calibri"/>
                <w:b/>
                <w:i w:val="0"/>
                <w:color w:val="007A87"/>
                <w:sz w:val="18"/>
              </w:rPr>
              <w:t>SUB CUSTODIAN</w:t>
            </w:r>
          </w:p>
        </w:tc>
        <w:tc>
          <w:tcPr>
            <w:tcW w:type="dxa" w:w="2493"/>
          </w:tcPr>
          <w:p>
            <w:r>
              <w:rPr>
                <w:sz w:val="20"/>
              </w:rPr>
              <w:t>ARIA: A sub-custodian operates in a specific local market as the 'eyes and ears' of the global custodian. In India: HDFC Bank or Deutsche Bank India act as sub-custodians for global custodians. The sub-custodian: opens and maintains demat accounts at NSDL/CDSL for client securities. processes settlement instructions locally. handles RBI and SEBI regulatory compliance for the local assets. provides local market expertise and relationship management with NSE, BSE, NSCCL.</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Full chain animation: FPI client → Global Custodian → Indian Sub-Custodian → NSDL. Instructions flowing down; reports flowing up.</w:t>
            </w:r>
          </w:p>
        </w:tc>
        <w:tc>
          <w:tcPr>
            <w:tcW w:type="dxa" w:w="2493"/>
          </w:tcPr>
          <w:p>
            <w:pPr>
              <w:jc w:val="center"/>
            </w:pPr>
            <w:r>
              <w:rPr>
                <w:rFonts w:ascii="Calibri" w:hAnsi="Calibri"/>
                <w:b/>
                <w:i w:val="0"/>
                <w:color w:val="007A87"/>
                <w:sz w:val="18"/>
              </w:rPr>
              <w:t>CUSTODY CHAIN</w:t>
            </w:r>
          </w:p>
        </w:tc>
        <w:tc>
          <w:tcPr>
            <w:tcW w:type="dxa" w:w="2493"/>
          </w:tcPr>
          <w:p>
            <w:r>
              <w:rPr>
                <w:sz w:val="20"/>
              </w:rPr>
              <w:t>RYO: The custody instruction chain for an FPI buying Indian equities: FPI portfolio manager decides to buy 1 lakh Infosys shares. FPI sends settlement instruction to their global custodian (BNY Mellon). BNY Mellon forwards the instruction to their Indian sub-custodian (HDFC Bank India). HDFC Bank India sends the NSDL settlement instruction to NSE/NSCCL. NSCCL confirms settlement with NSDL — shares credited to HDFC Bank's omnibus demat account. HDFC Bank updates BNY Mellon's records; BNY Mellon updates the FPI's account.</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Omnibus account diagram: sub-custodian holds one demat account for all their global custodian clients' Indian assets.</w:t>
            </w:r>
          </w:p>
        </w:tc>
        <w:tc>
          <w:tcPr>
            <w:tcW w:type="dxa" w:w="2493"/>
          </w:tcPr>
          <w:p>
            <w:pPr>
              <w:jc w:val="center"/>
            </w:pPr>
            <w:r>
              <w:rPr>
                <w:rFonts w:ascii="Calibri" w:hAnsi="Calibri"/>
                <w:b/>
                <w:i w:val="0"/>
                <w:color w:val="007A87"/>
                <w:sz w:val="18"/>
              </w:rPr>
              <w:t>OMNIBUS ACCOUNTS</w:t>
            </w:r>
          </w:p>
        </w:tc>
        <w:tc>
          <w:tcPr>
            <w:tcW w:type="dxa" w:w="2493"/>
          </w:tcPr>
          <w:p>
            <w:r>
              <w:rPr>
                <w:sz w:val="20"/>
              </w:rPr>
              <w:t>KAVI: Sub-custodians typically use omnibus accounts at the depository — one large demat account holding shares for many clients, with client-level segregation maintained internally in the custodian's own systems. ARIA: This is operationally efficient but requires extremely accurate internal recordkeeping. If the sub-custodian's internal records are wrong, clients may receive incorrect statements — a source of reconciliation breaks that we'll explore in D2.9.</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Global and sub-custodian summary.</w:t>
            </w:r>
          </w:p>
        </w:tc>
        <w:tc>
          <w:tcPr>
            <w:tcW w:type="dxa" w:w="2493"/>
          </w:tcPr>
          <w:p>
            <w:pPr>
              <w:jc w:val="center"/>
            </w:pPr>
            <w:r>
              <w:rPr>
                <w:rFonts w:ascii="Calibri" w:hAnsi="Calibri"/>
                <w:b/>
                <w:i w:val="0"/>
                <w:color w:val="007A87"/>
                <w:sz w:val="18"/>
              </w:rPr>
              <w:t>RECAP D2 8 V2</w:t>
            </w:r>
          </w:p>
        </w:tc>
        <w:tc>
          <w:tcPr>
            <w:tcW w:type="dxa" w:w="2493"/>
          </w:tcPr>
          <w:p>
            <w:r>
              <w:rPr>
                <w:sz w:val="20"/>
              </w:rPr>
              <w:t>RYO: Global custodian = single platform, multiple markets. Sub-custodian = local expertise, local market access. KAVI: The custody chain: client → global custodian → sub-custodian → depository. Each link must be accurate and timely. In Video 3, we'll look at nostro and depot accounts — the specific accounts that hold client cash and securities.</w:t>
            </w:r>
          </w:p>
        </w:tc>
      </w:tr>
    </w:tbl>
    <w:p/>
    <w:p>
      <w:r>
        <w:rPr>
          <w:rFonts w:ascii="Calibri" w:hAnsi="Calibri"/>
          <w:b/>
          <w:i w:val="0"/>
          <w:color w:val="007A87"/>
          <w:sz w:val="20"/>
        </w:rPr>
        <w:t xml:space="preserve">▶ Transition: </w:t>
      </w:r>
      <w:r>
        <w:rPr>
          <w:rFonts w:ascii="Calibri" w:hAnsi="Calibri"/>
          <w:b w:val="0"/>
          <w:i/>
          <w:color w:val="404040"/>
          <w:sz w:val="20"/>
        </w:rPr>
        <w:t>Next — D2.8 Video 3: Nostro and Depot Accounts</w:t>
      </w:r>
    </w:p>
    <w:p>
      <w:r>
        <w:br w:type="page"/>
      </w:r>
    </w:p>
    <w:p>
      <w:pPr>
        <w:spacing w:before="120"/>
        <w:shd w:val="clear" w:color="auto" w:fill="101C4F"/>
      </w:pPr>
      <w:r>
        <w:rPr>
          <w:rFonts w:ascii="Calibri" w:hAnsi="Calibri"/>
          <w:b/>
          <w:i w:val="0"/>
          <w:color w:val="FFFFFF"/>
          <w:sz w:val="24"/>
        </w:rPr>
        <w:t xml:space="preserve">  D2.8: Custodian Banks and Custody Services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D2.8</w:t>
            </w:r>
          </w:p>
        </w:tc>
      </w:tr>
      <w:tr>
        <w:tc>
          <w:tcPr>
            <w:tcW w:type="dxa" w:w="4986"/>
            <w:shd w:val="clear" w:color="auto" w:fill="007A87"/>
          </w:tcPr>
          <w:p>
            <w:r>
              <w:rPr>
                <w:rFonts w:ascii="Calibri" w:hAnsi="Calibri"/>
                <w:b/>
                <w:i w:val="0"/>
                <w:color w:val="FFFFFF"/>
                <w:sz w:val="20"/>
              </w:rPr>
              <w:t>UOR Title</w:t>
            </w:r>
          </w:p>
        </w:tc>
        <w:tc>
          <w:tcPr>
            <w:tcW w:type="dxa" w:w="4986"/>
          </w:tcPr>
          <w:p>
            <w:r>
              <w:rPr>
                <w:sz w:val="20"/>
              </w:rPr>
              <w:t>Custodian Banks and Custody Services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role of global and sub-custodians, the range of custody services they provide, and the structure of nostro and depot accounts.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nostro/depot account management to settlement accuracy and reconciliation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nostro and depot accounts, describe how they are managed, and relate account accuracy to settlement and reconciliation processes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D2.8 Video 2: Global and Sub-Custodians</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D2.9 Video 1: Introduction to Reconciliation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Split screen: NOSTRO (cash account at foreign bank) vs DEPOT (securities account at depository).</w:t>
            </w:r>
          </w:p>
        </w:tc>
        <w:tc>
          <w:tcPr>
            <w:tcW w:type="dxa" w:w="2493"/>
          </w:tcPr>
          <w:p>
            <w:pPr>
              <w:jc w:val="center"/>
            </w:pPr>
            <w:r>
              <w:rPr>
                <w:rFonts w:ascii="Calibri" w:hAnsi="Calibri"/>
                <w:b/>
                <w:i w:val="0"/>
                <w:color w:val="007A87"/>
                <w:sz w:val="18"/>
              </w:rPr>
              <w:t>NOSTRO INTRO</w:t>
            </w:r>
          </w:p>
        </w:tc>
        <w:tc>
          <w:tcPr>
            <w:tcW w:type="dxa" w:w="2493"/>
          </w:tcPr>
          <w:p>
            <w:r>
              <w:rPr>
                <w:sz w:val="20"/>
              </w:rPr>
              <w:t>ARIA: To hold client assets, custodians maintain two types of accounts: Nostro accounts — for cash. Depot accounts — for securities. Understanding these accounts is fundamental to custody and reconciliation operations.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Nostro account graphic: an Indian bank's USD account held at JPMorgan New York. Balance, credits, debits shown.</w:t>
            </w:r>
          </w:p>
        </w:tc>
        <w:tc>
          <w:tcPr>
            <w:tcW w:type="dxa" w:w="2493"/>
          </w:tcPr>
          <w:p>
            <w:pPr>
              <w:jc w:val="center"/>
            </w:pPr>
            <w:r>
              <w:rPr>
                <w:rFonts w:ascii="Calibri" w:hAnsi="Calibri"/>
                <w:b/>
                <w:i w:val="0"/>
                <w:color w:val="007A87"/>
                <w:sz w:val="18"/>
              </w:rPr>
              <w:t>NOSTRO ACCOUNT</w:t>
            </w:r>
          </w:p>
        </w:tc>
        <w:tc>
          <w:tcPr>
            <w:tcW w:type="dxa" w:w="2493"/>
          </w:tcPr>
          <w:p>
            <w:r>
              <w:rPr>
                <w:sz w:val="20"/>
              </w:rPr>
              <w:t>KAVI: Nostro account literally means 'our account' in Italian — a bank account held by an Indian bank at a foreign correspondent bank, denominated in the foreign currency. Example: HDFC Bank holds a USD nostro account at JPMorgan New York. When an FPI client sells US securities, the USD proceeds are credited to HDFC Bank's JPMorgan nostro. When the FPI buys Indian securities, USD is debited and converted to INR. Every currency requires a separate nostro account in the country of that currency.</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Mirror ledger concept: internal nostro mirror account vs external nostro statement. Should match perfectly.</w:t>
            </w:r>
          </w:p>
        </w:tc>
        <w:tc>
          <w:tcPr>
            <w:tcW w:type="dxa" w:w="2493"/>
          </w:tcPr>
          <w:p>
            <w:pPr>
              <w:jc w:val="center"/>
            </w:pPr>
            <w:r>
              <w:rPr>
                <w:rFonts w:ascii="Calibri" w:hAnsi="Calibri"/>
                <w:b/>
                <w:i w:val="0"/>
                <w:color w:val="007A87"/>
                <w:sz w:val="18"/>
              </w:rPr>
              <w:t>NOSTRO MIRROR</w:t>
            </w:r>
          </w:p>
        </w:tc>
        <w:tc>
          <w:tcPr>
            <w:tcW w:type="dxa" w:w="2493"/>
          </w:tcPr>
          <w:p>
            <w:r>
              <w:rPr>
                <w:sz w:val="20"/>
              </w:rPr>
              <w:t>RYO: For every external nostro account, the custodian maintains an internal 'nostro mirror' ledger — their internal record of what they believe is in the account. The reconciliation challenge: does the internal mirror match the external bank statement from JPMorgan? Differences are 'breaks' — caused by timing (a payment sent but not yet received), errors, or missing transactions. Nostro reconciliation is performed daily and is one of the most critical operations functions.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Depot account: securities holdings at NSDL. ISIN, quantity, client allocation shown.</w:t>
            </w:r>
          </w:p>
        </w:tc>
        <w:tc>
          <w:tcPr>
            <w:tcW w:type="dxa" w:w="2493"/>
          </w:tcPr>
          <w:p>
            <w:pPr>
              <w:jc w:val="center"/>
            </w:pPr>
            <w:r>
              <w:rPr>
                <w:rFonts w:ascii="Calibri" w:hAnsi="Calibri"/>
                <w:b/>
                <w:i w:val="0"/>
                <w:color w:val="007A87"/>
                <w:sz w:val="18"/>
              </w:rPr>
              <w:t>DEPOT ACCOUNT</w:t>
            </w:r>
          </w:p>
        </w:tc>
        <w:tc>
          <w:tcPr>
            <w:tcW w:type="dxa" w:w="2493"/>
          </w:tcPr>
          <w:p>
            <w:r>
              <w:rPr>
                <w:sz w:val="20"/>
              </w:rPr>
              <w:t>ARIA: Depot account (also called a custody account or securities account) holds securities at the central depository — NSDL or CDSL for Indian assets. A sub-custodian like HDFC Bank maintains an omnibus depot account at NSDL. Inside HDFC Bank's systems, each client's holdings are tracked separately — a 'depot mirror ledger.' Reconciliation: does NSDL's statement of shares held in HDFC Bank's account match HDFC Bank's internal client-by-client records? Breaks indicate missing settlements or data entry errors.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Daily workflow: nostro reconciliation in the morning, depot reconciliation after market close.</w:t>
            </w:r>
          </w:p>
        </w:tc>
        <w:tc>
          <w:tcPr>
            <w:tcW w:type="dxa" w:w="2493"/>
          </w:tcPr>
          <w:p>
            <w:pPr>
              <w:jc w:val="center"/>
            </w:pPr>
            <w:r>
              <w:rPr>
                <w:rFonts w:ascii="Calibri" w:hAnsi="Calibri"/>
                <w:b/>
                <w:i w:val="0"/>
                <w:color w:val="007A87"/>
                <w:sz w:val="18"/>
              </w:rPr>
              <w:t>ACCOUNT MANAGEMENT</w:t>
            </w:r>
          </w:p>
        </w:tc>
        <w:tc>
          <w:tcPr>
            <w:tcW w:type="dxa" w:w="2493"/>
          </w:tcPr>
          <w:p>
            <w:r>
              <w:rPr>
                <w:sz w:val="20"/>
              </w:rPr>
              <w:t>KAVI: Daily account management workflow: Morning: nostro reconciliation — compare internal cash ledgers against correspondent bank statements received overnight. Identify and investigate all breaks. Afternoon: depot reconciliation — compare internal securities position records against NSDL/CDSL statements. Investigate all breaks. End of day: exception report for all unresolved breaks. Escalation for breaks above a threshold value or aged more than 2 days.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Nostro and depot account summary.</w:t>
            </w:r>
          </w:p>
        </w:tc>
        <w:tc>
          <w:tcPr>
            <w:tcW w:type="dxa" w:w="2493"/>
          </w:tcPr>
          <w:p>
            <w:pPr>
              <w:jc w:val="center"/>
            </w:pPr>
            <w:r>
              <w:rPr>
                <w:rFonts w:ascii="Calibri" w:hAnsi="Calibri"/>
                <w:b/>
                <w:i w:val="0"/>
                <w:color w:val="007A87"/>
                <w:sz w:val="18"/>
              </w:rPr>
              <w:t>RECAP D2 8 V3</w:t>
            </w:r>
          </w:p>
        </w:tc>
        <w:tc>
          <w:tcPr>
            <w:tcW w:type="dxa" w:w="2493"/>
          </w:tcPr>
          <w:p>
            <w:r>
              <w:rPr>
                <w:sz w:val="20"/>
              </w:rPr>
              <w:t>RYO: Nostro = cash account at foreign correspondent bank. Depot = securities account at NSDL/CDSL. Both have internal mirror ledgers that must match external statements. ARIA: Breaks between internal and external records must be resolved daily — they directly affect client positions and P&amp;L accuracy. Up next: D2.9 — Reconciliation — where we dig deep into the types of recon, how breaks are resolved, and how operations prevents reconciliation failures.</w:t>
            </w:r>
          </w:p>
        </w:tc>
      </w:tr>
    </w:tbl>
    <w:p/>
    <w:p>
      <w:r>
        <w:rPr>
          <w:rFonts w:ascii="Calibri" w:hAnsi="Calibri"/>
          <w:b/>
          <w:i w:val="0"/>
          <w:color w:val="007A87"/>
          <w:sz w:val="20"/>
        </w:rPr>
        <w:t xml:space="preserve">▶ Transition: </w:t>
      </w:r>
      <w:r>
        <w:rPr>
          <w:rFonts w:ascii="Calibri" w:hAnsi="Calibri"/>
          <w:b w:val="0"/>
          <w:i/>
          <w:color w:val="404040"/>
          <w:sz w:val="20"/>
        </w:rPr>
        <w:t>Next — D2.9 Video 1: Introduction to Reconciliation</w:t>
      </w:r>
    </w:p>
    <w:p>
      <w:r>
        <w:br w:type="page"/>
      </w:r>
    </w:p>
    <w:p>
      <w:pPr>
        <w:spacing w:before="120"/>
        <w:shd w:val="clear" w:color="auto" w:fill="101C4F"/>
      </w:pPr>
      <w:r>
        <w:rPr>
          <w:rFonts w:ascii="Calibri" w:hAnsi="Calibri"/>
          <w:b/>
          <w:i w:val="0"/>
          <w:color w:val="FFFFFF"/>
          <w:sz w:val="24"/>
        </w:rPr>
        <w:t xml:space="preserve">  D2.9: Reconciliation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D2.9</w:t>
            </w:r>
          </w:p>
        </w:tc>
      </w:tr>
      <w:tr>
        <w:tc>
          <w:tcPr>
            <w:tcW w:type="dxa" w:w="4986"/>
            <w:shd w:val="clear" w:color="auto" w:fill="007A87"/>
          </w:tcPr>
          <w:p>
            <w:r>
              <w:rPr>
                <w:rFonts w:ascii="Calibri" w:hAnsi="Calibri"/>
                <w:b/>
                <w:i w:val="0"/>
                <w:color w:val="FFFFFF"/>
                <w:sz w:val="20"/>
              </w:rPr>
              <w:t>UOR Title</w:t>
            </w:r>
          </w:p>
        </w:tc>
        <w:tc>
          <w:tcPr>
            <w:tcW w:type="dxa" w:w="4986"/>
          </w:tcPr>
          <w:p>
            <w:r>
              <w:rPr>
                <w:sz w:val="20"/>
              </w:rPr>
              <w:t>Reconciliation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reconciliation process — identifying types of reconciliation, processing nostro and depot recon, identifying breaks, and resolving them within prescribed timeframes.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reconciliation and explain its purpose in financial operations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define reconciliation, explain why it is necessary, and describe the main types of reconciliation performed in an STO</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D2.8: Custodian Banks</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D2.9 Video 2: Nostro and Depot Reconciliation Process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Two sets of books on a table. Operations analyst comparing them. Mismatched entries highlighted in red.</w:t>
            </w:r>
          </w:p>
        </w:tc>
        <w:tc>
          <w:tcPr>
            <w:tcW w:type="dxa" w:w="2493"/>
          </w:tcPr>
          <w:p>
            <w:pPr>
              <w:jc w:val="center"/>
            </w:pPr>
            <w:r>
              <w:rPr>
                <w:rFonts w:ascii="Calibri" w:hAnsi="Calibri"/>
                <w:b/>
                <w:i w:val="0"/>
                <w:color w:val="007A87"/>
                <w:sz w:val="18"/>
              </w:rPr>
              <w:t>RECON INTRO</w:t>
            </w:r>
          </w:p>
        </w:tc>
        <w:tc>
          <w:tcPr>
            <w:tcW w:type="dxa" w:w="2493"/>
          </w:tcPr>
          <w:p>
            <w:r>
              <w:rPr>
                <w:sz w:val="20"/>
              </w:rPr>
              <w:t>KAVI: Reconciliation is the control process by which two or more sets of data are compared — and any discrepancies are identified and investigated. RYO: In financial operations, reconciliation is not optional — it is a fundamental risk management tool. Without reconciliation, errors accumulate silently until they cause a major failure.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Scenario: a position discrepancy leads to incorrect P&amp;L, wrong regulatory report, failed settlement. Cascading impact.</w:t>
            </w:r>
          </w:p>
        </w:tc>
        <w:tc>
          <w:tcPr>
            <w:tcW w:type="dxa" w:w="2493"/>
          </w:tcPr>
          <w:p>
            <w:pPr>
              <w:jc w:val="center"/>
            </w:pPr>
            <w:r>
              <w:rPr>
                <w:rFonts w:ascii="Calibri" w:hAnsi="Calibri"/>
                <w:b/>
                <w:i w:val="0"/>
                <w:color w:val="007A87"/>
                <w:sz w:val="18"/>
              </w:rPr>
              <w:t>WHY RECON</w:t>
            </w:r>
          </w:p>
        </w:tc>
        <w:tc>
          <w:tcPr>
            <w:tcW w:type="dxa" w:w="2493"/>
          </w:tcPr>
          <w:p>
            <w:r>
              <w:rPr>
                <w:sz w:val="20"/>
              </w:rPr>
              <w:t>ARIA: Why is reconciliation necessary? Financial institutions process thousands of transactions daily. Each transaction touches multiple systems: trading system, accounting system, custodian, depository, clearing corporation. Each system independently records the transaction. In a perfect world, all systems agree. In reality: systems can have timing differences, transmission errors, processing failures. Reconciliation catches these differences before they become serious problems.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Purpose list: error detection, fraud prevention, regulatory compliance, audit trail.</w:t>
            </w:r>
          </w:p>
        </w:tc>
        <w:tc>
          <w:tcPr>
            <w:tcW w:type="dxa" w:w="2493"/>
          </w:tcPr>
          <w:p>
            <w:pPr>
              <w:jc w:val="center"/>
            </w:pPr>
            <w:r>
              <w:rPr>
                <w:rFonts w:ascii="Calibri" w:hAnsi="Calibri"/>
                <w:b/>
                <w:i w:val="0"/>
                <w:color w:val="007A87"/>
                <w:sz w:val="18"/>
              </w:rPr>
              <w:t>RECON PURPOSE</w:t>
            </w:r>
          </w:p>
        </w:tc>
        <w:tc>
          <w:tcPr>
            <w:tcW w:type="dxa" w:w="2493"/>
          </w:tcPr>
          <w:p>
            <w:r>
              <w:rPr>
                <w:sz w:val="20"/>
              </w:rPr>
              <w:t>RYO: The key purposes of reconciliation: Error Detection — catching settlement errors, booking mistakes, and system failures early. Fraud Prevention — if someone is manipulating transactions, reconciliation will expose the discrepancy between the manipulated system and the independent external record. Regulatory Compliance — SEBI, RBI, and IRDAI all require regular reconciliation of client positions and firm positions. Audit Trail — reconciliation records provide evidence for internal and external audits.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Hierarchy diagram: Internal Recon (intra-company, inter-company) and External Recon (custodian/nostro, exchange/CCP, OTC counterparty).</w:t>
            </w:r>
          </w:p>
        </w:tc>
        <w:tc>
          <w:tcPr>
            <w:tcW w:type="dxa" w:w="2493"/>
          </w:tcPr>
          <w:p>
            <w:pPr>
              <w:jc w:val="center"/>
            </w:pPr>
            <w:r>
              <w:rPr>
                <w:rFonts w:ascii="Calibri" w:hAnsi="Calibri"/>
                <w:b/>
                <w:i w:val="0"/>
                <w:color w:val="007A87"/>
                <w:sz w:val="18"/>
              </w:rPr>
              <w:t>RECON TYPES OVERVIEW</w:t>
            </w:r>
          </w:p>
        </w:tc>
        <w:tc>
          <w:tcPr>
            <w:tcW w:type="dxa" w:w="2493"/>
          </w:tcPr>
          <w:p>
            <w:r>
              <w:rPr>
                <w:sz w:val="20"/>
              </w:rPr>
              <w:t>KAVI: There are two broad categories of reconciliation: Internal Reconciliation — comparing data between two systems or departments within the same organisation. Example: does the Front Office trading system agree with the Back Office accounting system on today's position? External Reconciliation — comparing internal records against records held by an external party. Example: does our internal nostro ledger agree with JPMorgan's bank statement?</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Timeline: intraday recon → end-of-day recon → next-day recon. Frequency and timing explained.</w:t>
            </w:r>
          </w:p>
        </w:tc>
        <w:tc>
          <w:tcPr>
            <w:tcW w:type="dxa" w:w="2493"/>
          </w:tcPr>
          <w:p>
            <w:pPr>
              <w:jc w:val="center"/>
            </w:pPr>
            <w:r>
              <w:rPr>
                <w:rFonts w:ascii="Calibri" w:hAnsi="Calibri"/>
                <w:b/>
                <w:i w:val="0"/>
                <w:color w:val="007A87"/>
                <w:sz w:val="18"/>
              </w:rPr>
              <w:t>RECON CYCLE</w:t>
            </w:r>
          </w:p>
        </w:tc>
        <w:tc>
          <w:tcPr>
            <w:tcW w:type="dxa" w:w="2493"/>
          </w:tcPr>
          <w:p>
            <w:r>
              <w:rPr>
                <w:sz w:val="20"/>
              </w:rPr>
              <w:t>ARIA: Reconciliation frequency varies by type: Nostro cash recon: daily — sometimes intraday. Position recon with depositories (NSDL): daily — after market close. Exchange recon (trade-level with NSE): daily. Inter-company recon: daily or weekly. OTC counterparty MTM recon: daily for active books. Loan reconciliation: weekly or monthly. RYO: The more liquid and risk-sensitive the position, the more frequently it must be reconciled.</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Reconciliation types and purposes summary.</w:t>
            </w:r>
          </w:p>
        </w:tc>
        <w:tc>
          <w:tcPr>
            <w:tcW w:type="dxa" w:w="2493"/>
          </w:tcPr>
          <w:p>
            <w:pPr>
              <w:jc w:val="center"/>
            </w:pPr>
            <w:r>
              <w:rPr>
                <w:rFonts w:ascii="Calibri" w:hAnsi="Calibri"/>
                <w:b/>
                <w:i w:val="0"/>
                <w:color w:val="007A87"/>
                <w:sz w:val="18"/>
              </w:rPr>
              <w:t>RECAP D2 9 V1</w:t>
            </w:r>
          </w:p>
        </w:tc>
        <w:tc>
          <w:tcPr>
            <w:tcW w:type="dxa" w:w="2493"/>
          </w:tcPr>
          <w:p>
            <w:r>
              <w:rPr>
                <w:sz w:val="20"/>
              </w:rPr>
              <w:t>KAVI: Reconciliation = comparing two sets of records to find discrepancies. Internal recon (within firm) and external recon (vs external parties). Purpose: error detection, fraud prevention, regulatory compliance. ARIA: In Video 2, we'll go deep into the actual nostro and depot reconciliation processes — the daily heartbeat of custody operations.</w:t>
            </w:r>
          </w:p>
        </w:tc>
      </w:tr>
    </w:tbl>
    <w:p/>
    <w:p>
      <w:r>
        <w:rPr>
          <w:rFonts w:ascii="Calibri" w:hAnsi="Calibri"/>
          <w:b/>
          <w:i w:val="0"/>
          <w:color w:val="007A87"/>
          <w:sz w:val="20"/>
        </w:rPr>
        <w:t xml:space="preserve">▶ Transition: </w:t>
      </w:r>
      <w:r>
        <w:rPr>
          <w:rFonts w:ascii="Calibri" w:hAnsi="Calibri"/>
          <w:b w:val="0"/>
          <w:i/>
          <w:color w:val="404040"/>
          <w:sz w:val="20"/>
        </w:rPr>
        <w:t>Next — D2.9 Video 2: Nostro and Depot Reconciliation Process</w:t>
      </w:r>
    </w:p>
    <w:p>
      <w:r>
        <w:br w:type="page"/>
      </w:r>
    </w:p>
    <w:p>
      <w:pPr>
        <w:spacing w:before="120"/>
        <w:shd w:val="clear" w:color="auto" w:fill="101C4F"/>
      </w:pPr>
      <w:r>
        <w:rPr>
          <w:rFonts w:ascii="Calibri" w:hAnsi="Calibri"/>
          <w:b/>
          <w:i w:val="0"/>
          <w:color w:val="FFFFFF"/>
          <w:sz w:val="24"/>
        </w:rPr>
        <w:t xml:space="preserve">  D2.9: Reconciliation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D2.9</w:t>
            </w:r>
          </w:p>
        </w:tc>
      </w:tr>
      <w:tr>
        <w:tc>
          <w:tcPr>
            <w:tcW w:type="dxa" w:w="4986"/>
            <w:shd w:val="clear" w:color="auto" w:fill="007A87"/>
          </w:tcPr>
          <w:p>
            <w:r>
              <w:rPr>
                <w:rFonts w:ascii="Calibri" w:hAnsi="Calibri"/>
                <w:b/>
                <w:i w:val="0"/>
                <w:color w:val="FFFFFF"/>
                <w:sz w:val="20"/>
              </w:rPr>
              <w:t>UOR Title</w:t>
            </w:r>
          </w:p>
        </w:tc>
        <w:tc>
          <w:tcPr>
            <w:tcW w:type="dxa" w:w="4986"/>
          </w:tcPr>
          <w:p>
            <w:r>
              <w:rPr>
                <w:sz w:val="20"/>
              </w:rPr>
              <w:t>Reconciliation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reconciliation process — identifying types of reconciliation, processing nostro and depot recon, identifying breaks, and resolving them within prescribed timeframes.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Process a nostro reconciliation and identify and classify breaks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walk through the nostro and depot reconciliation process, identify common types of breaks, and describe the resolution steps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D2.9 Video 1: Introduction to Reconciliation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D2.9 Video 3: Break Management and Regulatory Reconciliation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Step-by-step flowchart: receive external statement → load internal ledger → compare → identify breaks → classify → investigate → resolve.</w:t>
            </w:r>
          </w:p>
        </w:tc>
        <w:tc>
          <w:tcPr>
            <w:tcW w:type="dxa" w:w="2493"/>
          </w:tcPr>
          <w:p>
            <w:pPr>
              <w:jc w:val="center"/>
            </w:pPr>
            <w:r>
              <w:rPr>
                <w:rFonts w:ascii="Calibri" w:hAnsi="Calibri"/>
                <w:b/>
                <w:i w:val="0"/>
                <w:color w:val="007A87"/>
                <w:sz w:val="18"/>
              </w:rPr>
              <w:t>NOSTRO RECON PROCESS</w:t>
            </w:r>
          </w:p>
        </w:tc>
        <w:tc>
          <w:tcPr>
            <w:tcW w:type="dxa" w:w="2493"/>
          </w:tcPr>
          <w:p>
            <w:r>
              <w:rPr>
                <w:sz w:val="20"/>
              </w:rPr>
              <w:t>RYO: The nostro reconciliation process: Step 1: Receive the external bank statement from the correspondent bank (JPMorgan, HSBC, etc.) — usually via SWIFT MT940 message. Step 2: Load the internal nostro mirror ledger from the accounting system. Step 3: Automated matching — compare each external entry against the internal ledger line by line. Step 4: Identify breaks — entries that exist in one source but not the other, or entries that match but with different amounts or value dates.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Break classification table: timing difference vs genuine error vs pending transaction vs duplicate entry.</w:t>
            </w:r>
          </w:p>
        </w:tc>
        <w:tc>
          <w:tcPr>
            <w:tcW w:type="dxa" w:w="2493"/>
          </w:tcPr>
          <w:p>
            <w:pPr>
              <w:jc w:val="center"/>
            </w:pPr>
            <w:r>
              <w:rPr>
                <w:rFonts w:ascii="Calibri" w:hAnsi="Calibri"/>
                <w:b/>
                <w:i w:val="0"/>
                <w:color w:val="007A87"/>
                <w:sz w:val="18"/>
              </w:rPr>
              <w:t>BREAK TYPES</w:t>
            </w:r>
          </w:p>
        </w:tc>
        <w:tc>
          <w:tcPr>
            <w:tcW w:type="dxa" w:w="2493"/>
          </w:tcPr>
          <w:p>
            <w:r>
              <w:rPr>
                <w:sz w:val="20"/>
              </w:rPr>
              <w:t>KAVI: Not all breaks are equal. Break classification: Timing difference — a payment was sent today but won't appear on the external statement until tomorrow due to value date differences. Not an error — will resolve automatically next day. Pending transaction — a transaction expected but not yet received. Common for cross-border SWIFT payments. Genuine error — a payment was sent for the wrong amount, or to the wrong account. Requires immediate investigation and potential recall. Duplicate entry — the same transaction recorded twice in either internal or external records.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NSDL statement on screen. Internal position record. Matching process: ISIN by ISIN comparison.</w:t>
            </w:r>
          </w:p>
        </w:tc>
        <w:tc>
          <w:tcPr>
            <w:tcW w:type="dxa" w:w="2493"/>
          </w:tcPr>
          <w:p>
            <w:pPr>
              <w:jc w:val="center"/>
            </w:pPr>
            <w:r>
              <w:rPr>
                <w:rFonts w:ascii="Calibri" w:hAnsi="Calibri"/>
                <w:b/>
                <w:i w:val="0"/>
                <w:color w:val="007A87"/>
                <w:sz w:val="18"/>
              </w:rPr>
              <w:t>DEPOT RECON</w:t>
            </w:r>
          </w:p>
        </w:tc>
        <w:tc>
          <w:tcPr>
            <w:tcW w:type="dxa" w:w="2493"/>
          </w:tcPr>
          <w:p>
            <w:r>
              <w:rPr>
                <w:sz w:val="20"/>
              </w:rPr>
              <w:t>ARIA: Depot (securities position) reconciliation: Step 1: Receive the NSDL/CDSL depository statement — daily statement of all securities held in the custodian's depot account. Step 2: Compare the NSDL statement against the internal position ledger — security by security, ISIN by ISIN, client by client. Step 3: Any difference = a break. Common causes: a trade that was captured internally but not yet settled at NSDL (timing). An NSDL transfer that was processed but not yet reflected in internal records. A corporate action processed by NSDL but not by the internal system.</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Operations team on phone: calling custodian, calling broker, escalating to SWIFT team.</w:t>
            </w:r>
          </w:p>
        </w:tc>
        <w:tc>
          <w:tcPr>
            <w:tcW w:type="dxa" w:w="2493"/>
          </w:tcPr>
          <w:p>
            <w:pPr>
              <w:jc w:val="center"/>
            </w:pPr>
            <w:r>
              <w:rPr>
                <w:rFonts w:ascii="Calibri" w:hAnsi="Calibri"/>
                <w:b/>
                <w:i w:val="0"/>
                <w:color w:val="007A87"/>
                <w:sz w:val="18"/>
              </w:rPr>
              <w:t>BREAK RESOLUTION</w:t>
            </w:r>
          </w:p>
        </w:tc>
        <w:tc>
          <w:tcPr>
            <w:tcW w:type="dxa" w:w="2493"/>
          </w:tcPr>
          <w:p>
            <w:r>
              <w:rPr>
                <w:sz w:val="20"/>
              </w:rPr>
              <w:t>RYO: Break resolution workflow: Classify the break (timing vs genuine). For timing breaks: note the expected resolution date. Monitor daily. For genuine breaks: immediately escalate to the relevant team (SWIFT operations for nostro breaks, settlement team for depot breaks). Contact the counterparty or correspondent bank. Recall erroneous payments if needed. Target: all breaks resolved within 2 business days. Breaks aged more than 5 days must be reported to senior management and potentially to regulators.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Automated recon system screen: thousands of transactions matched automatically. Only exceptions flagged for human review.</w:t>
            </w:r>
          </w:p>
        </w:tc>
        <w:tc>
          <w:tcPr>
            <w:tcW w:type="dxa" w:w="2493"/>
          </w:tcPr>
          <w:p>
            <w:pPr>
              <w:jc w:val="center"/>
            </w:pPr>
            <w:r>
              <w:rPr>
                <w:rFonts w:ascii="Calibri" w:hAnsi="Calibri"/>
                <w:b/>
                <w:i w:val="0"/>
                <w:color w:val="007A87"/>
                <w:sz w:val="18"/>
              </w:rPr>
              <w:t>RECON AUTOMATION</w:t>
            </w:r>
          </w:p>
        </w:tc>
        <w:tc>
          <w:tcPr>
            <w:tcW w:type="dxa" w:w="2493"/>
          </w:tcPr>
          <w:p>
            <w:r>
              <w:rPr>
                <w:sz w:val="20"/>
              </w:rPr>
              <w:t>KAVI: Modern operations use automated reconciliation systems — platforms like Intellimatch, TLM, or AutoRek — that match thousands of transactions automatically using rules-based logic. The human team only reviews exceptions that the system cannot match automatically. This improves efficiency and reduces error rates — but the operations team must still understand the underlying process to investigate and resolve exceptions correctly.</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Nostro and depot recon process summary.</w:t>
            </w:r>
          </w:p>
        </w:tc>
        <w:tc>
          <w:tcPr>
            <w:tcW w:type="dxa" w:w="2493"/>
          </w:tcPr>
          <w:p>
            <w:pPr>
              <w:jc w:val="center"/>
            </w:pPr>
            <w:r>
              <w:rPr>
                <w:rFonts w:ascii="Calibri" w:hAnsi="Calibri"/>
                <w:b/>
                <w:i w:val="0"/>
                <w:color w:val="007A87"/>
                <w:sz w:val="18"/>
              </w:rPr>
              <w:t>RECAP D2 9 V2</w:t>
            </w:r>
          </w:p>
        </w:tc>
        <w:tc>
          <w:tcPr>
            <w:tcW w:type="dxa" w:w="2493"/>
          </w:tcPr>
          <w:p>
            <w:r>
              <w:rPr>
                <w:sz w:val="20"/>
              </w:rPr>
              <w:t>ARIA: Nostro recon: SWIFT MT940 statement vs internal ledger. Depot recon: NSDL/CDSL statement vs internal positions. Break types: timing, pending, genuine error, duplicate. RYO: Resolution target: 2 days for most breaks. In Video 3, we'll cover break management escalation, exchange and OTC recon, and how poor reconciliation creates regulatory and P&amp;L risk.</w:t>
            </w:r>
          </w:p>
        </w:tc>
      </w:tr>
    </w:tbl>
    <w:p/>
    <w:p>
      <w:r>
        <w:rPr>
          <w:rFonts w:ascii="Calibri" w:hAnsi="Calibri"/>
          <w:b/>
          <w:i w:val="0"/>
          <w:color w:val="007A87"/>
          <w:sz w:val="20"/>
        </w:rPr>
        <w:t xml:space="preserve">▶ Transition: </w:t>
      </w:r>
      <w:r>
        <w:rPr>
          <w:rFonts w:ascii="Calibri" w:hAnsi="Calibri"/>
          <w:b w:val="0"/>
          <w:i/>
          <w:color w:val="404040"/>
          <w:sz w:val="20"/>
        </w:rPr>
        <w:t>Next — D2.9 Video 3: Break Management and Regulatory Reconciliation</w:t>
      </w:r>
    </w:p>
    <w:p>
      <w:r>
        <w:br w:type="page"/>
      </w:r>
    </w:p>
    <w:p>
      <w:pPr>
        <w:spacing w:before="120"/>
        <w:shd w:val="clear" w:color="auto" w:fill="101C4F"/>
      </w:pPr>
      <w:r>
        <w:rPr>
          <w:rFonts w:ascii="Calibri" w:hAnsi="Calibri"/>
          <w:b/>
          <w:i w:val="0"/>
          <w:color w:val="FFFFFF"/>
          <w:sz w:val="24"/>
        </w:rPr>
        <w:t xml:space="preserve">  D2.9: Reconciliation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D2.9</w:t>
            </w:r>
          </w:p>
        </w:tc>
      </w:tr>
      <w:tr>
        <w:tc>
          <w:tcPr>
            <w:tcW w:type="dxa" w:w="4986"/>
            <w:shd w:val="clear" w:color="auto" w:fill="007A87"/>
          </w:tcPr>
          <w:p>
            <w:r>
              <w:rPr>
                <w:rFonts w:ascii="Calibri" w:hAnsi="Calibri"/>
                <w:b/>
                <w:i w:val="0"/>
                <w:color w:val="FFFFFF"/>
                <w:sz w:val="20"/>
              </w:rPr>
              <w:t>UOR Title</w:t>
            </w:r>
          </w:p>
        </w:tc>
        <w:tc>
          <w:tcPr>
            <w:tcW w:type="dxa" w:w="4986"/>
          </w:tcPr>
          <w:p>
            <w:r>
              <w:rPr>
                <w:sz w:val="20"/>
              </w:rPr>
              <w:t>Reconciliation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Apply the reconciliation process — identifying types of reconciliation, processing nostro and depot recon, identifying breaks, and resolving them within prescribed timeframes.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reconciliation quality to P&amp;L accuracy, regulatory compliance, and client reporting integrity</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how reconciliation quality affects P&amp;L, describe exchange and OTC reconciliation, and relate unresolved breaks to regulatory and business risk</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D2.9 Video 2: Nostro and Depot Recon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D2.10 Video 1: Introduction to Loan Syndication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Trade-level reconciliation: internal booking vs NSE trade confirmation. SEBI audit trail requirements.</w:t>
            </w:r>
          </w:p>
        </w:tc>
        <w:tc>
          <w:tcPr>
            <w:tcW w:type="dxa" w:w="2493"/>
          </w:tcPr>
          <w:p>
            <w:pPr>
              <w:jc w:val="center"/>
            </w:pPr>
            <w:r>
              <w:rPr>
                <w:rFonts w:ascii="Calibri" w:hAnsi="Calibri"/>
                <w:b/>
                <w:i w:val="0"/>
                <w:color w:val="007A87"/>
                <w:sz w:val="18"/>
              </w:rPr>
              <w:t>EXCHANGE RECON</w:t>
            </w:r>
          </w:p>
        </w:tc>
        <w:tc>
          <w:tcPr>
            <w:tcW w:type="dxa" w:w="2493"/>
          </w:tcPr>
          <w:p>
            <w:r>
              <w:rPr>
                <w:sz w:val="20"/>
              </w:rPr>
              <w:t>KAVI: Exchange reconciliation: every trade executed on NSE must be reconciled against NSE's trade confirmation. Operations compares: Internal trade bookings (from OMS/trading system) vs NSE's official trade file (downloaded daily). Any trade in NSE's file that is not in the internal system = missing booking. Any trade in the internal system not in NSE's file = phantom trade. Both are serious breaks requiring immediate investigation.</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OTC MTM reconciliation: internal MTM valuation vs counterparty's valuation. CSA dispute resolution.</w:t>
            </w:r>
          </w:p>
        </w:tc>
        <w:tc>
          <w:tcPr>
            <w:tcW w:type="dxa" w:w="2493"/>
          </w:tcPr>
          <w:p>
            <w:pPr>
              <w:jc w:val="center"/>
            </w:pPr>
            <w:r>
              <w:rPr>
                <w:rFonts w:ascii="Calibri" w:hAnsi="Calibri"/>
                <w:b/>
                <w:i w:val="0"/>
                <w:color w:val="007A87"/>
                <w:sz w:val="18"/>
              </w:rPr>
              <w:t>OTC RECON</w:t>
            </w:r>
          </w:p>
        </w:tc>
        <w:tc>
          <w:tcPr>
            <w:tcW w:type="dxa" w:w="2493"/>
          </w:tcPr>
          <w:p>
            <w:r>
              <w:rPr>
                <w:sz w:val="20"/>
              </w:rPr>
              <w:t>RYO: OTC MTM reconciliation: for bilateral OTC derivatives (not cleared through CCIL), each party independently values the trade daily. If HDFC Bank's MTM shows +₹5 crore and Citi's shows +₹4.8 crore, there is a ₹0.2 crore discrepancy. Under the ISDA CSA, if the MTM difference exceeds the MTA (Minimum Transfer Amount), the parties must dispute and resolve it. Unresolved MTM disputes lead to collateral disagreements — a potential trigger for ISDA dispute resolution procedures.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P&amp;L report with a break: settlement failure creates incorrect position, leading to incorrect MTM. Finance team adjusting.</w:t>
            </w:r>
          </w:p>
        </w:tc>
        <w:tc>
          <w:tcPr>
            <w:tcW w:type="dxa" w:w="2493"/>
          </w:tcPr>
          <w:p>
            <w:pPr>
              <w:jc w:val="center"/>
            </w:pPr>
            <w:r>
              <w:rPr>
                <w:rFonts w:ascii="Calibri" w:hAnsi="Calibri"/>
                <w:b/>
                <w:i w:val="0"/>
                <w:color w:val="007A87"/>
                <w:sz w:val="18"/>
              </w:rPr>
              <w:t>PNL IMPACT</w:t>
            </w:r>
          </w:p>
        </w:tc>
        <w:tc>
          <w:tcPr>
            <w:tcW w:type="dxa" w:w="2493"/>
          </w:tcPr>
          <w:p>
            <w:r>
              <w:rPr>
                <w:sz w:val="20"/>
              </w:rPr>
              <w:t>ARIA: How reconciliation breaks affect P&amp;L: A depot break (missing security in NSDL) creates an incorrect position in the books. The incorrect position produces an incorrect MTM valuation. The MTM flows into the P&amp;L report. The P&amp;L report is used for: client reporting, management reporting, regulatory capital calculation. If the break is not resolved and the P&amp;L is published incorrectly, downstream decisions are made on wrong data — a serious operational and governance failure.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SEBI inspection: auditors checking that client assets reconcile with depository records. Bank under scrutiny.</w:t>
            </w:r>
          </w:p>
        </w:tc>
        <w:tc>
          <w:tcPr>
            <w:tcW w:type="dxa" w:w="2493"/>
          </w:tcPr>
          <w:p>
            <w:pPr>
              <w:jc w:val="center"/>
            </w:pPr>
            <w:r>
              <w:rPr>
                <w:rFonts w:ascii="Calibri" w:hAnsi="Calibri"/>
                <w:b/>
                <w:i w:val="0"/>
                <w:color w:val="007A87"/>
                <w:sz w:val="18"/>
              </w:rPr>
              <w:t>REGULATORY RECON</w:t>
            </w:r>
          </w:p>
        </w:tc>
        <w:tc>
          <w:tcPr>
            <w:tcW w:type="dxa" w:w="2493"/>
          </w:tcPr>
          <w:p>
            <w:r>
              <w:rPr>
                <w:sz w:val="20"/>
              </w:rPr>
              <w:t>KAVI: Regulatory dimension of reconciliation: SEBI requires all registered brokers and custodians to perform daily client asset reconciliation and provide annual certificates confirming that client funds and securities are properly segregated and reconciled. SEBI inspection teams specifically check reconciliation records — looking for aged breaks, systematic discrepancies, or evidence that client assets may have been misused. Firms with poor reconciliation controls attract heavier SEBI surveillance.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Best practice checklist: T+0 exception identification, same-day escalation, 48-hour resolution target, weekly aged break review.</w:t>
            </w:r>
          </w:p>
        </w:tc>
        <w:tc>
          <w:tcPr>
            <w:tcW w:type="dxa" w:w="2493"/>
          </w:tcPr>
          <w:p>
            <w:pPr>
              <w:jc w:val="center"/>
            </w:pPr>
            <w:r>
              <w:rPr>
                <w:rFonts w:ascii="Calibri" w:hAnsi="Calibri"/>
                <w:b/>
                <w:i w:val="0"/>
                <w:color w:val="007A87"/>
                <w:sz w:val="18"/>
              </w:rPr>
              <w:t>BEST PRACTICE</w:t>
            </w:r>
          </w:p>
        </w:tc>
        <w:tc>
          <w:tcPr>
            <w:tcW w:type="dxa" w:w="2493"/>
          </w:tcPr>
          <w:p>
            <w:r>
              <w:rPr>
                <w:sz w:val="20"/>
              </w:rPr>
              <w:t>RYO: Reconciliation best practices: Same-day exception identification — recon runs must complete and exceptions flagged before the next business day begins. 48-hour resolution target — all breaks should have a resolution owner and expected resolution date within 48 hours. Aged break escalation — breaks older than 5 days escalated to Head of Operations. Weekly aged break review — presented to senior management with root cause analysis. Root cause prevention — if the same break type recurs, fix the underlying process rather than just patching the symptom.</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Full reconciliation summary: types, process, break management, regulatory importance.</w:t>
            </w:r>
          </w:p>
        </w:tc>
        <w:tc>
          <w:tcPr>
            <w:tcW w:type="dxa" w:w="2493"/>
          </w:tcPr>
          <w:p>
            <w:pPr>
              <w:jc w:val="center"/>
            </w:pPr>
            <w:r>
              <w:rPr>
                <w:rFonts w:ascii="Calibri" w:hAnsi="Calibri"/>
                <w:b/>
                <w:i w:val="0"/>
                <w:color w:val="007A87"/>
                <w:sz w:val="18"/>
              </w:rPr>
              <w:t>RECAP D2 9 V3</w:t>
            </w:r>
          </w:p>
        </w:tc>
        <w:tc>
          <w:tcPr>
            <w:tcW w:type="dxa" w:w="2493"/>
          </w:tcPr>
          <w:p>
            <w:r>
              <w:rPr>
                <w:sz w:val="20"/>
              </w:rPr>
              <w:t>ARIA: Reconciliation is the daily backbone of operational integrity. Exchange recon, nostro recon, depot recon, OTC MTM recon — all are critical. KAVI: Unresolved breaks create P&amp;L errors, regulatory violations, and client reporting failures. Up next and final UOR: D2.10 — Loan Syndication and Lending Operations — a completely different corner of the investment banking world.</w:t>
            </w:r>
          </w:p>
        </w:tc>
      </w:tr>
    </w:tbl>
    <w:p/>
    <w:p>
      <w:r>
        <w:rPr>
          <w:rFonts w:ascii="Calibri" w:hAnsi="Calibri"/>
          <w:b/>
          <w:i w:val="0"/>
          <w:color w:val="007A87"/>
          <w:sz w:val="20"/>
        </w:rPr>
        <w:t xml:space="preserve">▶ Transition: </w:t>
      </w:r>
      <w:r>
        <w:rPr>
          <w:rFonts w:ascii="Calibri" w:hAnsi="Calibri"/>
          <w:b w:val="0"/>
          <w:i/>
          <w:color w:val="404040"/>
          <w:sz w:val="20"/>
        </w:rPr>
        <w:t>Next — D2.10 Video 1: Introduction to Loan Syndication</w:t>
      </w:r>
    </w:p>
    <w:p>
      <w:r>
        <w:br w:type="page"/>
      </w:r>
    </w:p>
    <w:p>
      <w:pPr>
        <w:spacing w:before="120"/>
        <w:shd w:val="clear" w:color="auto" w:fill="101C4F"/>
      </w:pPr>
      <w:r>
        <w:rPr>
          <w:rFonts w:ascii="Calibri" w:hAnsi="Calibri"/>
          <w:b/>
          <w:i w:val="0"/>
          <w:color w:val="FFFFFF"/>
          <w:sz w:val="24"/>
        </w:rPr>
        <w:t xml:space="preserve">  D2.10: Loan Syndication and Lending Operations  —  Video 1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D2.10</w:t>
            </w:r>
          </w:p>
        </w:tc>
      </w:tr>
      <w:tr>
        <w:tc>
          <w:tcPr>
            <w:tcW w:type="dxa" w:w="4986"/>
            <w:shd w:val="clear" w:color="auto" w:fill="007A87"/>
          </w:tcPr>
          <w:p>
            <w:r>
              <w:rPr>
                <w:rFonts w:ascii="Calibri" w:hAnsi="Calibri"/>
                <w:b/>
                <w:i w:val="0"/>
                <w:color w:val="FFFFFF"/>
                <w:sz w:val="20"/>
              </w:rPr>
              <w:t>UOR Title</w:t>
            </w:r>
          </w:p>
        </w:tc>
        <w:tc>
          <w:tcPr>
            <w:tcW w:type="dxa" w:w="4986"/>
          </w:tcPr>
          <w:p>
            <w:r>
              <w:rPr>
                <w:sz w:val="20"/>
              </w:rPr>
              <w:t>Loan Syndication and Lending Operations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loan syndication structure, the lifecycle from origination to loan servicing, and the reconciliation processes specific to lending operations.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loan syndication and describe its structure and participants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a syndicated loan is, how it differs from a bilateral loan, and who the key participants are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D2.9: Reconciliation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D2.10 Video 2: Loan Syndication Process and Lifecycle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Animation: a large building (representing a large company) needing ₹10,000 crore. One bank can't provide it alone — multiple banks shown contributing.</w:t>
            </w:r>
          </w:p>
        </w:tc>
        <w:tc>
          <w:tcPr>
            <w:tcW w:type="dxa" w:w="2493"/>
          </w:tcPr>
          <w:p>
            <w:pPr>
              <w:jc w:val="center"/>
            </w:pPr>
            <w:r>
              <w:rPr>
                <w:rFonts w:ascii="Calibri" w:hAnsi="Calibri"/>
                <w:b/>
                <w:i w:val="0"/>
                <w:color w:val="007A87"/>
                <w:sz w:val="18"/>
              </w:rPr>
              <w:t>SYNDICATION INTRO</w:t>
            </w:r>
          </w:p>
        </w:tc>
        <w:tc>
          <w:tcPr>
            <w:tcW w:type="dxa" w:w="2493"/>
          </w:tcPr>
          <w:p>
            <w:r>
              <w:rPr>
                <w:sz w:val="20"/>
              </w:rPr>
              <w:t>RYO: A syndicated loan is a large loan provided by a group of banks — called a syndicate — to a single borrower. Why a syndicate? Because the loan is too large for any one bank to provide alone, or because the bank wants to spread the credit risk. KAVI: Example: Reliance Industries wants to borrow ₹15,000 crore for a new refinery. No single bank wants to take ₹15,000 crore of credit risk. So 8 banks each contribute ₹1,875 crore — forming a syndicate.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Side-by-side: bilateral loan (one lender, one borrower) vs syndicated (multiple lenders, one borrower, one arranger).</w:t>
            </w:r>
          </w:p>
        </w:tc>
        <w:tc>
          <w:tcPr>
            <w:tcW w:type="dxa" w:w="2493"/>
          </w:tcPr>
          <w:p>
            <w:pPr>
              <w:jc w:val="center"/>
            </w:pPr>
            <w:r>
              <w:rPr>
                <w:rFonts w:ascii="Calibri" w:hAnsi="Calibri"/>
                <w:b/>
                <w:i w:val="0"/>
                <w:color w:val="007A87"/>
                <w:sz w:val="18"/>
              </w:rPr>
              <w:t>BILATERAL VS SYNDICATED</w:t>
            </w:r>
          </w:p>
        </w:tc>
        <w:tc>
          <w:tcPr>
            <w:tcW w:type="dxa" w:w="2493"/>
          </w:tcPr>
          <w:p>
            <w:r>
              <w:rPr>
                <w:sz w:val="20"/>
              </w:rPr>
              <w:t>ARIA: Bilateral loan vs syndicated loan: Bilateral — one bank lends to one borrower. Simple documentation. All risk concentrated in one bank. Syndicated — multiple banks (the syndicate) lend to one borrower. Each bank has a defined participation amount. Risk distributed across the syndicate. All governed by a single loan agreement. One bank acts as the Arranger (the lead bank that structures and sells the syndication). One bank acts as the Agent Bank (the administrative manager of the loan after closing).</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Participant diagram: Borrower, Mandated Lead Arranger (MLA), Syndicate Banks, Agent Bank, Security Trustee.</w:t>
            </w:r>
          </w:p>
        </w:tc>
        <w:tc>
          <w:tcPr>
            <w:tcW w:type="dxa" w:w="2493"/>
          </w:tcPr>
          <w:p>
            <w:pPr>
              <w:jc w:val="center"/>
            </w:pPr>
            <w:r>
              <w:rPr>
                <w:rFonts w:ascii="Calibri" w:hAnsi="Calibri"/>
                <w:b/>
                <w:i w:val="0"/>
                <w:color w:val="007A87"/>
                <w:sz w:val="18"/>
              </w:rPr>
              <w:t>PARTICIPANTS</w:t>
            </w:r>
          </w:p>
        </w:tc>
        <w:tc>
          <w:tcPr>
            <w:tcW w:type="dxa" w:w="2493"/>
          </w:tcPr>
          <w:p>
            <w:r>
              <w:rPr>
                <w:sz w:val="20"/>
              </w:rPr>
              <w:t>RYO: Key participants: Borrower — the company raising the loan (e.g., Reliance, Tata, NTPC). Mandated Lead Arranger (MLA) — the lead bank that wins the mandate, structures the loan, and sells participations to other banks. Syndicate Banks (Lenders) — the participating banks, each providing their share. Agent Bank — administers the loan after closing: receiving borrower payments, distributing to lenders, managing drawdowns. Security Trustee — holds collateral on behalf of all lenders (for secured loans).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Types shown: Term loan, Revolving Credit Facility (RCF), Bridge loan, Delayed Draw Term Loan.</w:t>
            </w:r>
          </w:p>
        </w:tc>
        <w:tc>
          <w:tcPr>
            <w:tcW w:type="dxa" w:w="2493"/>
          </w:tcPr>
          <w:p>
            <w:pPr>
              <w:jc w:val="center"/>
            </w:pPr>
            <w:r>
              <w:rPr>
                <w:rFonts w:ascii="Calibri" w:hAnsi="Calibri"/>
                <w:b/>
                <w:i w:val="0"/>
                <w:color w:val="007A87"/>
                <w:sz w:val="18"/>
              </w:rPr>
              <w:t>TYPES OF SYNDICATED</w:t>
            </w:r>
          </w:p>
        </w:tc>
        <w:tc>
          <w:tcPr>
            <w:tcW w:type="dxa" w:w="2493"/>
          </w:tcPr>
          <w:p>
            <w:r>
              <w:rPr>
                <w:sz w:val="20"/>
              </w:rPr>
              <w:t>KAVI: Types of syndicated loans: Term Loan — a loan for a fixed amount disbursed upfront, repaid over time. Most common for capex projects. Revolving Credit Facility (RCF) — a flexible credit line the borrower can draw and repay repeatedly (like a credit card). Term Loan B (TLB) — institutional term loan, typically for leveraged buyouts, traded on secondary markets. Bridge Loan — short-term financing, to be replaced by a bond issuance or longer-term loan. Delayed Draw Term Loan (DDTL) — committed but drawn down in tranches over time.</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India context: ECB syndication, infrastructure project finance, RBI regulations, FEMA for cross-border syndications.</w:t>
            </w:r>
          </w:p>
        </w:tc>
        <w:tc>
          <w:tcPr>
            <w:tcW w:type="dxa" w:w="2493"/>
          </w:tcPr>
          <w:p>
            <w:pPr>
              <w:jc w:val="center"/>
            </w:pPr>
            <w:r>
              <w:rPr>
                <w:rFonts w:ascii="Calibri" w:hAnsi="Calibri"/>
                <w:b/>
                <w:i w:val="0"/>
                <w:color w:val="007A87"/>
                <w:sz w:val="18"/>
              </w:rPr>
              <w:t>INDIA SYNDICATION</w:t>
            </w:r>
          </w:p>
        </w:tc>
        <w:tc>
          <w:tcPr>
            <w:tcW w:type="dxa" w:w="2493"/>
          </w:tcPr>
          <w:p>
            <w:r>
              <w:rPr>
                <w:sz w:val="20"/>
              </w:rPr>
              <w:t>ARIA: In India, loan syndication is a key funding tool for: Infrastructure projects (highways, ports, power plants) — often requiring ₹5,000–50,000 crore of funding. Large corporates raising domestic credit (IND AS compliant). ECB (External Commercial Borrowings) — Indian companies borrowing in foreign currency from international syndicates, subject to RBI's ECB framework under FEMA. RYO: The Indian loan market is growing rapidly — SBI Capital Markets, Axis Bank, and ICICI Bank are among the most active arrangers of large domestic syndications.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Syndicated loan structure summary.</w:t>
            </w:r>
          </w:p>
        </w:tc>
        <w:tc>
          <w:tcPr>
            <w:tcW w:type="dxa" w:w="2493"/>
          </w:tcPr>
          <w:p>
            <w:pPr>
              <w:jc w:val="center"/>
            </w:pPr>
            <w:r>
              <w:rPr>
                <w:rFonts w:ascii="Calibri" w:hAnsi="Calibri"/>
                <w:b/>
                <w:i w:val="0"/>
                <w:color w:val="007A87"/>
                <w:sz w:val="18"/>
              </w:rPr>
              <w:t>RECAP D2 10 V1</w:t>
            </w:r>
          </w:p>
        </w:tc>
        <w:tc>
          <w:tcPr>
            <w:tcW w:type="dxa" w:w="2493"/>
          </w:tcPr>
          <w:p>
            <w:r>
              <w:rPr>
                <w:sz w:val="20"/>
              </w:rPr>
              <w:t>KAVI: Syndicated loan = large loan from multiple banks to one borrower. Key roles: MLA (arranger), Agent Bank (administrator), lenders (participants). Types: term loan, RCF, bridge loan. ARIA: In Video 2, we'll trace the complete lifecycle of a syndicated loan — from the initial mandate through credit approval, documentation, and drawdown.</w:t>
            </w:r>
          </w:p>
        </w:tc>
      </w:tr>
    </w:tbl>
    <w:p/>
    <w:p>
      <w:r>
        <w:rPr>
          <w:rFonts w:ascii="Calibri" w:hAnsi="Calibri"/>
          <w:b/>
          <w:i w:val="0"/>
          <w:color w:val="007A87"/>
          <w:sz w:val="20"/>
        </w:rPr>
        <w:t xml:space="preserve">▶ Transition: </w:t>
      </w:r>
      <w:r>
        <w:rPr>
          <w:rFonts w:ascii="Calibri" w:hAnsi="Calibri"/>
          <w:b w:val="0"/>
          <w:i/>
          <w:color w:val="404040"/>
          <w:sz w:val="20"/>
        </w:rPr>
        <w:t>Next — D2.10 Video 2: Loan Syndication Process and Lifecycle</w:t>
      </w:r>
    </w:p>
    <w:p>
      <w:r>
        <w:br w:type="page"/>
      </w:r>
    </w:p>
    <w:p>
      <w:pPr>
        <w:spacing w:before="120"/>
        <w:shd w:val="clear" w:color="auto" w:fill="101C4F"/>
      </w:pPr>
      <w:r>
        <w:rPr>
          <w:rFonts w:ascii="Calibri" w:hAnsi="Calibri"/>
          <w:b/>
          <w:i w:val="0"/>
          <w:color w:val="FFFFFF"/>
          <w:sz w:val="24"/>
        </w:rPr>
        <w:t xml:space="preserve">  D2.10: Loan Syndication and Lending Operations  —  Video 2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D2.10</w:t>
            </w:r>
          </w:p>
        </w:tc>
      </w:tr>
      <w:tr>
        <w:tc>
          <w:tcPr>
            <w:tcW w:type="dxa" w:w="4986"/>
            <w:shd w:val="clear" w:color="auto" w:fill="007A87"/>
          </w:tcPr>
          <w:p>
            <w:r>
              <w:rPr>
                <w:rFonts w:ascii="Calibri" w:hAnsi="Calibri"/>
                <w:b/>
                <w:i w:val="0"/>
                <w:color w:val="FFFFFF"/>
                <w:sz w:val="20"/>
              </w:rPr>
              <w:t>UOR Title</w:t>
            </w:r>
          </w:p>
        </w:tc>
        <w:tc>
          <w:tcPr>
            <w:tcW w:type="dxa" w:w="4986"/>
          </w:tcPr>
          <w:p>
            <w:r>
              <w:rPr>
                <w:sz w:val="20"/>
              </w:rPr>
              <w:t>Loan Syndication and Lending Operations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loan syndication structure, the lifecycle from origination to loan servicing, and the reconciliation processes specific to lending operations.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Trace the loan syndication process from mandate to first drawdown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syndication process stages — pre-mandate, credit approval, documentation, syndication, and closing — and identify the operations team's role at each stage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D2.10 Video 1: Introduction to Loan Syndication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D2.10 Video 3: Loan Servicing and Reconciliation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Process flow: Pre-Mandate → Mandate → Credit Approval → Term Sheet → Syndication → Documentation → Closing → First Drawdown.</w:t>
            </w:r>
          </w:p>
        </w:tc>
        <w:tc>
          <w:tcPr>
            <w:tcW w:type="dxa" w:w="2493"/>
          </w:tcPr>
          <w:p>
            <w:pPr>
              <w:jc w:val="center"/>
            </w:pPr>
            <w:r>
              <w:rPr>
                <w:rFonts w:ascii="Calibri" w:hAnsi="Calibri"/>
                <w:b/>
                <w:i w:val="0"/>
                <w:color w:val="007A87"/>
                <w:sz w:val="18"/>
              </w:rPr>
              <w:t>SYNDICATION PROCESS</w:t>
            </w:r>
          </w:p>
        </w:tc>
        <w:tc>
          <w:tcPr>
            <w:tcW w:type="dxa" w:w="2493"/>
          </w:tcPr>
          <w:p>
            <w:r>
              <w:rPr>
                <w:sz w:val="20"/>
              </w:rPr>
              <w:t>RYO: The loan syndication process has distinct stages. Let's trace each one.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Meeting room: borrower meets MLA candidates. Pitch books on table. Discussion of loan structure.</w:t>
            </w:r>
          </w:p>
        </w:tc>
        <w:tc>
          <w:tcPr>
            <w:tcW w:type="dxa" w:w="2493"/>
          </w:tcPr>
          <w:p>
            <w:pPr>
              <w:jc w:val="center"/>
            </w:pPr>
            <w:r>
              <w:rPr>
                <w:rFonts w:ascii="Calibri" w:hAnsi="Calibri"/>
                <w:b/>
                <w:i w:val="0"/>
                <w:color w:val="007A87"/>
                <w:sz w:val="18"/>
              </w:rPr>
              <w:t>PRE MANDATE</w:t>
            </w:r>
          </w:p>
        </w:tc>
        <w:tc>
          <w:tcPr>
            <w:tcW w:type="dxa" w:w="2493"/>
          </w:tcPr>
          <w:p>
            <w:r>
              <w:rPr>
                <w:sz w:val="20"/>
              </w:rPr>
              <w:t>KAVI: Pre-mandate stage: The borrower (e.g., NTPC wanting ₹8,000 crore for a solar project) approaches several banks with a financing request. Each interested bank prepares a pitch, proposing loan structure, interest rate, fees, and syndication strategy. The borrower selects one bank (or a small group) as the Mandated Lead Arranger — the bank that will run the syndication. The MLA issues a mandate letter — the formal agreement to arrange the financing.</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Credit analysis screen: financial model, credit memo, credit committee presentation.</w:t>
            </w:r>
          </w:p>
        </w:tc>
        <w:tc>
          <w:tcPr>
            <w:tcW w:type="dxa" w:w="2493"/>
          </w:tcPr>
          <w:p>
            <w:pPr>
              <w:jc w:val="center"/>
            </w:pPr>
            <w:r>
              <w:rPr>
                <w:rFonts w:ascii="Calibri" w:hAnsi="Calibri"/>
                <w:b/>
                <w:i w:val="0"/>
                <w:color w:val="007A87"/>
                <w:sz w:val="18"/>
              </w:rPr>
              <w:t>CREDIT APPROVAL</w:t>
            </w:r>
          </w:p>
        </w:tc>
        <w:tc>
          <w:tcPr>
            <w:tcW w:type="dxa" w:w="2493"/>
          </w:tcPr>
          <w:p>
            <w:r>
              <w:rPr>
                <w:sz w:val="20"/>
              </w:rPr>
              <w:t>ARIA: Credit approval: the MLA's credit team conducts detailed analysis of the borrower: financial statements review (3–5 years). cash flow projections. debt service coverage ratio (DSCR). collateral valuation (if secured). management quality assessment. A credit memo is prepared and presented to the bank's credit committee. Only after credit committee approval can the MLA proceed to syndication. This protects the bank — no commitment to market before internal risk assessment is complete.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Term sheet document: loan amount, tenor, rate (MCLR + spread or SOFR + spread for ECB), fees, covenants.</w:t>
            </w:r>
          </w:p>
        </w:tc>
        <w:tc>
          <w:tcPr>
            <w:tcW w:type="dxa" w:w="2493"/>
          </w:tcPr>
          <w:p>
            <w:pPr>
              <w:jc w:val="center"/>
            </w:pPr>
            <w:r>
              <w:rPr>
                <w:rFonts w:ascii="Calibri" w:hAnsi="Calibri"/>
                <w:b/>
                <w:i w:val="0"/>
                <w:color w:val="007A87"/>
                <w:sz w:val="18"/>
              </w:rPr>
              <w:t>TERM SHEET SYNDICATION</w:t>
            </w:r>
          </w:p>
        </w:tc>
        <w:tc>
          <w:tcPr>
            <w:tcW w:type="dxa" w:w="2493"/>
          </w:tcPr>
          <w:p>
            <w:r>
              <w:rPr>
                <w:sz w:val="20"/>
              </w:rPr>
              <w:t>RYO: Term sheet preparation and syndication: The MLA prepares an Information Memorandum (IM) — a comprehensive document describing the borrower, the loan structure, and the proposed terms. The IM is sent to potential syndicate banks. Each invited bank independently reviews the credit and decides how much to participate. Commitments are collected. If oversubscribed (more commitments than needed), the MLA scales back each bank's participation proportionally.</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Loan agreement document: 200+ pages. Conditions precedent checklist. Legal counsel review.</w:t>
            </w:r>
          </w:p>
        </w:tc>
        <w:tc>
          <w:tcPr>
            <w:tcW w:type="dxa" w:w="2493"/>
          </w:tcPr>
          <w:p>
            <w:pPr>
              <w:jc w:val="center"/>
            </w:pPr>
            <w:r>
              <w:rPr>
                <w:rFonts w:ascii="Calibri" w:hAnsi="Calibri"/>
                <w:b/>
                <w:i w:val="0"/>
                <w:color w:val="007A87"/>
                <w:sz w:val="18"/>
              </w:rPr>
              <w:t>DOCUMENTATION</w:t>
            </w:r>
          </w:p>
        </w:tc>
        <w:tc>
          <w:tcPr>
            <w:tcW w:type="dxa" w:w="2493"/>
          </w:tcPr>
          <w:p>
            <w:r>
              <w:rPr>
                <w:sz w:val="20"/>
              </w:rPr>
              <w:t>KAVI: Loan documentation: a syndicated loan agreement is a complex legal document — typically 150–300 pages. It covers: loan amount, drawdown mechanics, interest calculation (MCLR + spread, or for ECBs: SOFR + credit spread). representations and warranties by the borrower. financial covenants (minimum DSCR, maximum leverage ratio). events of default. The borrower's and all lenders' legal counsels review and negotiate the document. Closing conditions (conditions precedent) must be met before any money moves.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Closing day: all CPs signed off. First drawdown request submitted. Agent Bank processes disbursement to all lenders.</w:t>
            </w:r>
          </w:p>
        </w:tc>
        <w:tc>
          <w:tcPr>
            <w:tcW w:type="dxa" w:w="2493"/>
          </w:tcPr>
          <w:p>
            <w:pPr>
              <w:jc w:val="center"/>
            </w:pPr>
            <w:r>
              <w:rPr>
                <w:rFonts w:ascii="Calibri" w:hAnsi="Calibri"/>
                <w:b/>
                <w:i w:val="0"/>
                <w:color w:val="007A87"/>
                <w:sz w:val="18"/>
              </w:rPr>
              <w:t>CLOSING DRAWDOWN</w:t>
            </w:r>
          </w:p>
        </w:tc>
        <w:tc>
          <w:tcPr>
            <w:tcW w:type="dxa" w:w="2493"/>
          </w:tcPr>
          <w:p>
            <w:r>
              <w:rPr>
                <w:sz w:val="20"/>
              </w:rPr>
              <w:t>ARIA: Closing and first drawdown: when all conditions precedent are satisfied (legal opinions received, security documents registered, insurance in place), the loan is declared 'closed.' The borrower submits a drawdown notice to the Agent Bank. The Agent Bank calls the funding: each syndicate bank transfers their participation amount to the Agent Bank's account. The Agent Bank disburses the full loan amount to the borrower. RYO: Operations at the Agent Bank must carefully process each lender's participation amount, verify compliance with the loan agreement, and maintain the syndicate register.</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Syndication process summary diagram.</w:t>
            </w:r>
          </w:p>
        </w:tc>
        <w:tc>
          <w:tcPr>
            <w:tcW w:type="dxa" w:w="2493"/>
          </w:tcPr>
          <w:p>
            <w:pPr>
              <w:jc w:val="center"/>
            </w:pPr>
            <w:r>
              <w:rPr>
                <w:rFonts w:ascii="Calibri" w:hAnsi="Calibri"/>
                <w:b/>
                <w:i w:val="0"/>
                <w:color w:val="007A87"/>
                <w:sz w:val="18"/>
              </w:rPr>
              <w:t>RECAP D2 10 V2</w:t>
            </w:r>
          </w:p>
        </w:tc>
        <w:tc>
          <w:tcPr>
            <w:tcW w:type="dxa" w:w="2493"/>
          </w:tcPr>
          <w:p>
            <w:r>
              <w:rPr>
                <w:sz w:val="20"/>
              </w:rPr>
              <w:t>KAVI: Syndication stages: Pre-mandate → Credit approval → Term sheet → IM → Commitments → Documentation → Closing → Drawdown. ARIA: The Agent Bank's operations team is the administrative hub — managing all cash flows, notices, and records throughout the loan's life. In Video 3: loan servicing and the reconciliation processes that keep a syndicated loan running smoothly post-closing.</w:t>
            </w:r>
          </w:p>
        </w:tc>
      </w:tr>
    </w:tbl>
    <w:p/>
    <w:p>
      <w:r>
        <w:rPr>
          <w:rFonts w:ascii="Calibri" w:hAnsi="Calibri"/>
          <w:b/>
          <w:i w:val="0"/>
          <w:color w:val="007A87"/>
          <w:sz w:val="20"/>
        </w:rPr>
        <w:t xml:space="preserve">▶ Transition: </w:t>
      </w:r>
      <w:r>
        <w:rPr>
          <w:rFonts w:ascii="Calibri" w:hAnsi="Calibri"/>
          <w:b w:val="0"/>
          <w:i/>
          <w:color w:val="404040"/>
          <w:sz w:val="20"/>
        </w:rPr>
        <w:t>Next — D2.10 Video 3: Loan Servicing and Reconciliation</w:t>
      </w:r>
    </w:p>
    <w:p>
      <w:r>
        <w:br w:type="page"/>
      </w:r>
    </w:p>
    <w:p>
      <w:pPr>
        <w:spacing w:before="120"/>
        <w:shd w:val="clear" w:color="auto" w:fill="101C4F"/>
      </w:pPr>
      <w:r>
        <w:rPr>
          <w:rFonts w:ascii="Calibri" w:hAnsi="Calibri"/>
          <w:b/>
          <w:i w:val="0"/>
          <w:color w:val="FFFFFF"/>
          <w:sz w:val="24"/>
        </w:rPr>
        <w:t xml:space="preserve">  D2.10: Loan Syndication and Lending Operations  —  Video 3 of 3</w:t>
      </w:r>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D2.10</w:t>
            </w:r>
          </w:p>
        </w:tc>
      </w:tr>
      <w:tr>
        <w:tc>
          <w:tcPr>
            <w:tcW w:type="dxa" w:w="4986"/>
            <w:shd w:val="clear" w:color="auto" w:fill="007A87"/>
          </w:tcPr>
          <w:p>
            <w:r>
              <w:rPr>
                <w:rFonts w:ascii="Calibri" w:hAnsi="Calibri"/>
                <w:b/>
                <w:i w:val="0"/>
                <w:color w:val="FFFFFF"/>
                <w:sz w:val="20"/>
              </w:rPr>
              <w:t>UOR Title</w:t>
            </w:r>
          </w:p>
        </w:tc>
        <w:tc>
          <w:tcPr>
            <w:tcW w:type="dxa" w:w="4986"/>
          </w:tcPr>
          <w:p>
            <w:r>
              <w:rPr>
                <w:sz w:val="20"/>
              </w:rPr>
              <w:t>Loan Syndication and Lending Operations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the loan syndication structure, the lifecycle from origination to loan servicing, and the reconciliation processes specific to lending operations.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loan servicing events to cash flow management and reconciliation in lending operations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ongoing loan servicing process, explain key servicing events, and relate loan reconciliation to the ClearPar system used in syndication operations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D2.10 Video 2: Syndication Process</w:t>
            </w:r>
          </w:p>
        </w:tc>
      </w:tr>
      <w:tr>
        <w:tc>
          <w:tcPr>
            <w:tcW w:type="dxa" w:w="4986"/>
            <w:shd w:val="clear" w:color="auto" w:fill="007A87"/>
          </w:tcPr>
          <w:p>
            <w:r>
              <w:rPr>
                <w:rFonts w:ascii="Calibri" w:hAnsi="Calibri"/>
                <w:b/>
                <w:i w:val="0"/>
                <w:color w:val="FFFFFF"/>
                <w:sz w:val="20"/>
              </w:rPr>
              <w:t>Next UOR</w:t>
            </w:r>
          </w:p>
        </w:tc>
        <w:tc>
          <w:tcPr>
            <w:tcW w:type="dxa" w:w="4986"/>
          </w:tcPr>
          <w:p>
            <w:r>
              <w:rPr>
                <w:sz w:val="20"/>
              </w:rPr>
              <w:t>Module D3 (next module)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Loan administration screen: multiple borrowers, payment schedules, interest rate schedules.</w:t>
            </w:r>
          </w:p>
        </w:tc>
        <w:tc>
          <w:tcPr>
            <w:tcW w:type="dxa" w:w="2493"/>
          </w:tcPr>
          <w:p>
            <w:pPr>
              <w:jc w:val="center"/>
            </w:pPr>
            <w:r>
              <w:rPr>
                <w:rFonts w:ascii="Calibri" w:hAnsi="Calibri"/>
                <w:b/>
                <w:i w:val="0"/>
                <w:color w:val="007A87"/>
                <w:sz w:val="18"/>
              </w:rPr>
              <w:t>SERVICING INTRO</w:t>
            </w:r>
          </w:p>
        </w:tc>
        <w:tc>
          <w:tcPr>
            <w:tcW w:type="dxa" w:w="2493"/>
          </w:tcPr>
          <w:p>
            <w:r>
              <w:rPr>
                <w:sz w:val="20"/>
              </w:rPr>
              <w:t>RYO: Once a syndicated loan closes, the Agent Bank manages the loan for its entire life — which can be 3 to 20+ years. This is loan servicing: the ongoing administration of all cash flows, notices, amendments, and reporting for the loan. It is a critical and complex operations function.</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Interest calculation screen: MCLR/SOFR + spread, day count (Actual/365), accrual period, payment amount.</w:t>
            </w:r>
          </w:p>
        </w:tc>
        <w:tc>
          <w:tcPr>
            <w:tcW w:type="dxa" w:w="2493"/>
          </w:tcPr>
          <w:p>
            <w:pPr>
              <w:jc w:val="center"/>
            </w:pPr>
            <w:r>
              <w:rPr>
                <w:rFonts w:ascii="Calibri" w:hAnsi="Calibri"/>
                <w:b/>
                <w:i w:val="0"/>
                <w:color w:val="007A87"/>
                <w:sz w:val="18"/>
              </w:rPr>
              <w:t>INTEREST PAYMENT</w:t>
            </w:r>
          </w:p>
        </w:tc>
        <w:tc>
          <w:tcPr>
            <w:tcW w:type="dxa" w:w="2493"/>
          </w:tcPr>
          <w:p>
            <w:r>
              <w:rPr>
                <w:sz w:val="20"/>
              </w:rPr>
              <w:t>KAVI: Key servicing events — Interest payment: On each interest payment date, the Agent Bank: Determines the applicable interest rate (floating rate loans reset periodically — typically quarterly). Calculates interest = Rate × Outstanding Principal × (Days / 365). Notifies the borrower of the amount due. Collects the interest payment from the borrower. Distributes each lender's pro-rata share to their accounts. Issues payment confirmations to all syndicate members.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Amortization schedule: scheduled principal repayments. Agent Bank processing repayment and updating outstanding balance.</w:t>
            </w:r>
          </w:p>
        </w:tc>
        <w:tc>
          <w:tcPr>
            <w:tcW w:type="dxa" w:w="2493"/>
          </w:tcPr>
          <w:p>
            <w:pPr>
              <w:jc w:val="center"/>
            </w:pPr>
            <w:r>
              <w:rPr>
                <w:rFonts w:ascii="Calibri" w:hAnsi="Calibri"/>
                <w:b/>
                <w:i w:val="0"/>
                <w:color w:val="007A87"/>
                <w:sz w:val="18"/>
              </w:rPr>
              <w:t>PRINCIPAL REPAYMENT</w:t>
            </w:r>
          </w:p>
        </w:tc>
        <w:tc>
          <w:tcPr>
            <w:tcW w:type="dxa" w:w="2493"/>
          </w:tcPr>
          <w:p>
            <w:r>
              <w:rPr>
                <w:sz w:val="20"/>
              </w:rPr>
              <w:t>ARIA: Principal repayment: Term loans are typically repaid in scheduled installments — quarterly or semi-annual amortization. The Agent Bank: receives the principal repayment from the borrower. distributes each lender's pro-rata share. updates the loan's outstanding balance register. Prepayments — if the borrower repays early — require calculation of any prepayment fees and immediate redistribution to lenders. The Agent Bank maintains the definitive record of each lender's outstanding commitment and participation.</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Financial covenant dashboard: DSCR, leverage ratio shown. Traffic light indicators: green, amber, red.</w:t>
            </w:r>
          </w:p>
        </w:tc>
        <w:tc>
          <w:tcPr>
            <w:tcW w:type="dxa" w:w="2493"/>
          </w:tcPr>
          <w:p>
            <w:pPr>
              <w:jc w:val="center"/>
            </w:pPr>
            <w:r>
              <w:rPr>
                <w:rFonts w:ascii="Calibri" w:hAnsi="Calibri"/>
                <w:b/>
                <w:i w:val="0"/>
                <w:color w:val="007A87"/>
                <w:sz w:val="18"/>
              </w:rPr>
              <w:t>COVENANT MONITORING</w:t>
            </w:r>
          </w:p>
        </w:tc>
        <w:tc>
          <w:tcPr>
            <w:tcW w:type="dxa" w:w="2493"/>
          </w:tcPr>
          <w:p>
            <w:r>
              <w:rPr>
                <w:sz w:val="20"/>
              </w:rPr>
              <w:t>RYO: Covenant monitoring: the Agent Bank (or a dedicated covenant monitoring service) tracks the borrower's compliance with financial covenants quarterly. If a covenant is breached (e.g., DSCR falls below the minimum), the Agent Bank notifies all lenders — triggering a waiver process or potentially declaring an event of default. Operations must maintain precise records of all covenants, test dates, and borrower-submitted compliance certificates.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ClearPar platform screen: syndicated loan trade settlement, transfer of loan participations between banks.</w:t>
            </w:r>
          </w:p>
        </w:tc>
        <w:tc>
          <w:tcPr>
            <w:tcW w:type="dxa" w:w="2493"/>
          </w:tcPr>
          <w:p>
            <w:pPr>
              <w:jc w:val="center"/>
            </w:pPr>
            <w:r>
              <w:rPr>
                <w:rFonts w:ascii="Calibri" w:hAnsi="Calibri"/>
                <w:b/>
                <w:i w:val="0"/>
                <w:color w:val="007A87"/>
                <w:sz w:val="18"/>
              </w:rPr>
              <w:t>CLEARPAR</w:t>
            </w:r>
          </w:p>
        </w:tc>
        <w:tc>
          <w:tcPr>
            <w:tcW w:type="dxa" w:w="2493"/>
          </w:tcPr>
          <w:p>
            <w:r>
              <w:rPr>
                <w:sz w:val="20"/>
              </w:rPr>
              <w:t>KAVI: ClearPar is the technology platform widely used for syndicated loan settlement — particularly in the US and increasingly in India. ClearPar automates: settlement of loan participation transfers between banks (when a bank sells its loan participation to another bank on the secondary market). allocation of fundings and repayments. documentation management. In India, SBI Capital Markets and major arranger banks use ClearPar-compatible systems for cross-border syndicated loans and ECBs.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Loan reconciliation: Agent Bank's records vs each lender's own records. Discrepancies in outstanding balance or interest due.</w:t>
            </w:r>
          </w:p>
        </w:tc>
        <w:tc>
          <w:tcPr>
            <w:tcW w:type="dxa" w:w="2493"/>
          </w:tcPr>
          <w:p>
            <w:pPr>
              <w:jc w:val="center"/>
            </w:pPr>
            <w:r>
              <w:rPr>
                <w:rFonts w:ascii="Calibri" w:hAnsi="Calibri"/>
                <w:b/>
                <w:i w:val="0"/>
                <w:color w:val="007A87"/>
                <w:sz w:val="18"/>
              </w:rPr>
              <w:t>LOAN RECON</w:t>
            </w:r>
          </w:p>
        </w:tc>
        <w:tc>
          <w:tcPr>
            <w:tcW w:type="dxa" w:w="2493"/>
          </w:tcPr>
          <w:p>
            <w:r>
              <w:rPr>
                <w:sz w:val="20"/>
              </w:rPr>
              <w:t>ARIA: Loan reconciliation: each syndicate bank maintains its own internal records of the loan (outstanding balance, accrued interest, fees). These must be reconciled against the Agent Bank's definitive records — the source of truth. Common reconciliation breaks: timing differences on interest payment receipt. Rounding differences on interest calculation. Discrepancies on prepayment amounts. Disagreements on amendment effective dates. RYO: Regular recon calls between the Agent Bank and syndicate members — especially at quarter-end — are standard practice to ensure all participants' books are aligned.</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Full Module D2 summary graphic: 10 UORs, key topics, core skills.</w:t>
            </w:r>
          </w:p>
        </w:tc>
        <w:tc>
          <w:tcPr>
            <w:tcW w:type="dxa" w:w="2493"/>
          </w:tcPr>
          <w:p>
            <w:pPr>
              <w:jc w:val="center"/>
            </w:pPr>
            <w:r>
              <w:rPr>
                <w:rFonts w:ascii="Calibri" w:hAnsi="Calibri"/>
                <w:b/>
                <w:i w:val="0"/>
                <w:color w:val="007A87"/>
                <w:sz w:val="18"/>
              </w:rPr>
              <w:t>MODULE RECAP</w:t>
            </w:r>
          </w:p>
        </w:tc>
        <w:tc>
          <w:tcPr>
            <w:tcW w:type="dxa" w:w="2493"/>
          </w:tcPr>
          <w:p>
            <w:r>
              <w:rPr>
                <w:sz w:val="20"/>
              </w:rPr>
              <w:t>KAVI: Congratulations — that completes Module D2: Securities Operations. We've covered the full landscape: from STO structure and reference data, through exchange and OTC trade lifecycles, settlement, custody, reconciliation, and lending operations. RYO: These are the core operational skills that every investment banking operations professional needs — regardless of which asset class or desk they work on. The principles of accuracy, timeliness, and control are universal. Onwards to the next module!</w:t>
            </w:r>
          </w:p>
        </w:tc>
      </w:tr>
    </w:tbl>
    <w:p/>
    <w:p>
      <w:r>
        <w:rPr>
          <w:rFonts w:ascii="Calibri" w:hAnsi="Calibri"/>
          <w:b/>
          <w:i w:val="0"/>
          <w:color w:val="007A87"/>
          <w:sz w:val="20"/>
        </w:rPr>
        <w:t xml:space="preserve">▶ Transition: </w:t>
      </w:r>
      <w:r>
        <w:rPr>
          <w:rFonts w:ascii="Calibri" w:hAnsi="Calibri"/>
          <w:b w:val="0"/>
          <w:i/>
          <w:color w:val="404040"/>
          <w:sz w:val="20"/>
        </w:rPr>
        <w:t>Next — Module D3 (next module)</w:t>
      </w:r>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