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Calibri" w:cs="Calibri" w:eastAsia="Calibri" w:hAnsi="Calibri"/>
          <w:b/>
          <w:bCs/>
          <w:i w:val="false"/>
          <w:iCs w:val="false"/>
          <w:color w:val="1E3A5F"/>
          <w:sz w:val="32"/>
          <w:szCs w:val="32"/>
        </w:rPr>
        <w:t xml:space="preserve">CIBOP  |  Derivatives – Forwards, Futures, CFD, FRA &amp; MLN</w:t>
      </w:r>
    </w:p>
    <w:p>
      <w:pPr>
        <w:spacing w:after="120" w:before="0"/>
        <w:jc w:val="center"/>
      </w:pPr>
      <w:r>
        <w:rPr>
          <w:rFonts w:ascii="Calibri" w:cs="Calibri" w:eastAsia="Calibri" w:hAnsi="Calibri"/>
          <w:b/>
          <w:bCs/>
          <w:i w:val="false"/>
          <w:iCs w:val="false"/>
          <w:color w:val="8B6914"/>
          <w:sz w:val="26"/>
          <w:szCs w:val="26"/>
        </w:rPr>
        <w:t xml:space="preserve">KNOWLEDGE ASSESSMENT</w:t>
      </w:r>
    </w:p>
    <w:p>
      <w:pPr>
        <w:spacing w:after="2880" w:before="0"/>
        <w:jc w:val="center"/>
      </w:pPr>
      <w:r>
        <w:rPr>
          <w:rFonts w:ascii="Calibri" w:cs="Calibri" w:eastAsia="Calibri" w:hAnsi="Calibri"/>
          <w:b w:val="false"/>
          <w:bCs w:val="false"/>
          <w:i w:val="false"/>
          <w:iCs w:val="false"/>
          <w:color w:val="1A1A1A"/>
          <w:sz w:val="20"/>
          <w:szCs w:val="20"/>
        </w:rPr>
        <w:t xml:space="preserve">Module 5  |  UORs DER.1 – DER.12  |  48 Questions  |  Mixed Question Types</w:t>
      </w:r>
    </w:p>
    <w:p>
      <w:r>
        <w:br w:type="page"/>
      </w:r>
    </w:p>
    <w:p>
      <w:pPr>
        <w:spacing w:after="120" w:before="0"/>
        <w:jc w:val="left"/>
      </w:pPr>
      <w:r>
        <w:rPr>
          <w:rFonts w:ascii="Calibri" w:cs="Calibri" w:eastAsia="Calibri" w:hAnsi="Calibri"/>
          <w:b/>
          <w:bCs/>
          <w:i w:val="false"/>
          <w:iCs w:val="false"/>
          <w:color w:val="1E3A5F"/>
          <w:sz w:val="24"/>
          <w:szCs w:val="24"/>
        </w:rPr>
        <w:t xml:space="preserve">QUESTION TYPE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70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Select the single best answer from 4 options.</w:t>
            </w:r>
          </w:p>
        </w:tc>
      </w:tr>
      <w:tr>
        <w:tc>
          <w:tcPr>
            <w:tcW w:type="dxa" w:w="2340"/>
            <w:tcBorders>
              <w:top w:val="single" w:color="CCCCCC" w:sz="1"/>
              <w:left w:val="single" w:color="CCCCCC" w:sz="1"/>
              <w:bottom w:val="single" w:color="CCCCCC" w:sz="1"/>
              <w:right w:val="single" w:color="CCCCCC" w:sz="1"/>
            </w:tcBorders>
            <w:shd w:fill="D4EFEF"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Mark 4 statements as True or False.</w:t>
            </w:r>
          </w:p>
        </w:tc>
      </w:tr>
      <w:tr>
        <w:tc>
          <w:tcPr>
            <w:tcW w:type="dxa" w:w="23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Choose the correct word for each blank.</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Match each item in Column A to Column B.</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Classify or identify items in a table.</w:t>
            </w:r>
          </w:p>
        </w:tc>
      </w:tr>
    </w:tbl>
    <w:p>
      <w:r>
        <w:br w:type="pag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DER.1  |  What Is a Derivative &amp; Key Concepts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 · Video 1 — Identifying Derivatives and Their Underlyings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Which of the following BEST defines a derivative?</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A financial instrument that pays a fixed return regardless of market conditions</w:t>
            </w:r>
          </w:p>
          <w:p>
            <w:pPr>
              <w:spacing w:after="60"/>
              <w:jc w:val="left"/>
            </w:pPr>
            <w:r>
              <w:rPr>
                <w:rFonts w:ascii="Calibri" w:cs="Calibri" w:eastAsia="Calibri" w:hAnsi="Calibri"/>
                <w:b w:val="false"/>
                <w:bCs w:val="false"/>
                <w:i w:val="false"/>
                <w:iCs w:val="false"/>
                <w:color w:val="1A1A1A"/>
                <w:sz w:val="18"/>
                <w:szCs w:val="18"/>
              </w:rPr>
              <w:t xml:space="preserve">B)  A financial contract whose value is derived from the value of an underlying asset</w:t>
            </w:r>
          </w:p>
          <w:p>
            <w:pPr>
              <w:spacing w:after="60"/>
              <w:jc w:val="left"/>
            </w:pPr>
            <w:r>
              <w:rPr>
                <w:rFonts w:ascii="Calibri" w:cs="Calibri" w:eastAsia="Calibri" w:hAnsi="Calibri"/>
                <w:b w:val="false"/>
                <w:bCs w:val="false"/>
                <w:i w:val="false"/>
                <w:iCs w:val="false"/>
                <w:color w:val="1A1A1A"/>
                <w:sz w:val="18"/>
                <w:szCs w:val="18"/>
              </w:rPr>
              <w:t xml:space="preserve">C)  A government bond that is linked to inflation</w:t>
            </w:r>
          </w:p>
          <w:p>
            <w:pPr>
              <w:spacing w:after="0"/>
              <w:jc w:val="left"/>
            </w:pPr>
            <w:r>
              <w:rPr>
                <w:rFonts w:ascii="Calibri" w:cs="Calibri" w:eastAsia="Calibri" w:hAnsi="Calibri"/>
                <w:b w:val="false"/>
                <w:bCs w:val="false"/>
                <w:i w:val="false"/>
                <w:iCs w:val="false"/>
                <w:color w:val="1A1A1A"/>
                <w:sz w:val="18"/>
                <w:szCs w:val="18"/>
              </w:rPr>
              <w:t xml:space="preserve">D)  An equity share issued in the primary market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A derivative derives its value entirely from an underlying asset — equity, bond, FX rate, commodity, or even another derivative. It has no intrinsic value of its own; it is a contract about something else's value.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 derivative is a financial contract between two parties. Its cash flows, its payoff, its entire reason for existing — all of it depends on the value of something else."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 · Video 1 — Identifying Derivatives and Their Underlyings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each statement about derivative underlyings: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underlying of a derivative can be a non-financial asset such as a commodity or weather index.</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derivative can be written on another derivative as its underlying.</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Derivatives on weather indices are not used in practice — they are theoretical constructs only.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value of a derivative changes in response to changes in the value of its underlying.</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True, False,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Weather derivatives are actively traded — energy companies and insurers use temperature indices as underlyings to hedge revenue risk. Derivatives on derivatives (such as options on futures) are standard market instruments. All other statements are correct.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underlying asset may be somewhere completely different from the derivative contract."</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 · Video 2 — Leverage &amp; Notional Value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In derivatives, ___[1]___ allows a trader to control a ___[2]___ position than the capital actually invested. The ___[3]___ value represents the total exposure implied by the contract, calculated as number of contracts × lot size × ___[4]___.</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settlement   |   leverage   |   novation   |   mark-to-market</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smaller   |   larger   |   identical   |   risk-free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present   |   fair   |   notional   |   intrinsic</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margin rate   |   contract price   |   risk-free rate   |   interest rate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leverage  |  [2] larger  |  [3] notional  |  [4] contract price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Leverage is the mechanism by which a small margin deposit controls a large position. Notional value = contracts × lot size × price — it represents the full economic exposure, not just the capital invested.</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"With a relatively small initial outlay — the margin or premium — a trader can control a much larger position in the underlying asset."</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 · Video 2 — Leverage &amp; Notional Value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Spot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upfront deposit required to open a derivatives position</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Notional Value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current market price of the underlying asset in the cash market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Leverage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total value of the position implied by the derivative contract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Initial Margin</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mechanism by which small capital controls large market exposure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Spot Price → current market price; Notional Value → total position value; Leverage → small capital controls large exposure; Initial Margin → upfront deposit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Each term has a precise definition. Notional value measures exposure, not capital at risk. Initial margin is the entry cost to open the position, not the full contract value.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notional value is the total dollar value of the position implied by the derivative contract. It is not the cash invested — it is what the contract controls."</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DER.2  |  Contract Terms — Settlement, Expiry &amp; Lot Size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DER.2 · Video 1 — Lot Size, Settlement &amp; Expiry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On NSE, the lot size for a Reliance Industries futures contract is 250. A trader buys 4 contracts when Reliance is trading at ₹2,400. What is the total notional value of the trader's position?</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₹2,400</w:t>
            </w:r>
          </w:p>
          <w:p>
            <w:pPr>
              <w:spacing w:after="60"/>
              <w:jc w:val="left"/>
            </w:pPr>
            <w:r>
              <w:rPr>
                <w:rFonts w:ascii="Calibri" w:cs="Calibri" w:eastAsia="Calibri" w:hAnsi="Calibri"/>
                <w:b w:val="false"/>
                <w:bCs w:val="false"/>
                <w:i w:val="false"/>
                <w:iCs w:val="false"/>
                <w:color w:val="1A1A1A"/>
                <w:sz w:val="18"/>
                <w:szCs w:val="18"/>
              </w:rPr>
              <w:t xml:space="preserve">B)  ₹9,600</w:t>
            </w:r>
          </w:p>
          <w:p>
            <w:pPr>
              <w:spacing w:after="60"/>
              <w:jc w:val="left"/>
            </w:pPr>
            <w:r>
              <w:rPr>
                <w:rFonts w:ascii="Calibri" w:cs="Calibri" w:eastAsia="Calibri" w:hAnsi="Calibri"/>
                <w:b w:val="false"/>
                <w:bCs w:val="false"/>
                <w:i w:val="false"/>
                <w:iCs w:val="false"/>
                <w:color w:val="1A1A1A"/>
                <w:sz w:val="18"/>
                <w:szCs w:val="18"/>
              </w:rPr>
              <w:t xml:space="preserve">C)  ₹6,00,000</w:t>
            </w:r>
          </w:p>
          <w:p>
            <w:pPr>
              <w:spacing w:after="0"/>
              <w:jc w:val="left"/>
            </w:pPr>
            <w:r>
              <w:rPr>
                <w:rFonts w:ascii="Calibri" w:cs="Calibri" w:eastAsia="Calibri" w:hAnsi="Calibri"/>
                <w:b w:val="false"/>
                <w:bCs w:val="false"/>
                <w:i w:val="false"/>
                <w:iCs w:val="false"/>
                <w:color w:val="1A1A1A"/>
                <w:sz w:val="18"/>
                <w:szCs w:val="18"/>
              </w:rPr>
              <w:t xml:space="preserve">D)  ₹24,00,000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Notional value = contracts × lot size × price = 4 × 250 × ₹2,400 = ₹24,00,000. The lot size is critical — 4 contracts represent exposure to 1,000 shares, not 4 shares.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"One contract equals one lot. For Reliance on NSE, the lot size is currently 250 shares. One contract gives you exposure to 250 Reliance shares."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DER.2 · Video 2 — Settlement Date vs Expiry Date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each statement about expiry date and settlement date in derivatives: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expiry date and settlement date are always the same calendar day in all derivative contracts.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For NSE equity futures, expiry is the last Thursday of the expiry month.</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After the expiry date, no new positions can be opened in that contract.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settlement date is when actual cash or physical delivery obligations are completed.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False, True, True,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Expiry and settlement dates can differ — for Indian equity futures, expiry is the last Thursday and final settlement typically occurs the following business day. After expiry, the contract no longer exists and cannot be traded.</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"For equity futures on NSE, the expiry is the last Thursday. Final mark-to-market settlement — the last daily P&amp;L — settles the following business day."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DER.2 · Video 1 — Lot Size, Settlement &amp; Expiry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The ___[1]___ is the standardised quantity of the underlying asset in one futures contract, set by the ___[2]___. The ___[3]___ is the last day the contract is valid, while the ___[4]___ is when the actual financial obligations are completed.</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contract price   |   lot size   |   notional value   |   tick size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regulator   |   clearing corporation   |   exchange   |   broker</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settlement date   |   expiry date   |   trade date   |   value date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expiry date   |   settlement date   |   trade date   |   margin date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lot size  |  [2] exchange  |  [3] expiry date  |  [4] settlement date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Lot size is exchange-defined and standardised. The expiry date ends trading; the settlement date completes obligations — these are distinct events, potentially on different calendar days.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contract lot is the standardised quantity of the underlying asset that one futures or options contract represents. The exchange sets this."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DER.2 · Video 2 — Settlement Date vs Expiry Date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CONTRACT TERM</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EXPIRY DATE</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SETTLEMENT 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Last day a contract can be traded or new positions opened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Day on which cash P&amp;L or physical delivery obligations are completed</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For NSE equity futures: last Thursday of the contract 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For NSE equity futures: the business day after expiry</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Last day traded → Expiry Date; Cash/delivery obligations → Settlement Date; Last Thursday → Expiry Date; Business day after → Settlement Date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These two dates serve different functions. Expiry ends the trading window; settlement completes the financial obligation. Confusing them creates settlement failures.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"Always confirm BOTH expiry AND settlement date. Different instruments, different rules. Never assume they are identical."</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DER.3  |  Uses of Derivatives — Hedging vs Speculation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DER.3 · Video 1 — Identifying Hedgers and Speculators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wheat farmer enters a forward contract to sell 1,000 bushels at $5 per bushel in six months. His purpose is to protect income if wheat prices fall. This participant is BEST classified as:</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A speculator — because they are using derivatives</w:t>
            </w:r>
          </w:p>
          <w:p>
            <w:pPr>
              <w:spacing w:after="60"/>
              <w:jc w:val="left"/>
            </w:pPr>
            <w:r>
              <w:rPr>
                <w:rFonts w:ascii="Calibri" w:cs="Calibri" w:eastAsia="Calibri" w:hAnsi="Calibri"/>
                <w:b w:val="false"/>
                <w:bCs w:val="false"/>
                <w:i w:val="false"/>
                <w:iCs w:val="false"/>
                <w:color w:val="1A1A1A"/>
                <w:sz w:val="18"/>
                <w:szCs w:val="18"/>
              </w:rPr>
              <w:t xml:space="preserve">B)  An arbitrageur — because they are pricing a future delivery</w:t>
            </w:r>
          </w:p>
          <w:p>
            <w:pPr>
              <w:spacing w:after="60"/>
              <w:jc w:val="left"/>
            </w:pPr>
            <w:r>
              <w:rPr>
                <w:rFonts w:ascii="Calibri" w:cs="Calibri" w:eastAsia="Calibri" w:hAnsi="Calibri"/>
                <w:b w:val="false"/>
                <w:bCs w:val="false"/>
                <w:i w:val="false"/>
                <w:iCs w:val="false"/>
                <w:color w:val="1A1A1A"/>
                <w:sz w:val="18"/>
                <w:szCs w:val="18"/>
              </w:rPr>
              <w:t xml:space="preserve">C)  A hedger — because they have existing price exposure they are offsetting</w:t>
            </w:r>
          </w:p>
          <w:p>
            <w:pPr>
              <w:spacing w:after="0"/>
              <w:jc w:val="left"/>
            </w:pPr>
            <w:r>
              <w:rPr>
                <w:rFonts w:ascii="Calibri" w:cs="Calibri" w:eastAsia="Calibri" w:hAnsi="Calibri"/>
                <w:b w:val="false"/>
                <w:bCs w:val="false"/>
                <w:i w:val="false"/>
                <w:iCs w:val="false"/>
                <w:color w:val="1A1A1A"/>
                <w:sz w:val="18"/>
                <w:szCs w:val="18"/>
              </w:rPr>
              <w:t xml:space="preserve">D)  A market maker — because they are providing liquidity to the forward market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A hedger has existing underlying exposure (the farmer owns wheat and faces price risk) and uses the derivative to reduce that risk by locking in a price. The derivative offsets pre-existing exposure — the defining characteristic of hedging.</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 hedger has an existing position or exposure in the underlying asset. They use derivatives to protect themselves against adverse price movements."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DER.3 · Video 1 — Identifying Hedgers and Speculators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British Airways buying jet fuel forward contracts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Speculation — no underlying fuel exposure, purely directional bet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hedge fund buying crude oil futures expecting prices to rise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Speculation — no underlying equity exposure, directional view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An Indian exporter selling USD forward to protect INR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Hedge — existing INR revenue exposure offset by forward USD sale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proprietary trading desk going long Nifty futures on a bullish view</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Hedge — existing fuel cost exposure offset by forward purchase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BA fuel forwards → Hedge; Hedge fund crude → Speculation; Exporter USD → Hedge; Prop desk Nifty → Speculation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key test: does the party have existing underlying exposure that the derivative offsets? Hedgers do; speculators do not. Both BA and the exporter have real business exposures being offset. The hedge fund and prop desk are expressing directional views with no underlying exposure.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"A speculator has no underlying position to protect. They are taking a view — a directional bet — on whether the price goes up or down."</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DER.3 · Video 2 — Differentiating Hedging vs Speculation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 following statements about hedging and speculation: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same futures contract can be either a hedge or a speculation depending on the participant's existing exposure.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hedger always profits from their derivative position because it reduces risk.</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Speculators perform an economically useful function by providing liquidity to hedgers.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hedge position always reduces the participant's total market risk.</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A hedger does NOT always profit on the derivative — if the hedge works, the derivative offsets a loss on the underlying position. The hedger's total position is protected, but the derivative itself may show a loss (the hedge offset a real-world loss). Speculators do provide essential liquidity.</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"Without speculators, who would take the other side of a farmer's hedge? The market needs risk-takers willing to absorb hedger positions."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DER.3 · Video 2 — Differentiating Hedging vs Speculation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hedger uses derivatives to ___[1]___ existing price risk, while a speculator uses derivatives to ___[2]___ directional risk. The key differentiating question is: does the participant have ___[3]___ exposure to the underlying that the derivative ___[4]___?</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create   |   reduce   |   amplify   |   transfer to exchange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reduce   |   eliminate   |   create   |   hedge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no   |   existing   |   theoretical   |   new</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creates   |   amplifies   |   offsets   |   increases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reduce  |  [2] create  |  [3] existing  |  [4] offsets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two-question test for hedging: (1) Is there existing underlying exposure? (2) Does the derivative reduce it? Both must be true for the position to be classified as a hedge. If either is false, it is speculation.</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"Does the derivative reduce or create their overall market risk? A hedge reduces it. A speculation creates it."</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DER.4  |  Types of Derivatives — ETD vs OTC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DER.4 · Video 1 — ETD vs OTC: Structural Features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Which of the following is the PRIMARY reason why exchange-traded derivatives carry no counterparty risk, while OTC derivatives do?</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ETDs are more liquid and therefore easier to price</w:t>
            </w:r>
          </w:p>
          <w:p>
            <w:pPr>
              <w:spacing w:after="60"/>
              <w:jc w:val="left"/>
            </w:pPr>
            <w:r>
              <w:rPr>
                <w:rFonts w:ascii="Calibri" w:cs="Calibri" w:eastAsia="Calibri" w:hAnsi="Calibri"/>
                <w:b w:val="false"/>
                <w:bCs w:val="false"/>
                <w:i w:val="false"/>
                <w:iCs w:val="false"/>
                <w:color w:val="1A1A1A"/>
                <w:sz w:val="18"/>
                <w:szCs w:val="18"/>
              </w:rPr>
              <w:t xml:space="preserve">B)  ETDs are regulated by SEBI while OTC derivatives are unregulated</w:t>
            </w:r>
          </w:p>
          <w:p>
            <w:pPr>
              <w:spacing w:after="60"/>
              <w:jc w:val="left"/>
            </w:pPr>
            <w:r>
              <w:rPr>
                <w:rFonts w:ascii="Calibri" w:cs="Calibri" w:eastAsia="Calibri" w:hAnsi="Calibri"/>
                <w:b w:val="false"/>
                <w:bCs w:val="false"/>
                <w:i w:val="false"/>
                <w:iCs w:val="false"/>
                <w:color w:val="1A1A1A"/>
                <w:sz w:val="18"/>
                <w:szCs w:val="18"/>
              </w:rPr>
              <w:t xml:space="preserve">C)  The clearing house novates ETD trades, becoming the legal counterparty to both buyer and seller</w:t>
            </w:r>
          </w:p>
          <w:p>
            <w:pPr>
              <w:spacing w:after="0"/>
              <w:jc w:val="left"/>
            </w:pPr>
            <w:r>
              <w:rPr>
                <w:rFonts w:ascii="Calibri" w:cs="Calibri" w:eastAsia="Calibri" w:hAnsi="Calibri"/>
                <w:b w:val="false"/>
                <w:bCs w:val="false"/>
                <w:i w:val="false"/>
                <w:iCs w:val="false"/>
                <w:color w:val="1A1A1A"/>
                <w:sz w:val="18"/>
                <w:szCs w:val="18"/>
              </w:rPr>
              <w:t xml:space="preserve">D)  ETD contracts have standardised expiry dates, which reduces uncertainty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Novation by the clearing house is the mechanism that eliminates counterparty risk in ETDs. The clearing house interposes itself between buyer and seller, guaranteeing settlement regardless of individual counterparty default. Standardisation and regulation are separate benefits.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clearing house interposes itself between buyer and seller, eliminating counterparty risk. You never know who the other side is — and you never need to."</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DER.4 · Video 1 — ETD vs OTC: Structural Features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FEATURE</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ETD</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Standardised contract terms set by exchange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Counterparty risk exists between the two trading parties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Clearing house novates every trade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Contract terms customised by bilateral negotiation</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NSE Nifty 50 Futures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USD/INR forward with a corporate client</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Standardised terms → ETD; Counterparty risk → OTC; Novation → ETD; Customised terms → OTC; NSE Nifty → ETD; USD/INR forward → OTC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ETDs have all terms standardised and CCP novation. OTC contracts are bilateral with customised terms and counterparty risk. This classification is fundamental to all derivatives operations.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"Exchange-traded derivatives are standardised. The exchange defines the contract. The clearing house interposes itself, eliminating counterparty risk."</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DER.4 · Video 2 — ETD vs OTC: Full Comparison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COMPARE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each statement comparing ETD and OTC derivatives: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OTC derivatives are generally more flexible than ETDs because all contract terms can be negotiated.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2008 financial crisis led to regulatory reforms requiring more OTC derivatives to be centrally cleared.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ETD operations is more complex than OTC operations because of standardised exchange confirmation files.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OTC derivatives require bilateral confirmation, ISDA documentation, and daily collateral management.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True, False,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ETD operations is SIMPLER — standardised exchange files, clearing corporation settlement infrastructure. OTC is significantly more complex — bilateral matching, ISDA agreements, CSA collateral management, manual reconciliation. The 2008 crisis led directly to central clearing mandates for OTC derivatives.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"OTC trades require bilateral confirmation, often through platforms like MarkitWire or Bloomberg. ISDA documentation governs the relationship. Collateral calls must be managed daily."</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DER.4 · Video 2 — ETD vs OTC: Full Comparison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COMPARE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ETDs offer high ___[1]___ because contracts are fungible and exchange-traded, while OTC derivatives offer ___[2]___ to match specific hedging needs. For operations, OTC derivatives require ___[3]___ confirmation and ___[4]___ documentation.</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customisation   |   liquidity   |   counterparty risk   |   complexity</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liquidity   |   complexity   |   customisation   |   standardisation</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exchange-based   |   bilateral   |   automated   |   daily</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SEBI   |   exchange   |   ISDA   |   RBI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liquidity  |  [2] customisation  |  [3] bilateral  |  [4] ISDA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ETD-OTC trade-off is liquidity vs customisation. Operations handles both but with entirely different infrastructure: ETD via exchange confirmation and CCP; OTC via bilateral ISDA-governed processes.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"OTC derivatives are privately negotiated. This flexibility is exactly why they exist. But the absence of a clearing house means both parties have credit risk to each other."</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DER.5  |  Forward Contracts — Concept &amp; Features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DER.5 · Video 1 — Forward Contract Structure &amp; Features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On trade date, KKR Hedge Fund enters a forward contract with Morgan Stanley to buy 50,000 Apple shares at $178 per share, settling in 4 months. Which statement CORRECTLY describes this transaction?</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KKR pays $8.9 million to Morgan Stanley on trade date</w:t>
            </w:r>
          </w:p>
          <w:p>
            <w:pPr>
              <w:spacing w:after="60"/>
              <w:jc w:val="left"/>
            </w:pPr>
            <w:r>
              <w:rPr>
                <w:rFonts w:ascii="Calibri" w:cs="Calibri" w:eastAsia="Calibri" w:hAnsi="Calibri"/>
                <w:b w:val="false"/>
                <w:bCs w:val="false"/>
                <w:i w:val="false"/>
                <w:iCs w:val="false"/>
                <w:color w:val="1A1A1A"/>
                <w:sz w:val="18"/>
                <w:szCs w:val="18"/>
              </w:rPr>
              <w:t xml:space="preserve">B)  No cash changes hands on trade date; $8.9 million settles in 4 months</w:t>
            </w:r>
          </w:p>
          <w:p>
            <w:pPr>
              <w:spacing w:after="60"/>
              <w:jc w:val="left"/>
            </w:pPr>
            <w:r>
              <w:rPr>
                <w:rFonts w:ascii="Calibri" w:cs="Calibri" w:eastAsia="Calibri" w:hAnsi="Calibri"/>
                <w:b w:val="false"/>
                <w:bCs w:val="false"/>
                <w:i w:val="false"/>
                <w:iCs w:val="false"/>
                <w:color w:val="1A1A1A"/>
                <w:sz w:val="18"/>
                <w:szCs w:val="18"/>
              </w:rPr>
              <w:t xml:space="preserve">C)  The exchange clearing house guarantees settlement on the value date</w:t>
            </w:r>
          </w:p>
          <w:p>
            <w:pPr>
              <w:spacing w:after="0"/>
              <w:jc w:val="left"/>
            </w:pPr>
            <w:r>
              <w:rPr>
                <w:rFonts w:ascii="Calibri" w:cs="Calibri" w:eastAsia="Calibri" w:hAnsi="Calibri"/>
                <w:b w:val="false"/>
                <w:bCs w:val="false"/>
                <w:i w:val="false"/>
                <w:iCs w:val="false"/>
                <w:color w:val="1A1A1A"/>
                <w:sz w:val="18"/>
                <w:szCs w:val="18"/>
              </w:rPr>
              <w:t xml:space="preserve">D)  KKR must post 100% of the notional value as initial margin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Forward contracts are deferred-settlement instruments. No cash flows on trade date. The agreed payment ($8.9 million) and delivery (50,000 shares) happen only on settlement date, 4 months later. There is no exchange CCP — it is bilateral.</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"No cash flows on trade date. The forward price of $350 is agreed today. On settlement date — three months later — the buyer pays and the seller delivers."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DER.5 · Video 1 — Forward Contract Structure &amp; Features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OTC Contract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date on which contractual obligations are fulfilled</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Bilateral Agreement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agreed future price at which the underlying will be exchanged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Counterparty Default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Each party bears credit risk to the other — no CCP guarantee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Customised Terms</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Contract traded privately, not on an exchange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Forward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Terms fully negotiated between two counterparties — not standardised</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Value Date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contract involving exactly two parties with direct mutual obligations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OTC → private not on exchange; Bilateral → two parties direct obligations; CCR → credit risk no CCP; Customised → fully negotiated; Forward Price → agreed future price; Value Date → obligations fulfilled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Each of these terms defines a key feature of forward contracts. All six together explain why forwards are powerful but carry structural risks absent from exchange-traded futures.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"Forward contracts have six defining features. OTC. Bilateral. Customised. Collateral optional. Default risk. Pricing depends on spot."</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DER.5 · Video 2 — Forward Pricing &amp; Settlement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Using the cost-of-carry formula F = S₀ × (1+r)^T, if the spot price is $1,000, the risk-free rate is 5%, and time to delivery is 6 months (T = 0.5), the forward price is approximately ___[1]___. This price exceeds the spot price because it reflects the ___[2]___ of holding the asset until delivery, not a prediction of ___[3]___ price.</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$1,000.00   |   $1,025.00   |   $1,050.00   |   $1,024.70</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profit motive   |   cost of carry   |   speculative premium   |   risk premium</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forward   |   future spot   |   current spot   |   settlement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$1,024.70  |  [2] cost of carry  |  [3] future spot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F = 1000 × (1.05)^0.5 = 1000 × 1.02470 ≈ $1,024.70. The forward price is NOT a market prediction of future spot — it is purely the cost-of-carry calculation ensuring no arbitrage.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forward price is not a prediction. It is the break-even price for the dealer. The forward price compensates me for the cost of carry — financing and storage."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DER.5 · Video 2 — Forward Pricing &amp; Settlement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each statement about forward pricing and settlement: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 physical settlement, the buyer pays the full forward price and the seller delivers the underlying asset.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 cash settlement, the underlying asset is delivered against a partial payment.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payoff for a long forward position is (Spot price at settlement – Forward price).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forward price higher than the spot price always indicates a bullish market prediction.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Cash settlement involves NO delivery of the underlying — only the net P&amp;L (difference between spot and forward) changes hands. The forward price exceeding spot is a cost-of-carry mathematical result, not a bullish prediction. Long forward payoff formula is correct.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buyer — long position — profits when the spot price at settlement exceeds the forward price. Cash settlement is operationally simpler — no asset delivery required."</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DER.6  |  Forward Contracts — Risks, Pricing &amp; Trade Economics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DER.6 · Video 1 — Risks in Forward Contracts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The Lehman Brothers default in September 2008 resulted in significant losses for counterparties holding OTC derivative contracts with Lehman. Which forward contract risk does this PRIMARILY illustrate?</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Market risk — Lehman's assets fell in value</w:t>
            </w:r>
          </w:p>
          <w:p>
            <w:pPr>
              <w:spacing w:after="60"/>
              <w:jc w:val="left"/>
            </w:pPr>
            <w:r>
              <w:rPr>
                <w:rFonts w:ascii="Calibri" w:cs="Calibri" w:eastAsia="Calibri" w:hAnsi="Calibri"/>
                <w:b w:val="false"/>
                <w:bCs w:val="false"/>
                <w:i w:val="false"/>
                <w:iCs w:val="false"/>
                <w:color w:val="1A1A1A"/>
                <w:sz w:val="18"/>
                <w:szCs w:val="18"/>
              </w:rPr>
              <w:t xml:space="preserve">B)  Liquidity risk — forward contracts could not be repriced</w:t>
            </w:r>
          </w:p>
          <w:p>
            <w:pPr>
              <w:spacing w:after="60"/>
              <w:jc w:val="left"/>
            </w:pPr>
            <w:r>
              <w:rPr>
                <w:rFonts w:ascii="Calibri" w:cs="Calibri" w:eastAsia="Calibri" w:hAnsi="Calibri"/>
                <w:b w:val="false"/>
                <w:bCs w:val="false"/>
                <w:i w:val="false"/>
                <w:iCs w:val="false"/>
                <w:color w:val="1A1A1A"/>
                <w:sz w:val="18"/>
                <w:szCs w:val="18"/>
              </w:rPr>
              <w:t xml:space="preserve">C)  Counterparty risk — Lehman defaulted on OTC derivative obligations</w:t>
            </w:r>
          </w:p>
          <w:p>
            <w:pPr>
              <w:spacing w:after="0"/>
              <w:jc w:val="left"/>
            </w:pPr>
            <w:r>
              <w:rPr>
                <w:rFonts w:ascii="Calibri" w:cs="Calibri" w:eastAsia="Calibri" w:hAnsi="Calibri"/>
                <w:b w:val="false"/>
                <w:bCs w:val="false"/>
                <w:i w:val="false"/>
                <w:iCs w:val="false"/>
                <w:color w:val="1A1A1A"/>
                <w:sz w:val="18"/>
                <w:szCs w:val="18"/>
              </w:rPr>
              <w:t xml:space="preserve">D)  Settlement risk — the clearing house failed to guarantee delivery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Lehman default is the canonical example of counterparty (credit) risk in OTC derivatives. Counterparties holding open forward and swap contracts with Lehman had direct bilateral exposure. There was no clearing house to guarantee settlement. Counterparties became unsecured creditors in the bankruptcy.</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"When Lehman Brothers defaulted in September 2008, they had hundreds of billions in open OTC derivative positions. Their counterparties faced enormous exposure."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DER.6 · Video 1 — Risks in Forward Contracts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RISK TYPE</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DEFINITION</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UNIQUE TO FORWARDS?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Counterparty/Credit Risk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Risk the other party defaults before settlement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Yes — no CCP in OTC</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Liquidity Risk</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Difficulty exiting or transferring the contract early</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Yes — bespoke terms restrict transferability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Market Risk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Adverse price movement of the underlying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No — common to all derivatives</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Operational Risk</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Confirmation or settlement process failures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No — exists in ETDs too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Counterparty Risk → Yes (OTC specific); Liquidity Risk → Yes (bespoke); Market Risk → No (common); Operational Risk → No (common)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Counterparty risk and liquidity risk are the distinctive risks of OTC forwards compared to ETDs. Market risk and operational risk exist in all derivatives. This distinction is why ETDs are preferred for standardisable needs.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"Liquidity risk in forwards means you cannot simply sell your position in a market. This illiquidity is one reason large corporates using forwards maintain adequate liquidity buffers."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DER.6 · Video 2 — Forward Pricing Explained</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An asset has a spot price of $500 and the risk-free rate is 8%. The 3-month forward price using F = S₀(1+r)^T would be approximately ___[1]___. If the forward settles and the spot price at settlement is $520, the cash settlement payoff for a ___[2]___ position would be ___[3]___, and the losing party would be the ___[4]___.</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$510.00   |   $509.90   |   $540.00   |   $500.80</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short   |   long   |   neutral   |   hedged</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$20 profit   |   $10 profit   |   $9.90 profit   |   $9.90 loss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long (buyer)   |   short (seller)   |   clearing house   |   exchange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$509.90  |  [2] long  |  [3] $10.10 profit  |  [4] short (seller)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F = 500 × (1.08)^0.25 ≈ $509.90. Long payoff = spot – forward = $520 – $509.90 = $10.10 profit. Short (seller) is the losing party since spot exceeded the forward price they locked in.</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buyer — long position — profits when spot exceeds forward. Profit = spot minus forward."</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DER.6 · Video 2 — Forward Pricing Explained</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Physical settlement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Legal framework governing bilateral OTC derivative relationships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Cash settlement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Delivery of actual underlying asset against full forward price payment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Forward trade economics ticket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Net P&amp;L difference paid — no delivery of underlying</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ISDA Master Agreement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Bilateral document confirming both parties' terms for a specific forward contract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Physical → actual delivery; Cash → net P&amp;L only; Trade economics ticket → bilateral confirmation; ISDA → legal OTC framework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Settlement mode determines the operations workflow. Physical = custody and delivery instructions. Cash = P&amp;L payment only. The trade economics ticket is how operations confirms terms; ISDA governs the legal relationship.</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"Know settlement mode before processing. Physical settlement — coordinate with the depository for share delivery. For cash — just process the P&amp;L payment."</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DER.7  |  Futures Contracts — Concept &amp; Standardisation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DER.7 · Video 1 — Futures: Features &amp; Standardisation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Why does standardisation of futures contracts enable higher liquidity compared to forward contracts?</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Because standardised contracts are cheaper to trade due to lower exchange fees</w:t>
            </w:r>
          </w:p>
          <w:p>
            <w:pPr>
              <w:spacing w:after="60"/>
              <w:jc w:val="left"/>
            </w:pPr>
            <w:r>
              <w:rPr>
                <w:rFonts w:ascii="Calibri" w:cs="Calibri" w:eastAsia="Calibri" w:hAnsi="Calibri"/>
                <w:b w:val="false"/>
                <w:bCs w:val="false"/>
                <w:i w:val="false"/>
                <w:iCs w:val="false"/>
                <w:color w:val="1A1A1A"/>
                <w:sz w:val="18"/>
                <w:szCs w:val="18"/>
              </w:rPr>
              <w:t xml:space="preserve">B)  Because standardised contracts are fungible — any contract is identical and can be closed by transacting with any other market participant</w:t>
            </w:r>
          </w:p>
          <w:p>
            <w:pPr>
              <w:spacing w:after="60"/>
              <w:jc w:val="left"/>
            </w:pPr>
            <w:r>
              <w:rPr>
                <w:rFonts w:ascii="Calibri" w:cs="Calibri" w:eastAsia="Calibri" w:hAnsi="Calibri"/>
                <w:b w:val="false"/>
                <w:bCs w:val="false"/>
                <w:i w:val="false"/>
                <w:iCs w:val="false"/>
                <w:color w:val="1A1A1A"/>
                <w:sz w:val="18"/>
                <w:szCs w:val="18"/>
              </w:rPr>
              <w:t xml:space="preserve">C)  Because standardised contracts are guaranteed by the government</w:t>
            </w:r>
          </w:p>
          <w:p>
            <w:pPr>
              <w:spacing w:after="0"/>
              <w:jc w:val="left"/>
            </w:pPr>
            <w:r>
              <w:rPr>
                <w:rFonts w:ascii="Calibri" w:cs="Calibri" w:eastAsia="Calibri" w:hAnsi="Calibri"/>
                <w:b w:val="false"/>
                <w:bCs w:val="false"/>
                <w:i w:val="false"/>
                <w:iCs w:val="false"/>
                <w:color w:val="1A1A1A"/>
                <w:sz w:val="18"/>
                <w:szCs w:val="18"/>
              </w:rPr>
              <w:t xml:space="preserve">D)  Because futures contracts do not require any margin deposit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Fungibility is the key. Because every Nifty 50 October futures contract is identical to every other, you can close your position by selling to ANY buyer in the market — no bilateral negotiation required. Forward contracts are bespoke and cannot be transferred without counterparty agreement.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"ETD positions are fungible — a Nifty futures contract is identical to every other Nifty futures contract. You can close your position by selling to any other market participant."</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DER.7 · Video 2 — Futures vs Forwards: Full Comparison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comparing futures and forwards: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Futures contracts eliminate counterparty risk through clearing house novation, while forwards do not.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Forward contracts are more flexible than futures because all terms can be negotiated bilaterally.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Both futures and forwards settle only at the end of the contract period.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Futures are exchange-traded with transparent price information; forwards are OTC with dealer-quoted prices.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True, False,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Futures settle DAILY via mark-to-market — not just at end of period. Only the FINAL settlement at expiry is comparable to a forward's end-of-period settlement. Daily MTM is the critical structural difference that reduces systemic risk in futures.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"Futures positions are marked to market daily. Every day, your P&amp;L is calculated at the closing price, and your margin account is debited or credited."</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DER.7 · Video 2 — Futures vs Forwards: Full Comparison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Futures contracts are ___[1]___ derivatives, while forwards are ___[2]___ contracts. Futures use ___[3]___ daily settlement, while forwards settle in a ___[4]___ at the end of the contract period. This makes futures the preferred instrument when ___[5]___ and liquidity are the primary considerations.</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OTC   |   exchange-traded   |   structured   |   bilateral</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exchange-traded   |   structured   |   OTC   |   cleared</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annual   |   monthly   |   mark-to-market   |   physical</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series of payments   |   single lump sum   |   daily settlement   |   clearing run</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customisation   |   counterparty protection   |   flexibility   |   speed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exchange-traded  |  [2] OTC  |  [3] mark-to-market  |  [4] single lump sum  |  [5] counterparty protection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futures-forwards comparison centres on exchange vs OTC, daily MTM vs end settlement, and CCP protection vs bilateral risk. Futures are preferred when standardisation, liquidity, and elimination of CCR are priorities.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"Futures and forwards achieve the same economic goal — fixing a price for a future transaction. But their structural differences are significant."</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DER.7 · Video 2 — Futures vs Forwards: Full Comparison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DIMENSION</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FUTURES</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FORWARDS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Counterparty risk eliminated by CCP novation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Contract terms customised between two parties</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Daily mark-to-market P&amp;L settlement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Single lump sum settlement at maturity</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Can be exited by transacting with any market participant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Exit requires bilateral agreement with original counterparty</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CCP novation → Futures; Customised → Forwards; Daily MTM → Futures; Lump sum at maturity → Forwards; Exit with any participant → Futures; Bilateral exit → Forwards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These six dimensions cleanly distinguish futures from forwards. In operations, each dimension determines a different workflow — daily margining for futures vs single settlement for forwards, clearing corp instructions vs bilateral ISDA processes.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"Futures are exchange-traded with anonymous clearing. Forwards are bilateral with direct counterparty exposure."</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DER.8  |  Futures — Margins &amp; Mark-to-Market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DER.8 · Video 1 — Initial Margin, Maintenance Margin &amp; Calls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trader holds a long futures position. The stock price is ₹1,820 with lot size 400, initial margin 17% (SPAN 11% + Exposure 6%), and maintenance margin 15%. After two consecutive days of ₹8,000 losses, the margin balance is ₹1,07,760. What happens next?</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The clearing corporation closes the position immediately</w:t>
            </w:r>
          </w:p>
          <w:p>
            <w:pPr>
              <w:spacing w:after="60"/>
              <w:jc w:val="left"/>
            </w:pPr>
            <w:r>
              <w:rPr>
                <w:rFonts w:ascii="Calibri" w:cs="Calibri" w:eastAsia="Calibri" w:hAnsi="Calibri"/>
                <w:b w:val="false"/>
                <w:bCs w:val="false"/>
                <w:i w:val="false"/>
                <w:iCs w:val="false"/>
                <w:color w:val="1A1A1A"/>
                <w:sz w:val="18"/>
                <w:szCs w:val="18"/>
              </w:rPr>
              <w:t xml:space="preserve">B)  A margin call is triggered — trader must deposit ₹16,000 to restore initial margin</w:t>
            </w:r>
          </w:p>
          <w:p>
            <w:pPr>
              <w:spacing w:after="60"/>
              <w:jc w:val="left"/>
            </w:pPr>
            <w:r>
              <w:rPr>
                <w:rFonts w:ascii="Calibri" w:cs="Calibri" w:eastAsia="Calibri" w:hAnsi="Calibri"/>
                <w:b w:val="false"/>
                <w:bCs w:val="false"/>
                <w:i w:val="false"/>
                <w:iCs w:val="false"/>
                <w:color w:val="1A1A1A"/>
                <w:sz w:val="18"/>
                <w:szCs w:val="18"/>
              </w:rPr>
              <w:t xml:space="preserve">C)  The position continues normally as the balance is still positive</w:t>
            </w:r>
          </w:p>
          <w:p>
            <w:pPr>
              <w:spacing w:after="0"/>
              <w:jc w:val="left"/>
            </w:pPr>
            <w:r>
              <w:rPr>
                <w:rFonts w:ascii="Calibri" w:cs="Calibri" w:eastAsia="Calibri" w:hAnsi="Calibri"/>
                <w:b w:val="false"/>
                <w:bCs w:val="false"/>
                <w:i w:val="false"/>
                <w:iCs w:val="false"/>
                <w:color w:val="1A1A1A"/>
                <w:sz w:val="18"/>
                <w:szCs w:val="18"/>
              </w:rPr>
              <w:t xml:space="preserve">D)  SEBI suspends the trader's account for margin breach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Margin balance ₹1,07,760 has fallen below maintenance margin ₹1,09,200 (15% × ₹7,28,000). This triggers a margin call requiring the trader to restore the account to initial margin level ₹1,23,760 — requiring a deposit of ₹16,000. The broker closes the position only if the margin call is NOT met.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"Margin call issued. The trader must deposit ₹16,000 to restore the account to the original initial margin level of ₹1,23,760."</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DER.8 · Video 1 — Initial Margin, Maintenance Margin &amp; Calls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each statement about futures margin mechanics: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Both buyer and seller of a futures contract must post initial margin.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initial margin consists only of SPAN margin — exposure margin is mandatory in addition.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margin call requires the trader to restore the margin balance to the maintenance margin level, not the initial margin level.</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Forced liquidation occurs when a trader fails to respond to a margin call.</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False,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Both buyer and seller post initial margin (True). Exposure margin is OPTIONAL — only SPAN margin is mandatory (False). On a margin call, the trader must restore to INITIAL margin level, not just maintenance level (False). Forced liquidation is the consequence of unmet margin calls (True).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SPAN margin is mandatory. The exposure margin is an additional margin which is optional."</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DER.8 · Video 2 — Mark-to-Market Daily Settlement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In futures, daily ___[1]___ settlement means P&amp;L is calculated as today's closing price minus ___[2]___ closing price, multiplied by ___[3]___. Positive P&amp;L is ___[4]___ to the margin account; negative P&amp;L is ___[5]___.</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physical   |   cash   |   mark-to-market   |   expiry</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opening   |   yesterday's   |   trade date   |   average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contract price   |   lot size   |   notional value   |   margin rate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debited   |   frozen   |   credited   |   withheld</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credited   |   forfeited   |   debited   |   ignored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mark-to-market  |  [2] yesterday's  |  [3] lot size  |  [4] credited  |  [5] debited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MTM P&amp;L = (today's close – yesterday's close) × lot size. Profits are credited to margin; losses are debited. This daily realisation prevents large accumulated losses that could threaten the clearing system.</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daily MTM P&amp;L is calculated as today's closing futures price minus yesterday's closing futures price, multiplied by the lot size."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DER.8 · Video 2 — Mark-to-Market Daily Settlement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Initial Margin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Daily revaluation of futures position with P&amp;L credited or debited</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Maintenance Margin</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Mandatory component of initial margin calculated using VaR methodology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Mark-to-Market (MTM)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Closing of trader's position by broker when margin call is not met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Forced Liquidation</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Minimum balance required in margin account to keep position open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SPAN Margin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Upfront deposit required to open a futures position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Initial Margin → upfront deposit; Maintenance → minimum balance; MTM → daily revaluation; Forced Liquidation → position closed by broker; SPAN → mandatory VaR component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Each margin term has a precise definition and sequential role in the margin lifecycle: initial margin opens the position, MTM adjusts it daily, maintenance margin sets the floor, margin call restores it, forced liquidation closes it if not restored.</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"Daily MTM settlement is the primary systemic risk control in futures markets."</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DER.9  |  Futures — Settlement, Open Interest &amp; Rollover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DER.9 · Video 1 — Cash vs Physical Settlement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An NSE Nifty 50 October futures contract expires at a closing index value of 19,850. A trader held a long position at a contract price of 19,600. Under cash settlement, what is the settlement outcome?</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The trader receives physical delivery of all 50 Nifty 50 constituent shares</w:t>
            </w:r>
          </w:p>
          <w:p>
            <w:pPr>
              <w:spacing w:after="60"/>
              <w:jc w:val="left"/>
            </w:pPr>
            <w:r>
              <w:rPr>
                <w:rFonts w:ascii="Calibri" w:cs="Calibri" w:eastAsia="Calibri" w:hAnsi="Calibri"/>
                <w:b w:val="false"/>
                <w:bCs w:val="false"/>
                <w:i w:val="false"/>
                <w:iCs w:val="false"/>
                <w:color w:val="1A1A1A"/>
                <w:sz w:val="18"/>
                <w:szCs w:val="18"/>
              </w:rPr>
              <w:t xml:space="preserve">B)  The trader pays ₹250 per lot as a penalty for holding to expiry</w:t>
            </w:r>
          </w:p>
          <w:p>
            <w:pPr>
              <w:spacing w:after="60"/>
              <w:jc w:val="left"/>
            </w:pPr>
            <w:r>
              <w:rPr>
                <w:rFonts w:ascii="Calibri" w:cs="Calibri" w:eastAsia="Calibri" w:hAnsi="Calibri"/>
                <w:b w:val="false"/>
                <w:bCs w:val="false"/>
                <w:i w:val="false"/>
                <w:iCs w:val="false"/>
                <w:color w:val="1A1A1A"/>
                <w:sz w:val="18"/>
                <w:szCs w:val="18"/>
              </w:rPr>
              <w:t xml:space="preserve">C)  The trader receives cash equal to (19,850 – 19,600) × lot size as final P&amp;L</w:t>
            </w:r>
          </w:p>
          <w:p>
            <w:pPr>
              <w:spacing w:after="0"/>
              <w:jc w:val="left"/>
            </w:pPr>
            <w:r>
              <w:rPr>
                <w:rFonts w:ascii="Calibri" w:cs="Calibri" w:eastAsia="Calibri" w:hAnsi="Calibri"/>
                <w:b w:val="false"/>
                <w:bCs w:val="false"/>
                <w:i w:val="false"/>
                <w:iCs w:val="false"/>
                <w:color w:val="1A1A1A"/>
                <w:sz w:val="18"/>
                <w:szCs w:val="18"/>
              </w:rPr>
              <w:t xml:space="preserve">D)  The exchange buys back the contract at 19,600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Index futures are always cash-settled. At expiry, the final settlement P&amp;L = (final settlement price – contract price) × lot size. For Nifty, lot size is 50 units of the index. You cannot physically deliver an index. Physical delivery of constituent shares is not applicable.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"No actual shares or commodities change hands in cash settlement. Index futures are always cash-settled because you cannot deliver an index."</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DER.9 · Video 1 — Cash vs Physical Settlement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5276"/>
                <w:sz w:val="18"/>
                <w:szCs w:val="18"/>
              </w:rPr>
              <w:t xml:space="preserve">TABLE SELECTION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Tick the correct box in each row.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CONTRACT</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CASH SETTLEMENT</w:t>
            </w:r>
          </w:p>
        </w:tc>
        <w:tc>
          <w:tcPr>
            <w:tcW w:type="dxa" w:w="31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PHYSICAL SETTLEMENT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Nifty 50 index futures (NSE)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Single stock equity futures in India (post-2019)</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NYMEX crude oil futures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EUR/USD currency futures (CME)</w:t>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1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Nifty → Cash; Indian stock futures → Physical; NYMEX crude → Physical; EUR/USD futures → Cash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Index futures are always cash (cannot deliver an index). Indian single stock equity futures moved to physical settlement in 2019. NYMEX crude oil is the canonical physical settlement example. Major currency futures at CME are typically cash-settled.</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"In India, SEBI changed the settlement mode for single stock equity futures to physical settlement in October 2019."</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DER.9 · Video 2 — Open Interest &amp; Rollover</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___[1]___ represents the total number of futures contracts that have not yet been closed or settled. When a new participant enters the market with a fresh position, OI ___[2]___. When two traders merely transfer an existing contract, OI ___[3]___. High OI indicates ___[4]___ and strong market participation.</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Volume   |   Open Interest   |   Rollover   |   Margin</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decreases   |   stays constant   |   increases   |   doubles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increases   |   decreases   |   stays constant   |   doubles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high volatility   |   low liquidity   |   high liquidity   |   low participation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Open Interest  |  [2] increases  |  [3] stays constant  |  [4] high liquidity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OI measures active open positions, not trading volume. New entries increase OI; transfers between traders do not. High OI indicates deep participation and liquidity — a key market health indicator.</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"Open interest is the total number of futures contracts that are still open. OI increases when new participants open positions. OI does not change when an existing contract is transferred."</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DER.9 · Video 2 — Open Interest &amp; Rollover</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rollover in Indian equity futures: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rollover involves selling the expiring month contract and simultaneously opening a new position in the next month.</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High rollover activity in Indian equity futures suggests traders are closing their positions before expiry.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 Indian equity derivatives, rollover activity typically peaks in the week before the last Thursday expiry.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rollover creates two separate positions simultaneously — one closing and one opening.</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High rollover means traders are EXTENDING positions, not closing them — they are rolling to the next series. Low rollover indicates traders are closing positions at expiry. Both the rollover mechanics (sell near, buy far) and the timing (week before last Thursday) are correctly stated.</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"High rollover percentages indicate that traders are maintaining their bullish or bearish positions rather than closing them."</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DER.10  |  CFD — Contract for Difference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DER.10 · Video 1 — CFD: What It Is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trader buys 500 CFDs on a share at $40 each. The price rises to $48. What is the trader's profit, and was the underlying share delivered?</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Profit = $4,000; underlying share delivered to the buyer</w:t>
            </w:r>
          </w:p>
          <w:p>
            <w:pPr>
              <w:spacing w:after="60"/>
              <w:jc w:val="left"/>
            </w:pPr>
            <w:r>
              <w:rPr>
                <w:rFonts w:ascii="Calibri" w:cs="Calibri" w:eastAsia="Calibri" w:hAnsi="Calibri"/>
                <w:b w:val="false"/>
                <w:bCs w:val="false"/>
                <w:i w:val="false"/>
                <w:iCs w:val="false"/>
                <w:color w:val="1A1A1A"/>
                <w:sz w:val="18"/>
                <w:szCs w:val="18"/>
              </w:rPr>
              <w:t xml:space="preserve">B)  Profit = $4,000; no delivery — only the price difference is exchanged</w:t>
            </w:r>
          </w:p>
          <w:p>
            <w:pPr>
              <w:spacing w:after="60"/>
              <w:jc w:val="left"/>
            </w:pPr>
            <w:r>
              <w:rPr>
                <w:rFonts w:ascii="Calibri" w:cs="Calibri" w:eastAsia="Calibri" w:hAnsi="Calibri"/>
                <w:b w:val="false"/>
                <w:bCs w:val="false"/>
                <w:i w:val="false"/>
                <w:iCs w:val="false"/>
                <w:color w:val="1A1A1A"/>
                <w:sz w:val="18"/>
                <w:szCs w:val="18"/>
              </w:rPr>
              <w:t xml:space="preserve">C)  Profit = $8,000; no delivery</w:t>
            </w:r>
          </w:p>
          <w:p>
            <w:pPr>
              <w:spacing w:after="0"/>
              <w:jc w:val="left"/>
            </w:pPr>
            <w:r>
              <w:rPr>
                <w:rFonts w:ascii="Calibri" w:cs="Calibri" w:eastAsia="Calibri" w:hAnsi="Calibri"/>
                <w:b w:val="false"/>
                <w:bCs w:val="false"/>
                <w:i w:val="false"/>
                <w:iCs w:val="false"/>
                <w:color w:val="1A1A1A"/>
                <w:sz w:val="18"/>
                <w:szCs w:val="18"/>
              </w:rPr>
              <w:t xml:space="preserve">D)  Profit = $20,000; the broker delivers shares at the closing price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CFD profit = (closing price – opening price) × contracts = ($48 – $40) × 500 = $4,000. CFDs are difference contracts — no underlying delivery ever occurs. The parties exchange only the cash price difference.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parties never own or deliver the underlying — they are purely betting on the price movement. The parties simply exchange the difference in price."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DER.10 · Video 1 — CFD: What It Is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CFD vs Futures: Expiry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CFD: flexible size; Futures: fixed lot size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CFD vs Futures: Standardisation</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CFD: typically no fixed expiry; Futures: standardised expiry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CFD vs Futures: Counterparty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CFD: OTC — counterparty is the CFD provider; Futures: CCP cleared</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CFD vs Futures: Size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CFD: fully flexible terms; Futures: standardised by exchange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Expiry → no fixed vs standardised; Standardisation → flexible vs exchange-standard; Counterparty → CFD provider vs CCP; Size → flexible vs lot size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CFDs are OTC instruments with no fixed expiry, flexible sizing, and counterparty risk to the CFD provider. Futures have standardised expiry, lot sizes, and CCP clearing. These differences determine risk profile and operations requirements.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"CFDs are typically OTC with no fixed expiry. Futures have standardised expiry dates on exchange."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DER.10 · Video 2 — CFD Payoff &amp; Trade Economics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trader buys 200 CFDs at $50 with 10% margin, investing ___[1]___ of own capital for ___[2]___ of total exposure. If the price closes at $55, profit = ___[3]___. If held overnight, the trader pays a ___[4]___ cost on the full notional value, calculated as (notional × financing rate) ÷ 365.</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$200   |   $1,000   |   $10,000   |   $500</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$200   |   $1,000   |   $5,000   |   $10,000</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$200   |   $500   |   $1,000   |   $5,000</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settlement   |   regulatory   |   financing   |   insurance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$1,000  |  [2] $10,000  |  [3] $1,000  |  [4] financing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Margin = 10% × $10,000 = $1,000 own capital; total exposure = 200 × $50 = $10,000. Profit = ($55–$50) × 200 = $1,000 — a 100% return on own capital. Overnight financing is charged on the full notional, not just the margin.</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"For a long CFD held overnight, you are effectively borrowing money from the CFD provider to maintain your leveraged exposure."</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DER.10 · Video 2 — CFD Payoff &amp; Trade Economics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CFD operations and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CFD operations require daily bilateral confirmation with the CFD provider rather than exchange-based settlement.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CFDs carry no counterparty risk because they are backed by the clearing corporation.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Overnight financing costs in CFDs are calculated on the margin deposited, not the full notional exposure.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losing CFD position must be paid by the losing party — the CFD does not physically settle.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False,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CFDs are OTC — no CCP, so they carry counterparty risk to the CFD provider. Financing costs apply to the FULL notional value, not just the margin (that would make them cheaper than they actually are). CFDs never physically settle — only cash differences change hands.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simplicity of the CFD payoff formula masks significant operational complexity — bilateral confirmation, daily financing, and manual reconciliation."</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DER.11  |  Market-Linked Notes (MLN)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DER.11 · Video 1 — MLN: Structure &amp; Features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An MLN is issued with 100% principal protection and a maximum payout of 150% of principal. The underlying equity index returns –30% at maturity. What does the investor receive?</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70% of principal (reflecting the index decline)</w:t>
            </w:r>
          </w:p>
          <w:p>
            <w:pPr>
              <w:spacing w:after="60"/>
              <w:jc w:val="left"/>
            </w:pPr>
            <w:r>
              <w:rPr>
                <w:rFonts w:ascii="Calibri" w:cs="Calibri" w:eastAsia="Calibri" w:hAnsi="Calibri"/>
                <w:b w:val="false"/>
                <w:bCs w:val="false"/>
                <w:i w:val="false"/>
                <w:iCs w:val="false"/>
                <w:color w:val="1A1A1A"/>
                <w:sz w:val="18"/>
                <w:szCs w:val="18"/>
              </w:rPr>
              <w:t xml:space="preserve">B)  100% of principal (floor protection)</w:t>
            </w:r>
          </w:p>
          <w:p>
            <w:pPr>
              <w:spacing w:after="60"/>
              <w:jc w:val="left"/>
            </w:pPr>
            <w:r>
              <w:rPr>
                <w:rFonts w:ascii="Calibri" w:cs="Calibri" w:eastAsia="Calibri" w:hAnsi="Calibri"/>
                <w:b w:val="false"/>
                <w:bCs w:val="false"/>
                <w:i w:val="false"/>
                <w:iCs w:val="false"/>
                <w:color w:val="1A1A1A"/>
                <w:sz w:val="18"/>
                <w:szCs w:val="18"/>
              </w:rPr>
              <w:t xml:space="preserve">C)  150% of principal (maximum payout)</w:t>
            </w:r>
          </w:p>
          <w:p>
            <w:pPr>
              <w:spacing w:after="0"/>
              <w:jc w:val="left"/>
            </w:pPr>
            <w:r>
              <w:rPr>
                <w:rFonts w:ascii="Calibri" w:cs="Calibri" w:eastAsia="Calibri" w:hAnsi="Calibri"/>
                <w:b w:val="false"/>
                <w:bCs w:val="false"/>
                <w:i w:val="false"/>
                <w:iCs w:val="false"/>
                <w:color w:val="1A1A1A"/>
                <w:sz w:val="18"/>
                <w:szCs w:val="18"/>
              </w:rPr>
              <w:t xml:space="preserve">D)  130% of principal (index return inverted)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floor protection of an MLN guarantees return of 100% of principal regardless of how far the underlying falls. The investor sacrificed coupon income to fund this protection. Even with a –30% underlying return, the zero-coupon bond component delivers 100% of principal.</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"If the underlying instrument earns a return of –25%, the investor will get only the principal that was invested."</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DER.11 · Video 1 — MLN: Structure &amp; Features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Market-Linked 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MLNs pay no coupon or interest during the term — this is the cost of the principal protection and performance linkage.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MLNs are listed on stock exchanges and can be easily sold before maturity.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maximum payout of an MLN is capped at a predetermined level, regardless of underlying performance.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MLNs are appropriate for investors who want equity-like upside but cannot tolerate loss of principal.</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True, False, True, True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MLNs are NOT listed and have very limited secondary market — investors must hold to maturity. This illiquidity is one of their key drawbacks. All other statements are correct features of the instrument.</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Market-Linked Notes will not be listed on any securities exchange and have limited secondary market."</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DER.11 · Video 2 — MLN Payoff Mechanics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An MLN achieves principal protection by investing most of the proceeds in a ___[1]___ bond that grows to 100% of principal at maturity. The remaining funds purchase a ___[2]___ on the underlying, providing upside participation. The investor foregoes ___[3]___ income to fund this structure, and the upside is ___[4]___ at the stated maximum.</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floating rate   |   zero-coupon   |   convertible   |   perpetual</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put option   |   futures contract   |   call option   |   forward</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capital gains   |   coupon/interest   |   dividend   |   principal</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unlimited   |   floored   |   capped   |   guaranteed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zero-coupon  |  [2] call option  |  [3] coupon/interest  |  [4] capped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structural decomposition: zero-coupon bond = capital protection, call option = upside participation. The foregone coupon pays for this structure. The call option has a maximum payoff (its cap), which explains why MLN upside is capped.</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issuer uses most of it to buy a zero-coupon bond that will grow to exactly ₹100 at maturity. The remaining is used to purchase a call option on the underlying asset."</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DER.11 · Video 2 — MLN Payoff Mechanics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Zero-Coupon Bond component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Investor receives 150% of principal (maximum hit)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Call Option component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Source of funds to purchase the option — the cost of the 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Forfeited coupon income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Grows to 100% of principal — provides the capital guarantee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MLN at maturity: underlying +80% (cap 150%)</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Provides conditional upside participation if underlying appreciates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Zero-coupon → capital guarantee; Call option → conditional upside; Forfeited coupon → pays for structure; +80% returns 150% cap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MLN is a structured product combining these components. Understanding the building blocks explains why principal protection and upside participation can coexist — but always with a cost (forfeited yield) and a ceiling (option cap).</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forfeited interest income is the cost of the downside protection plus the upside participation."</w:t>
            </w:r>
          </w:p>
        </w:tc>
      </w:tr>
    </w:tbl>
    <w:p>
      <w:pPr>
        <w:spacing w:after="80"/>
      </w:pPr>
      <w:r>
        <w:t xml:space="preserve"/>
      </w:r>
    </w:p>
    <w:p>
      <w:pPr>
        <w:spacing w:after="160"/>
      </w:pPr>
      <w:r>
        <w:rPr>
          <w:rFonts w:ascii="Calibri" w:cs="Calibri" w:eastAsia="Calibri" w:hAnsi="Calibri"/>
          <w:color w:val="DDDDDD"/>
          <w:sz w:val="14"/>
          <w:szCs w:val="14"/>
        </w:rPr>
        <w:t xml:space="preserve">────────────────────────────────────────────────────────────────────────────────</w:t>
      </w:r>
    </w:p>
    <w:p>
      <w:r>
        <w:br w:type="page"/>
      </w:r>
    </w:p>
    <w:p>
      <w:pPr>
        <w:pBdr>
          <w:bottom w:val="single" w:color="1E3A5F" w:sz="6" w:space="1"/>
        </w:pBdr>
        <w:spacing w:after="80" w:before="0"/>
      </w:pPr>
      <w:r>
        <w:rPr>
          <w:rFonts w:ascii="Calibri" w:cs="Calibri" w:eastAsia="Calibri" w:hAnsi="Calibri"/>
          <w:b/>
          <w:bCs/>
          <w:color w:val="1E3A5F"/>
          <w:sz w:val="28"/>
          <w:szCs w:val="28"/>
        </w:rPr>
        <w:t xml:space="preserve">DER.12  |  Forward Rate Agreement (FRA)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DER.12 · Video 1 — FRA: Structure &amp; Features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1</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E3A5F"/>
                <w:sz w:val="18"/>
                <w:szCs w:val="18"/>
              </w:rPr>
              <w:t xml:space="preserve">MCQ INLINE</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Select the single best answer A–D.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A corporate treasurer enters a ₹500 crore FRA to pay fixed at 4.5% and receive floating (MIBOR) for 90 days, to hedge a future loan. If MIBOR settles at 5.2% at the FRA settlement date, who pays whom?</w:t>
            </w:r>
          </w:p>
        </w:tc>
      </w:tr>
      <w:tr>
        <w:tc>
          <w:tcPr>
            <w:tcW w:type="dxa" w:w="93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93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60"/>
              <w:jc w:val="left"/>
            </w:pPr>
            <w:r>
              <w:rPr>
                <w:rFonts w:ascii="Calibri" w:cs="Calibri" w:eastAsia="Calibri" w:hAnsi="Calibri"/>
                <w:b w:val="false"/>
                <w:bCs w:val="false"/>
                <w:i w:val="false"/>
                <w:iCs w:val="false"/>
                <w:color w:val="1A1A1A"/>
                <w:sz w:val="18"/>
                <w:szCs w:val="18"/>
              </w:rPr>
              <w:t xml:space="preserve">A)  The corporate pays the FRA dealer, as floating rates rose</w:t>
            </w:r>
          </w:p>
          <w:p>
            <w:pPr>
              <w:spacing w:after="60"/>
              <w:jc w:val="left"/>
            </w:pPr>
            <w:r>
              <w:rPr>
                <w:rFonts w:ascii="Calibri" w:cs="Calibri" w:eastAsia="Calibri" w:hAnsi="Calibri"/>
                <w:b w:val="false"/>
                <w:bCs w:val="false"/>
                <w:i w:val="false"/>
                <w:iCs w:val="false"/>
                <w:color w:val="1A1A1A"/>
                <w:sz w:val="18"/>
                <w:szCs w:val="18"/>
              </w:rPr>
              <w:t xml:space="preserve">B)  The FRA dealer pays the corporate — the corporate locked in 4.5% while market moved to 5.2%</w:t>
            </w:r>
          </w:p>
          <w:p>
            <w:pPr>
              <w:spacing w:after="60"/>
              <w:jc w:val="left"/>
            </w:pPr>
            <w:r>
              <w:rPr>
                <w:rFonts w:ascii="Calibri" w:cs="Calibri" w:eastAsia="Calibri" w:hAnsi="Calibri"/>
                <w:b w:val="false"/>
                <w:bCs w:val="false"/>
                <w:i w:val="false"/>
                <w:iCs w:val="false"/>
                <w:color w:val="1A1A1A"/>
                <w:sz w:val="18"/>
                <w:szCs w:val="18"/>
              </w:rPr>
              <w:t xml:space="preserve">C)  No payment occurs as the notional is not exchanged</w:t>
            </w:r>
          </w:p>
          <w:p>
            <w:pPr>
              <w:spacing w:after="0"/>
              <w:jc w:val="left"/>
            </w:pPr>
            <w:r>
              <w:rPr>
                <w:rFonts w:ascii="Calibri" w:cs="Calibri" w:eastAsia="Calibri" w:hAnsi="Calibri"/>
                <w:b w:val="false"/>
                <w:bCs w:val="false"/>
                <w:i w:val="false"/>
                <w:iCs w:val="false"/>
                <w:color w:val="1A1A1A"/>
                <w:sz w:val="18"/>
                <w:szCs w:val="18"/>
              </w:rPr>
              <w:t xml:space="preserve">D)  The corporate's loan provider pays the FRA dealer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In this FRA, the corporate pays fixed (4.5%) and receives floating. If MIBOR settles at 5.2%, the floating rate exceeds the fixed rate. The corporate receives the difference (5.2% – 4.5% = 0.7% on ₹500 crore × 90/360), offsetting the higher floating rate on their actual loan.</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"If the market reference rate settles above the contracted fixed rate, the fixed rate payer had the better deal — they pay the lower rate and receive the differential."</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DER.12 · Video 1 — FRA: Structure &amp; Features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IDENTIFY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2</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005F5F"/>
                <w:sz w:val="18"/>
                <w:szCs w:val="18"/>
              </w:rPr>
              <w:t xml:space="preserve">TRUE/FALSE MULTI</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Mark each statement TRUE or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QUESTION</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Evaluate these statements about Forward Rate Agreements: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STATEMENT</w:t>
            </w:r>
          </w:p>
        </w:tc>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TRUE / FALSE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notional principal in an FRA is exchanged between the parties on the settlement date.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An FRA is an OTC cash-settled contract that determines a future interest rate.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A company expecting to borrow at a floating rate in three months can use an FRA to lock in its borrowing cost today.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FRA settlement payment is made at the end of the interest period, when interest would normally accrue.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False, True, True, False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notional is NEVER exchanged in an FRA — only the net interest differential is paid. Settlement is made at the START (effective date) of the interest period, discounted back — not at the end. This discounting is what makes the FRA formula more complex than a simple interest calculation.</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"The notional principal is never exchanged. Only the net difference between the agreed fixed rate and the market reference rate changes hands."</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DER.12 · Video 2 — FRA Settlement Mechanics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8B6914"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3</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8B6914"/>
                <w:sz w:val="18"/>
                <w:szCs w:val="18"/>
              </w:rPr>
              <w:t xml:space="preserve">GAP FILL DROPDOWN</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Choose the correct word/phrase for each blank.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COMPLETE THE SENTENCE</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9"/>
                <w:szCs w:val="19"/>
              </w:rPr>
              <w:t xml:space="preserve">In an FRA, the settlement amount is calculated using the formula: (___[1]___ – Fixed rate) × Notional × Days/360, then ___[2]___ by (1 + Reference rate × Days/360). This discounting occurs because payment is made at the ___[3]___ of the interest period, not the ___[4]___.</w:t>
            </w:r>
          </w:p>
        </w:tc>
      </w:tr>
      <w:tr>
        <w:tc>
          <w:tcPr>
            <w:tcW w:type="dxa" w:w="180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BLANK</w:t>
            </w:r>
          </w:p>
        </w:tc>
        <w:tc>
          <w:tcPr>
            <w:tcW w:type="dxa" w:w="756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OPTIONS</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Fixed rate   |   Reference/floating rate   |   SEBI rate   |   contract notional</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multiplied   |   added to   |   discounted / divided   |   ignored</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end   |   middle   |   start   |   trade date</w:t>
            </w:r>
          </w:p>
        </w:tc>
      </w:tr>
      <w:tr>
        <w:tc>
          <w:tcPr>
            <w:tcW w:type="dxa" w:w="18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start   |   middle   |   end   |   trade date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[1] Reference/floating rate  |  [2] discounted/divided  |  [3] start  |  [4] end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 FRA formula discounts the interest differential because payment occurs at the start (effective date) of the period, whereas interest normally accrues and is paid at the end. The discounting adjusts for the time value of money between these two dates.</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"Settlement is made at the beginning of the interest period, discounted back — not at the end. This is what makes the FRA formula more complex than a simple interest calculation."</w:t>
            </w:r>
          </w:p>
        </w:tc>
      </w:tr>
    </w:tbl>
    <w:p>
      <w:pPr>
        <w:spacing w:after="80"/>
      </w:pPr>
      <w:r>
        <w:t xml:space="preserve"/>
      </w:r>
    </w:p>
    <w:p>
      <w:pPr>
        <w:spacing w:after="160"/>
      </w:pPr>
      <w:r>
        <w:rPr>
          <w:rFonts w:ascii="Calibri" w:cs="Calibri" w:eastAsia="Calibri" w:hAnsi="Calibri"/>
          <w:color w:val="DDDDDD"/>
          <w:sz w:val="14"/>
          <w:szCs w:val="1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VIDEO REFERENCE</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UOR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Video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DER.12 · Video 2 — FRA Settlement Mechanics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EAR Focus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8"/>
                <w:szCs w:val="18"/>
              </w:rPr>
              <w:t xml:space="preserve">EXPLAIN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520"/>
        <w:gridCol w:w="1980"/>
        <w:gridCol w:w="3600"/>
      </w:tblGrid>
      <w:tr>
        <w:tc>
          <w:tcPr>
            <w:tcW w:type="dxa" w:w="126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Q #</w:t>
            </w:r>
          </w:p>
        </w:tc>
        <w:tc>
          <w:tcPr>
            <w:tcW w:type="dxa" w:w="252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TYPE</w:t>
            </w:r>
          </w:p>
        </w:tc>
        <w:tc>
          <w:tcPr>
            <w:tcW w:type="dxa" w:w="198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EAR</w:t>
            </w:r>
          </w:p>
        </w:tc>
        <w:tc>
          <w:tcPr>
            <w:tcW w:type="dxa" w:w="3600"/>
            <w:tcBorders>
              <w:top w:val="single" w:color="CCCCCC" w:sz="1"/>
              <w:left w:val="single" w:color="CCCCCC" w:sz="1"/>
              <w:bottom w:val="single" w:color="CCCCCC" w:sz="1"/>
              <w:right w:val="single" w:color="CCCCCC" w:sz="1"/>
            </w:tcBorders>
            <w:shd w:fill="5B2C6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INSTRUCTION</w:t>
            </w:r>
          </w:p>
        </w:tc>
      </w:tr>
      <w:tr>
        <w:tc>
          <w:tcPr>
            <w:tcW w:type="dxa" w:w="126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center"/>
            </w:pPr>
            <w:r>
              <w:rPr>
                <w:rFonts w:ascii="Calibri" w:cs="Calibri" w:eastAsia="Calibri" w:hAnsi="Calibri"/>
                <w:b/>
                <w:bCs/>
                <w:i w:val="false"/>
                <w:iCs w:val="false"/>
                <w:color w:val="1A1A1A"/>
                <w:sz w:val="22"/>
                <w:szCs w:val="22"/>
              </w:rPr>
              <w:t xml:space="preserve">4</w:t>
            </w:r>
          </w:p>
        </w:tc>
        <w:tc>
          <w:tcPr>
            <w:tcW w:type="dxa" w:w="252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5B2C6F"/>
                <w:sz w:val="18"/>
                <w:szCs w:val="18"/>
              </w:rPr>
              <w:t xml:space="preserve">MATCHING PAIRS</w:t>
            </w:r>
          </w:p>
        </w:tc>
        <w:tc>
          <w:tcPr>
            <w:tcW w:type="dxa" w:w="19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1A1A"/>
                <w:sz w:val="18"/>
                <w:szCs w:val="18"/>
              </w:rPr>
              <w:t xml:space="preserve">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Match Column A to Column 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A</w:t>
            </w:r>
          </w:p>
        </w:tc>
        <w:tc>
          <w:tcPr>
            <w:tcW w:type="dxa" w:w="4680"/>
            <w:tcBorders>
              <w:top w:val="single" w:color="CCCCCC" w:sz="1"/>
              <w:left w:val="single" w:color="CCCCCC" w:sz="1"/>
              <w:bottom w:val="single" w:color="CCCCCC" w:sz="1"/>
              <w:right w:val="single" w:color="CCCCCC" w:sz="1"/>
            </w:tcBorders>
            <w:shd w:fill="005F5F"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COLUMN 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Notional Amount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agreed contracted rate that one party pays throughout the FRA</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Effective Date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rate benchmark (e.g. SOFR, MIBOR) used to determine the settlement payment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Termination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Party responsible for computing the final settlement amount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Calculation Agent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date on which the interest period begins (FRA settlement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Reference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Reference amount used to calculate interest differential — never physically exchanged</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Fixed Rate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The date on which the interest period ends (determines the FRA duration)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2A" w:val="clear"/>
            <w:tcMar>
              <w:top w:type="dxa" w:w="100"/>
              <w:left w:type="dxa" w:w="140"/>
              <w:bottom w:type="dxa" w:w="100"/>
              <w:right w:type="dxa" w:w="140"/>
            </w:tcMar>
            <w:vAlign w:val="center"/>
          </w:tcPr>
          <w:p>
            <w:pPr>
              <w:spacing w:after="0"/>
              <w:jc w:val="center"/>
            </w:pPr>
            <w:r>
              <w:rPr>
                <w:rFonts w:ascii="Calibri" w:cs="Calibri" w:eastAsia="Calibri" w:hAnsi="Calibri"/>
                <w:b/>
                <w:bCs/>
                <w:color w:val="FFFFFF"/>
                <w:sz w:val="19"/>
                <w:szCs w:val="19"/>
              </w:rPr>
              <w:t xml:space="preserve">✅ CORRECT ANSWER &amp; REASONING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top"/>
          </w:tcPr>
          <w:p>
            <w:pPr>
              <w:spacing w:after="0"/>
              <w:jc w:val="left"/>
            </w:pPr>
            <w:r>
              <w:rPr>
                <w:rFonts w:ascii="Calibri" w:cs="Calibri" w:eastAsia="Calibri" w:hAnsi="Calibri"/>
                <w:b/>
                <w:bCs/>
                <w:i w:val="false"/>
                <w:iCs w:val="false"/>
                <w:color w:val="1A6B2A"/>
                <w:sz w:val="19"/>
                <w:szCs w:val="19"/>
              </w:rPr>
              <w:t xml:space="preserve">Answer: Notional → reference only; Effective Date → start of period; Termination → end of period; Calculation Agent → computes settlement; Reference Rate → benchmark for settlement; Fixed Rate → agreed contracted rate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jc w:val="left"/>
            </w:pPr>
            <w:r>
              <w:rPr>
                <w:rFonts w:ascii="Calibri" w:cs="Calibri" w:eastAsia="Calibri" w:hAnsi="Calibri"/>
                <w:b w:val="false"/>
                <w:bCs w:val="false"/>
                <w:i w:val="false"/>
                <w:iCs w:val="false"/>
                <w:color w:val="1A1A1A"/>
                <w:sz w:val="17"/>
                <w:szCs w:val="17"/>
              </w:rPr>
              <w:t xml:space="preserve">Reasoning: These are the six critical fields in any FRA confirmation. All must match between counterparties. Any discrepancy in rate, date, or notional creates a settlement dispute that must be resolved before the settlement date.</w:t>
            </w:r>
          </w:p>
        </w:tc>
      </w:tr>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0"/>
              <w:jc w:val="left"/>
            </w:pPr>
            <w:r>
              <w:rPr>
                <w:rFonts w:ascii="Calibri" w:cs="Calibri" w:eastAsia="Calibri" w:hAnsi="Calibri"/>
                <w:b w:val="false"/>
                <w:bCs w:val="false"/>
                <w:i/>
                <w:iCs/>
                <w:color w:val="1A1A1A"/>
                <w:sz w:val="17"/>
                <w:szCs w:val="17"/>
              </w:rPr>
              <w:t xml:space="preserve">From the video: "Every field must match. Rate mismatch means one party calculates a different settlement amount. ISDA confirmation documentation is used to catch these discrepancies before settlement."</w:t>
            </w:r>
          </w:p>
        </w:tc>
      </w:tr>
    </w:tbl>
    <w:p>
      <w:pPr>
        <w:spacing w:after="80"/>
      </w:pPr>
      <w:r>
        <w:t xml:space="preserve"/>
      </w:r>
    </w:p>
    <w:p>
      <w:pPr>
        <w:spacing w:after="160"/>
      </w:pPr>
      <w:r>
        <w:rPr>
          <w:rFonts w:ascii="Calibri" w:cs="Calibri" w:eastAsia="Calibri" w:hAnsi="Calibri"/>
          <w:color w:val="DDDDDD"/>
          <w:sz w:val="14"/>
          <w:szCs w:val="14"/>
        </w:rP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2026-06-04T10:12:38.312Z</dcterms:created>
  <dcterms:modified xsi:type="dcterms:W3CDTF">2026-06-04T10:12:38.312Z</dcterms:modified>
</cp:coreProperties>
</file>

<file path=docProps/custom.xml><?xml version="1.0" encoding="utf-8"?>
<Properties xmlns="http://schemas.openxmlformats.org/officeDocument/2006/custom-properties" xmlns:vt="http://schemas.openxmlformats.org/officeDocument/2006/docPropsVTypes"/>
</file>