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SECURITIES TRADING ORGANISATION &amp; RDM</w:t>
      </w:r>
    </w:p>
    <w:p>
      <w:pPr>
        <w:jc w:val="center"/>
      </w:pPr>
      <w:r>
        <w:rPr>
          <w:color w:val="005F5F"/>
          <w:sz w:val="32"/>
        </w:rPr>
        <w:t>Knowledge Assessment</w:t>
      </w:r>
    </w:p>
    <w:p>
      <w:pPr>
        <w:jc w:val="center"/>
      </w:pPr>
      <w:r>
        <w:rPr>
          <w:color w:val="8B6914"/>
          <w:sz w:val="22"/>
        </w:rPr>
        <w:t>CIBOP Module 8 | Version 2 | 4 Questions per UOR | 5 Question Types</w:t>
      </w:r>
    </w:p>
    <w:p/>
    <w:p>
      <w:r>
        <w:br w:type="page"/>
      </w:r>
    </w:p>
    <w:p>
      <w:r>
        <w:rPr>
          <w:b/>
          <w:color w:val="1E3A5F"/>
          <w:sz w:val="28"/>
        </w:rPr>
        <w:t>STO.1 — Introduction to the Securities Trading Organisation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MCQ INLINE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STO.1 | Video 1</w:t>
            </w:r>
          </w:p>
        </w:tc>
      </w:tr>
    </w:tbl>
    <w:p/>
    <w:p>
      <w:r>
        <w:rPr>
          <w:b/>
          <w:sz w:val="20"/>
        </w:rPr>
        <w:t>Which of the following BEST describes the primary role of the Back Office in a Securities Trading Organisation?</w:t>
      </w:r>
    </w:p>
    <w:p/>
    <w:p>
      <w:pPr>
        <w:ind w:left="432"/>
      </w:pPr>
      <w:r>
        <w:rPr>
          <w:sz w:val="20"/>
        </w:rPr>
        <w:t>A.  Executing trades on behalf of clients</w:t>
      </w:r>
    </w:p>
    <w:p>
      <w:pPr>
        <w:ind w:left="432"/>
      </w:pPr>
      <w:r>
        <w:rPr>
          <w:sz w:val="20"/>
        </w:rPr>
        <w:t>B.  Monitoring risk limits and P&amp;L attribution</w:t>
      </w:r>
    </w:p>
    <w:p>
      <w:pPr>
        <w:ind w:left="432"/>
      </w:pPr>
      <w:r>
        <w:rPr>
          <w:sz w:val="20"/>
        </w:rPr>
        <w:t>C.  Confirming, clearing, and settling trades</w:t>
      </w:r>
    </w:p>
    <w:p>
      <w:pPr>
        <w:ind w:left="432"/>
      </w:pPr>
      <w:r>
        <w:rPr>
          <w:sz w:val="20"/>
        </w:rPr>
        <w:t>D.  Generating investment research and market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answer: 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Define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STO.1 | Video 1</w:t>
            </w:r>
          </w:p>
        </w:tc>
      </w:tr>
    </w:tbl>
    <w:p/>
    <w:p>
      <w:r>
        <w:rPr>
          <w:b/>
          <w:sz w:val="20"/>
        </w:rPr>
        <w:t>Indicate whether each statement about the Securities Trading Organisation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The Chinese Wall prevents the front office from accessing client settlement information held by the back office.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Straight-Through Processing (STP) refers to a trade that requires manual intervention at every stage.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The STP rate is a key operational efficiency metric for the back office.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The front office is responsible for confirming and settling trades after execution.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TRUE | 2: FALSE | 3: TRUE | 4: 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Q3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GAP FILL DROPDOWN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STO.1 | Video 2</w:t>
            </w:r>
          </w:p>
        </w:tc>
      </w:tr>
    </w:tbl>
    <w:p/>
    <w:p>
      <w:r>
        <w:rPr>
          <w:i/>
          <w:color w:val="555555"/>
          <w:sz w:val="18"/>
        </w:rPr>
        <w:t>Complete the sentence by selecting the correct option for each blank.</w:t>
      </w:r>
    </w:p>
    <w:p/>
    <w:p>
      <w:r>
        <w:rPr>
          <w:sz w:val="20"/>
        </w:rPr>
        <w:t>In the STO trade lifecycle, after a trade is executed by the front office it flows through [BLANK1], then [BLANK2], and finally to [BLANK3] where securities and cash change hands.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5F"/>
            <w:tcW w:w="1007" w:type="dxa"/>
          </w:tcPr>
          <w:p>
            <w:r>
              <w:rPr>
                <w:b/>
                <w:color w:val="FFFFFF"/>
                <w:sz w:val="18"/>
              </w:rPr>
              <w:t>Blank</w:t>
            </w:r>
          </w:p>
        </w:tc>
        <w:tc>
          <w:tcPr>
            <w:tcW w:type="dxa" w:w="3120"/>
            <w:shd w:val="clear" w:color="auto" w:fill="005F5F"/>
            <w:tcW w:w="6048" w:type="dxa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2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[BLANK1]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trade confirmation | portfolio management | credit rating | marketing approval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trade confirmation</w:t>
            </w:r>
          </w:p>
        </w:tc>
      </w:tr>
      <w:tr>
        <w:tc>
          <w:tcPr>
            <w:tcW w:type="dxa" w:w="3120"/>
            <w:shd w:val="clear" w:color="auto" w:fill="EEF4FB"/>
            <w:tcW w:w="1007" w:type="dxa"/>
          </w:tcPr>
          <w:p>
            <w:r>
              <w:rPr>
                <w:sz w:val="18"/>
              </w:rPr>
              <w:t>[BLANK2]</w:t>
            </w:r>
          </w:p>
        </w:tc>
        <w:tc>
          <w:tcPr>
            <w:tcW w:type="dxa" w:w="3120"/>
            <w:shd w:val="clear" w:color="auto" w:fill="EEF4FB"/>
            <w:tcW w:w="6048" w:type="dxa"/>
          </w:tcPr>
          <w:p>
            <w:r>
              <w:rPr>
                <w:sz w:val="17"/>
              </w:rPr>
              <w:t>clearing | origination | underwriting | distribution</w:t>
            </w:r>
          </w:p>
        </w:tc>
        <w:tc>
          <w:tcPr>
            <w:tcW w:type="dxa" w:w="3120"/>
            <w:shd w:val="clear" w:color="auto" w:fill="EEF4FB"/>
            <w:tcW w:w="2592" w:type="dxa"/>
          </w:tcPr>
          <w:p>
            <w:r>
              <w:rPr>
                <w:sz w:val="18"/>
              </w:rPr>
              <w:t>clearing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[BLANK3]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settlement | execution | research | structuring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settlement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BLANK1: trade confirmation | BLANK2: clearing | BLANK3: settlement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Q4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MATCHING PAIRS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STO.1 | Video 2</w:t>
            </w:r>
          </w:p>
        </w:tc>
      </w:tr>
    </w:tbl>
    <w:p/>
    <w:p>
      <w:r>
        <w:rPr>
          <w:b/>
          <w:sz w:val="20"/>
        </w:rPr>
        <w:t>Match each STO system to its primary function.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Left Column</w:t>
            </w:r>
          </w:p>
        </w:tc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Match to Right Column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OMS (Order Management System)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Creates, tracks, and routes client orders from receipt to fill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EMS (Execution Management System)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Connects to exchanges and dark pools for market execution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Risk System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Monitors live trading positions against approved risk limits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Settlement System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Instructs custodians and clearinghouses to move securities and cash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Pairs matched as displayed above (left → right in order).</w:t>
            </w:r>
          </w:p>
        </w:tc>
      </w:tr>
    </w:tbl>
    <w:p/>
    <w:p>
      <w:r>
        <w:br w:type="page"/>
      </w:r>
    </w:p>
    <w:p>
      <w:r>
        <w:rPr>
          <w:b/>
          <w:color w:val="1E3A5F"/>
          <w:sz w:val="28"/>
        </w:rPr>
        <w:t>STO.2 — Front Office Operations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Q5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TABLE SELECTION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STO.2 | Video 1</w:t>
            </w:r>
          </w:p>
        </w:tc>
      </w:tr>
    </w:tbl>
    <w:p/>
    <w:p>
      <w:r>
        <w:rPr>
          <w:b/>
          <w:sz w:val="20"/>
        </w:rPr>
        <w:t>The table below lists individuals and activities. Tick (✓) each row that represents a Front Office role or responsibility.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5F"/>
            <w:tcW w:w="8352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4680"/>
            <w:shd w:val="clear" w:color="auto" w:fill="005F5F"/>
            <w:tcW w:w="1440" w:type="dxa"/>
          </w:tcPr>
          <w:p>
            <w:r>
              <w:rPr>
                <w:b/>
                <w:color w:val="FFFFFF"/>
                <w:sz w:val="18"/>
              </w:rPr>
              <w:t>Select (✓ if correct)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Equity Trader executing a client order on the NSE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Operations analyst confirming trade details with counterparty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Sales staff managing client relationship and channelling orders to traders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Risk manager independently verifying trader P&amp;L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Research analyst publishing an equity sector report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Reconciliation team comparing custodian statements to internal records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rows: 1, 3,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Q6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MCQ INLINE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STO.2 | Video 1</w:t>
            </w:r>
          </w:p>
        </w:tc>
      </w:tr>
    </w:tbl>
    <w:p/>
    <w:p>
      <w:r>
        <w:rPr>
          <w:b/>
          <w:sz w:val="20"/>
        </w:rPr>
        <w:t>Under best execution obligations (MiFID II / SEBI), which of the following factors must a firm consider when executing a client order?</w:t>
      </w:r>
    </w:p>
    <w:p/>
    <w:p>
      <w:pPr>
        <w:ind w:left="432"/>
      </w:pPr>
      <w:r>
        <w:rPr>
          <w:sz w:val="20"/>
        </w:rPr>
        <w:t>A.  Only the best available price at the time of execution</w:t>
      </w:r>
    </w:p>
    <w:p>
      <w:pPr>
        <w:ind w:left="432"/>
      </w:pPr>
      <w:r>
        <w:rPr>
          <w:sz w:val="20"/>
        </w:rPr>
        <w:t>B.  Price, speed of execution, likelihood of execution, size, and cost</w:t>
      </w:r>
    </w:p>
    <w:p>
      <w:pPr>
        <w:ind w:left="432"/>
      </w:pPr>
      <w:r>
        <w:rPr>
          <w:sz w:val="20"/>
        </w:rPr>
        <w:t>C.  Only the commission rate negotiated with the client</w:t>
      </w:r>
    </w:p>
    <w:p>
      <w:pPr>
        <w:ind w:left="432"/>
      </w:pPr>
      <w:r>
        <w:rPr>
          <w:sz w:val="20"/>
        </w:rPr>
        <w:t>D.  The firm's own proprietary trading interests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answer: 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Q7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STO.2 | Video 2</w:t>
            </w:r>
          </w:p>
        </w:tc>
      </w:tr>
    </w:tbl>
    <w:p/>
    <w:p>
      <w:r>
        <w:rPr>
          <w:b/>
          <w:sz w:val="20"/>
        </w:rPr>
        <w:t>Indicate whether each statement about front office trading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Proprietary trading involves the bank executing orders solely on behalf of its clients with no market risk to the bank.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A wrong-side error (buying instead of selling) is considered one of the most costly trade errors in the front office.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The Volcker Rule was introduced to restrict bank proprietary trading activity following the 2008 financial crisis.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Front office traders independently verify and mark their own P&amp;L without middle office involvement.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FALSE | 2: TRUE | 3: TRUE | 4: 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Q8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GAP FILL DROPDOWN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STO.2 | Video 1</w:t>
            </w:r>
          </w:p>
        </w:tc>
      </w:tr>
    </w:tbl>
    <w:p/>
    <w:p>
      <w:r>
        <w:rPr>
          <w:i/>
          <w:color w:val="555555"/>
          <w:sz w:val="18"/>
        </w:rPr>
        <w:t>Complete the sentence by selecting the correct option for each blank.</w:t>
      </w:r>
    </w:p>
    <w:p/>
    <w:p>
      <w:r>
        <w:rPr>
          <w:sz w:val="20"/>
        </w:rPr>
        <w:t>In agency trading, the bank executes on behalf of the [BLANK1] and earns a [BLANK2], bearing [BLANK3] market risk on the transaction.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5F"/>
            <w:tcW w:w="1007" w:type="dxa"/>
          </w:tcPr>
          <w:p>
            <w:r>
              <w:rPr>
                <w:b/>
                <w:color w:val="FFFFFF"/>
                <w:sz w:val="18"/>
              </w:rPr>
              <w:t>Blank</w:t>
            </w:r>
          </w:p>
        </w:tc>
        <w:tc>
          <w:tcPr>
            <w:tcW w:type="dxa" w:w="3120"/>
            <w:shd w:val="clear" w:color="auto" w:fill="005F5F"/>
            <w:tcW w:w="6048" w:type="dxa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2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[BLANK1]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client | regulator | central bank | competitor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3120"/>
            <w:shd w:val="clear" w:color="auto" w:fill="EEF4FB"/>
            <w:tcW w:w="1007" w:type="dxa"/>
          </w:tcPr>
          <w:p>
            <w:r>
              <w:rPr>
                <w:sz w:val="18"/>
              </w:rPr>
              <w:t>[BLANK2]</w:t>
            </w:r>
          </w:p>
        </w:tc>
        <w:tc>
          <w:tcPr>
            <w:tcW w:type="dxa" w:w="3120"/>
            <w:shd w:val="clear" w:color="auto" w:fill="EEF4FB"/>
            <w:tcW w:w="6048" w:type="dxa"/>
          </w:tcPr>
          <w:p>
            <w:r>
              <w:rPr>
                <w:sz w:val="17"/>
              </w:rPr>
              <w:t>commission | spread income | trading profit | margin call</w:t>
            </w:r>
          </w:p>
        </w:tc>
        <w:tc>
          <w:tcPr>
            <w:tcW w:type="dxa" w:w="3120"/>
            <w:shd w:val="clear" w:color="auto" w:fill="EEF4FB"/>
            <w:tcW w:w="2592" w:type="dxa"/>
          </w:tcPr>
          <w:p>
            <w:r>
              <w:rPr>
                <w:sz w:val="18"/>
              </w:rPr>
              <w:t>commission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[BLANK3]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no | full | partial | unlimited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BLANK1: client | BLANK2: commission | BLANK3: no</w:t>
            </w:r>
          </w:p>
        </w:tc>
      </w:tr>
    </w:tbl>
    <w:p/>
    <w:p>
      <w:r>
        <w:br w:type="page"/>
      </w:r>
    </w:p>
    <w:p>
      <w:r>
        <w:rPr>
          <w:b/>
          <w:color w:val="1E3A5F"/>
          <w:sz w:val="28"/>
        </w:rPr>
        <w:t>STO.3 — Middle Office Operations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Q9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MATCHING PAIRS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STO.3 | Video 1</w:t>
            </w:r>
          </w:p>
        </w:tc>
      </w:tr>
    </w:tbl>
    <w:p/>
    <w:p>
      <w:r>
        <w:rPr>
          <w:b/>
          <w:sz w:val="20"/>
        </w:rPr>
        <w:t>Match each middle office function to its correct description.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Left Column</w:t>
            </w:r>
          </w:p>
        </w:tc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Match to Right Column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Independent Price Verification (IPV)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Valuing positions using external sources to validate front office marks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P&amp;L Attribution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Breaking down daily profit and loss into market moves, carry, and new trades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Variation Margin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Daily cash or securities posted between OTC derivative counterparties based on MTM moves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Exception Management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Daily reporting and escalation of unconfirmed trades, limit breaches, and IPV differences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Pairs matched as displayed above (left → right in order).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Q10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MCQ INLINE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STO.3 | Video 1</w:t>
            </w:r>
          </w:p>
        </w:tc>
      </w:tr>
    </w:tbl>
    <w:p/>
    <w:p>
      <w:r>
        <w:rPr>
          <w:b/>
          <w:sz w:val="20"/>
        </w:rPr>
        <w:t>What is the PRIMARY purpose of Independent Price Verification (IPV) in the middle office?</w:t>
      </w:r>
    </w:p>
    <w:p/>
    <w:p>
      <w:pPr>
        <w:ind w:left="432"/>
      </w:pPr>
      <w:r>
        <w:rPr>
          <w:sz w:val="20"/>
        </w:rPr>
        <w:t>A.  To ensure traders submit their orders using the correct OMS workflow</w:t>
      </w:r>
    </w:p>
    <w:p>
      <w:pPr>
        <w:ind w:left="432"/>
      </w:pPr>
      <w:r>
        <w:rPr>
          <w:sz w:val="20"/>
        </w:rPr>
        <w:t>B.  To confirm that client settlement instructions have been received on time</w:t>
      </w:r>
    </w:p>
    <w:p>
      <w:pPr>
        <w:ind w:left="432"/>
      </w:pPr>
      <w:r>
        <w:rPr>
          <w:sz w:val="20"/>
        </w:rPr>
        <w:t>C.  To prevent traders from inflating their own book valuations by using independent pricing sources</w:t>
      </w:r>
    </w:p>
    <w:p>
      <w:pPr>
        <w:ind w:left="432"/>
      </w:pPr>
      <w:r>
        <w:rPr>
          <w:sz w:val="20"/>
        </w:rPr>
        <w:t>D.  To reconcile the firm's cash accounts with the custodian's daily statement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answer: 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Q11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STO.3 | Video 2</w:t>
            </w:r>
          </w:p>
        </w:tc>
      </w:tr>
    </w:tbl>
    <w:p/>
    <w:p>
      <w:r>
        <w:rPr>
          <w:b/>
          <w:sz w:val="20"/>
        </w:rPr>
        <w:t>Indicate whether each statement about middle office controls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An IPV reserve is applied when the front office price and the independent source price differ materially.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Variation margin is only required for exchange-traded derivatives, not OTC instruments.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P&amp;L attribution aims to explain every rupee of daily profit and loss, with zero unexplained residual as the target.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The middle office reports directly into the front office trading desk to ensure close collaboration.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TRUE | 2: FALSE | 3: TRUE | 4: 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Q12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GAP FILL DROPDOWN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STO.3 | Video 2</w:t>
            </w:r>
          </w:p>
        </w:tc>
      </w:tr>
    </w:tbl>
    <w:p/>
    <w:p>
      <w:r>
        <w:rPr>
          <w:i/>
          <w:color w:val="555555"/>
          <w:sz w:val="18"/>
        </w:rPr>
        <w:t>Complete the sentence by selecting the correct option for each blank.</w:t>
      </w:r>
    </w:p>
    <w:p/>
    <w:p>
      <w:r>
        <w:rPr>
          <w:sz w:val="20"/>
        </w:rPr>
        <w:t>Under an ISDA [BLANK1], counterparties post [BLANK2] daily to cover mark-to-market exposure, and a larger upfront [BLANK3] buffer for potential future exposure.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5F"/>
            <w:tcW w:w="1007" w:type="dxa"/>
          </w:tcPr>
          <w:p>
            <w:r>
              <w:rPr>
                <w:b/>
                <w:color w:val="FFFFFF"/>
                <w:sz w:val="18"/>
              </w:rPr>
              <w:t>Blank</w:t>
            </w:r>
          </w:p>
        </w:tc>
        <w:tc>
          <w:tcPr>
            <w:tcW w:type="dxa" w:w="3120"/>
            <w:shd w:val="clear" w:color="auto" w:fill="005F5F"/>
            <w:tcW w:w="6048" w:type="dxa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2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[BLANK1]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Credit Support Annex (CSA) | Master Confirmation Agreement | ISDA Schedule | Global Master Repo Agreement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Credit Support Annex (CSA)</w:t>
            </w:r>
          </w:p>
        </w:tc>
      </w:tr>
      <w:tr>
        <w:tc>
          <w:tcPr>
            <w:tcW w:type="dxa" w:w="3120"/>
            <w:shd w:val="clear" w:color="auto" w:fill="EEF4FB"/>
            <w:tcW w:w="1007" w:type="dxa"/>
          </w:tcPr>
          <w:p>
            <w:r>
              <w:rPr>
                <w:sz w:val="18"/>
              </w:rPr>
              <w:t>[BLANK2]</w:t>
            </w:r>
          </w:p>
        </w:tc>
        <w:tc>
          <w:tcPr>
            <w:tcW w:type="dxa" w:w="3120"/>
            <w:shd w:val="clear" w:color="auto" w:fill="EEF4FB"/>
            <w:tcW w:w="6048" w:type="dxa"/>
          </w:tcPr>
          <w:p>
            <w:r>
              <w:rPr>
                <w:sz w:val="17"/>
              </w:rPr>
              <w:t>variation margin | initial margin | settlement proceeds | haircut adjustment</w:t>
            </w:r>
          </w:p>
        </w:tc>
        <w:tc>
          <w:tcPr>
            <w:tcW w:type="dxa" w:w="3120"/>
            <w:shd w:val="clear" w:color="auto" w:fill="EEF4FB"/>
            <w:tcW w:w="2592" w:type="dxa"/>
          </w:tcPr>
          <w:p>
            <w:r>
              <w:rPr>
                <w:sz w:val="18"/>
              </w:rPr>
              <w:t>variation margin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[BLANK3]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initial margin | variation margin | performance bond | security deposit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initial margin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BLANK1: Credit Support Annex (CSA) | BLANK2: variation margin | BLANK3: initial margin</w:t>
            </w:r>
          </w:p>
        </w:tc>
      </w:tr>
    </w:tbl>
    <w:p/>
    <w:p>
      <w:r>
        <w:br w:type="page"/>
      </w:r>
    </w:p>
    <w:p>
      <w:r>
        <w:rPr>
          <w:b/>
          <w:color w:val="1E3A5F"/>
          <w:sz w:val="28"/>
        </w:rPr>
        <w:t>STO.4 — Back Office Operations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Q13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TABLE SELECTION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STO.4 | Video 1</w:t>
            </w:r>
          </w:p>
        </w:tc>
      </w:tr>
    </w:tbl>
    <w:p/>
    <w:p>
      <w:r>
        <w:rPr>
          <w:b/>
          <w:sz w:val="20"/>
        </w:rPr>
        <w:t>The table below lists settlement-related statements. Tick (✓) each statement that is CORRECT.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5F"/>
            <w:tcW w:w="8352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4680"/>
            <w:shd w:val="clear" w:color="auto" w:fill="005F5F"/>
            <w:tcW w:w="1440" w:type="dxa"/>
          </w:tcPr>
          <w:p>
            <w:r>
              <w:rPr>
                <w:b/>
                <w:color w:val="FFFFFF"/>
                <w:sz w:val="18"/>
              </w:rPr>
              <w:t>Select (✓ if correct)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DVP (Delivery versus Payment) ensures securities and cash move simultaneously, eliminating Herstatt Risk.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In India, equity settlement moved to T+1 in January 2023, making it one of the fastest globally.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In a DVP settlement, if the cash leg fails the securities leg still completes automatically.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NSDL and CDSL are India's Central Securities Depositories.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A custodian holds securities in commingled accounts alongside the firm's own proprietary assets.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rows: 1, 2,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Q14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MCQ INLINE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STO.4 | Video 1</w:t>
            </w:r>
          </w:p>
        </w:tc>
      </w:tr>
    </w:tbl>
    <w:p/>
    <w:p>
      <w:r>
        <w:rPr>
          <w:b/>
          <w:sz w:val="20"/>
        </w:rPr>
        <w:t>Which of the following is the MOST common cause of preventable settlement failures?</w:t>
      </w:r>
    </w:p>
    <w:p/>
    <w:p>
      <w:pPr>
        <w:ind w:left="432"/>
      </w:pPr>
      <w:r>
        <w:rPr>
          <w:sz w:val="20"/>
        </w:rPr>
        <w:t>A.  Market prices moving against the expected settlement value</w:t>
      </w:r>
    </w:p>
    <w:p>
      <w:pPr>
        <w:ind w:left="432"/>
      </w:pPr>
      <w:r>
        <w:rPr>
          <w:sz w:val="20"/>
        </w:rPr>
        <w:t>B.  Incorrect Standard Settlement Instructions (SSI) routing the trade to the wrong custodian</w:t>
      </w:r>
    </w:p>
    <w:p>
      <w:pPr>
        <w:ind w:left="432"/>
      </w:pPr>
      <w:r>
        <w:rPr>
          <w:sz w:val="20"/>
        </w:rPr>
        <w:t>C.  The central securities depository being closed on the value date</w:t>
      </w:r>
    </w:p>
    <w:p>
      <w:pPr>
        <w:ind w:left="432"/>
      </w:pPr>
      <w:r>
        <w:rPr>
          <w:sz w:val="20"/>
        </w:rPr>
        <w:t>D.  The front office executing at a price different from the client's limit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answer: 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Q15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MATCHING PAIRS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STO.4 | Video 2</w:t>
            </w:r>
          </w:p>
        </w:tc>
      </w:tr>
    </w:tbl>
    <w:p/>
    <w:p>
      <w:r>
        <w:rPr>
          <w:b/>
          <w:sz w:val="20"/>
        </w:rPr>
        <w:t>Match each reconciliation break type to its correct resolution.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Left Column</w:t>
            </w:r>
          </w:p>
        </w:tc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Match to Right Column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Timing break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Resolves automatically when the trade settles in the next business day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Error break (wrong ISIN booked)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Requires manual investigation, trade amendment, and reconfirmation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Aged break (&gt;3 days)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Must be escalated to senior management and logged in exception report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Cash reconciliation break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Cross-referenced against bank statements and nostro accounts to identify missing credits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Pairs matched as displayed above (left → right in order).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Q16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STO.4 | Video 2</w:t>
            </w:r>
          </w:p>
        </w:tc>
      </w:tr>
    </w:tbl>
    <w:p/>
    <w:p>
      <w:r>
        <w:rPr>
          <w:b/>
          <w:sz w:val="20"/>
        </w:rPr>
        <w:t>Indicate whether each statement about custody and settlement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A global custodian holds client securities in accounts that are legally segregated from the firm's own proprietary assets.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A buy-in is a routine settlement mechanism used for all trades regardless of failure status.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Reconciliation compares the firm's internal position records against custodian statements and CSD records.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Under CSDR in Europe, firms face no financial penalty for settlement failures below a certain size threshold.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TRUE | 2: FALSE | 3: TRUE | 4: FALSE</w:t>
            </w:r>
          </w:p>
        </w:tc>
      </w:tr>
    </w:tbl>
    <w:p/>
    <w:p>
      <w:r>
        <w:br w:type="page"/>
      </w:r>
    </w:p>
    <w:p>
      <w:r>
        <w:rPr>
          <w:b/>
          <w:color w:val="1E3A5F"/>
          <w:sz w:val="28"/>
        </w:rPr>
        <w:t>STO.5 — Reference Data Management (RDM)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Q17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MCQ INLINE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Define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STO.5 | Video 1</w:t>
            </w:r>
          </w:p>
        </w:tc>
      </w:tr>
    </w:tbl>
    <w:p/>
    <w:p>
      <w:r>
        <w:rPr>
          <w:b/>
          <w:sz w:val="20"/>
        </w:rPr>
        <w:t>Which of the following BEST distinguishes reference data from market data?</w:t>
      </w:r>
    </w:p>
    <w:p/>
    <w:p>
      <w:pPr>
        <w:ind w:left="432"/>
      </w:pPr>
      <w:r>
        <w:rPr>
          <w:sz w:val="20"/>
        </w:rPr>
        <w:t>A.  Reference data is real-time pricing; market data is historical pricing</w:t>
      </w:r>
    </w:p>
    <w:p>
      <w:pPr>
        <w:ind w:left="432"/>
      </w:pPr>
      <w:r>
        <w:rPr>
          <w:sz w:val="20"/>
        </w:rPr>
        <w:t>B.  Reference data is static foundational information about instruments and parties; market data is live transactional pricing</w:t>
      </w:r>
    </w:p>
    <w:p>
      <w:pPr>
        <w:ind w:left="432"/>
      </w:pPr>
      <w:r>
        <w:rPr>
          <w:sz w:val="20"/>
        </w:rPr>
        <w:t>C.  Reference data is generated by traders; market data is generated by operations teams</w:t>
      </w:r>
    </w:p>
    <w:p>
      <w:pPr>
        <w:ind w:left="432"/>
      </w:pPr>
      <w:r>
        <w:rPr>
          <w:sz w:val="20"/>
        </w:rPr>
        <w:t>D.  Reference data changes every second; market data changes annually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answer: 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Q18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MATCHING PAIRS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STO.5 | Video 1</w:t>
            </w:r>
          </w:p>
        </w:tc>
      </w:tr>
    </w:tbl>
    <w:p/>
    <w:p>
      <w:r>
        <w:rPr>
          <w:b/>
          <w:sz w:val="20"/>
        </w:rPr>
        <w:t>Match each reference data type to the correct example.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Left Column</w:t>
            </w:r>
          </w:p>
        </w:tc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Match to Right Column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Security Master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ISIN: INE002A01018 | Asset class: Equity | Exchange: NSE | Currency: INR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Counterparty / Entity Data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LEI: 335800ZVKESJ9EVKH008 | BIC: ICICIINBBXXX | Legal name: ICICI Bank Ltd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Standard Settlement Instructions (SSI)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Custodian: Deutsche Bank Mumbai | Account: 123456789 | Depository: NSDL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Corporate Actions Data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Ex-dividend date: 15 July | Record date: 16 July | Payment date: 25 July | Dividend: Rs 18 per share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Pairs matched as displayed above (left → right in order).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Q19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STO.5 | Video 2</w:t>
            </w:r>
          </w:p>
        </w:tc>
      </w:tr>
    </w:tbl>
    <w:p/>
    <w:p>
      <w:r>
        <w:rPr>
          <w:b/>
          <w:sz w:val="20"/>
        </w:rPr>
        <w:t>Indicate whether each statement about reference data management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The "golden copy" is a single authoritative reference data record consumed by all downstream systems to prevent version drift.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Reference data records should be deleted immediately when they are no longer active to keep the database clean.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Stale SSI data is considered the single most common cause of preventable settlement failures.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Bloomberg, Refinitiv, and DTCC always publish identical reference data, so no reconciliation between sources is needed.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TRUE | 2: FALSE | 3: TRUE | 4: 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Q20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GAP FILL DROPDOWN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STO.5 | Video 2</w:t>
            </w:r>
          </w:p>
        </w:tc>
      </w:tr>
    </w:tbl>
    <w:p/>
    <w:p>
      <w:r>
        <w:rPr>
          <w:i/>
          <w:color w:val="555555"/>
          <w:sz w:val="18"/>
        </w:rPr>
        <w:t>Complete the sentence by selecting the correct option for each blank.</w:t>
      </w:r>
    </w:p>
    <w:p/>
    <w:p>
      <w:r>
        <w:rPr>
          <w:sz w:val="20"/>
        </w:rPr>
        <w:t>The reference data lifecycle begins with [BLANK1] of a new record, followed by [BLANK2] against external authoritative sources, and a [BLANK3] sign-off before the record is distributed to downstream systems.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5F"/>
            <w:tcW w:w="1007" w:type="dxa"/>
          </w:tcPr>
          <w:p>
            <w:r>
              <w:rPr>
                <w:b/>
                <w:color w:val="FFFFFF"/>
                <w:sz w:val="18"/>
              </w:rPr>
              <w:t>Blank</w:t>
            </w:r>
          </w:p>
        </w:tc>
        <w:tc>
          <w:tcPr>
            <w:tcW w:type="dxa" w:w="3120"/>
            <w:shd w:val="clear" w:color="auto" w:fill="005F5F"/>
            <w:tcW w:w="6048" w:type="dxa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2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[BLANK1]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creation | deletion | archiving | pricing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creation</w:t>
            </w:r>
          </w:p>
        </w:tc>
      </w:tr>
      <w:tr>
        <w:tc>
          <w:tcPr>
            <w:tcW w:type="dxa" w:w="3120"/>
            <w:shd w:val="clear" w:color="auto" w:fill="EEF4FB"/>
            <w:tcW w:w="1007" w:type="dxa"/>
          </w:tcPr>
          <w:p>
            <w:r>
              <w:rPr>
                <w:sz w:val="18"/>
              </w:rPr>
              <w:t>[BLANK2]</w:t>
            </w:r>
          </w:p>
        </w:tc>
        <w:tc>
          <w:tcPr>
            <w:tcW w:type="dxa" w:w="3120"/>
            <w:shd w:val="clear" w:color="auto" w:fill="EEF4FB"/>
            <w:tcW w:w="6048" w:type="dxa"/>
          </w:tcPr>
          <w:p>
            <w:r>
              <w:rPr>
                <w:sz w:val="17"/>
              </w:rPr>
              <w:t>validation | speculation | settlement | execution</w:t>
            </w:r>
          </w:p>
        </w:tc>
        <w:tc>
          <w:tcPr>
            <w:tcW w:type="dxa" w:w="3120"/>
            <w:shd w:val="clear" w:color="auto" w:fill="EEF4FB"/>
            <w:tcW w:w="2592" w:type="dxa"/>
          </w:tcPr>
          <w:p>
            <w:r>
              <w:rPr>
                <w:sz w:val="18"/>
              </w:rPr>
              <w:t>validation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[BLANK3]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four-eyes | single approver | client | regulator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four-eyes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BLANK1: creation | BLANK2: validation | BLANK3: four-eyes</w:t>
            </w:r>
          </w:p>
        </w:tc>
      </w:tr>
    </w:tbl>
    <w:p/>
    <w:p>
      <w:r>
        <w:br w:type="page"/>
      </w:r>
    </w:p>
    <w:p>
      <w:r>
        <w:rPr>
          <w:b/>
          <w:color w:val="1E3A5F"/>
          <w:sz w:val="28"/>
        </w:rPr>
        <w:t>STO.6 — Corporate Actions Processing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Q21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TRUE/FALSE MULTI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Define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STO.6 | Video 1</w:t>
            </w:r>
          </w:p>
        </w:tc>
      </w:tr>
    </w:tbl>
    <w:p/>
    <w:p>
      <w:r>
        <w:rPr>
          <w:b/>
          <w:sz w:val="20"/>
        </w:rPr>
        <w:t>Indicate whether each statement about corporate actions is TRUE or FALSE.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W w:w="7920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20"/>
            <w:shd w:val="clear" w:color="auto" w:fill="1E3A5F"/>
            <w:tcW w:w="1296" w:type="dxa"/>
          </w:tcPr>
          <w:p>
            <w:r>
              <w:rPr>
                <w:b/>
                <w:color w:val="FFFFFF"/>
                <w:sz w:val="18"/>
              </w:rPr>
              <w:t>True / False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A mandatory corporate action requires the shareholder to make an election within a specified deadline.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In a 2-for-1 stock split, the total market capitalisation of the company remains unchanged.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20"/>
            <w:shd w:val="clear" w:color="auto" w:fill="FFFFFF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  <w:tcW w:w="7920" w:type="dxa"/>
          </w:tcPr>
          <w:p>
            <w:r>
              <w:rPr>
                <w:sz w:val="18"/>
              </w:rPr>
              <w:t>The ex-dividend date is the date on which the company pays the dividend to shareholders of record.</w:t>
            </w:r>
          </w:p>
        </w:tc>
        <w:tc>
          <w:tcPr>
            <w:tcW w:type="dxa" w:w="3120"/>
            <w:shd w:val="clear" w:color="auto" w:fill="FFFFFF"/>
            <w:tcW w:w="1296" w:type="dxa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20"/>
            <w:shd w:val="clear" w:color="auto" w:fill="F0F7F4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0F7F4"/>
            <w:tcW w:w="7920" w:type="dxa"/>
          </w:tcPr>
          <w:p>
            <w:r>
              <w:rPr>
                <w:sz w:val="18"/>
              </w:rPr>
              <w:t>A rights issue is an example of a voluntary corporate action that requires the shareholder to elect an option.</w:t>
            </w:r>
          </w:p>
        </w:tc>
        <w:tc>
          <w:tcPr>
            <w:tcW w:type="dxa" w:w="3120"/>
            <w:shd w:val="clear" w:color="auto" w:fill="F0F7F4"/>
            <w:tcW w:w="1296" w:type="dxa"/>
          </w:tcPr>
          <w:p>
            <w:r>
              <w:rPr>
                <w:sz w:val="18"/>
              </w:rPr>
              <w:t>True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1: FALSE | 2: TRUE | 3: FALSE | 4: TRUE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Q22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MATCHING PAIRS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Identify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STO.6 | Video 1</w:t>
            </w:r>
          </w:p>
        </w:tc>
      </w:tr>
    </w:tbl>
    <w:p/>
    <w:p>
      <w:r>
        <w:rPr>
          <w:b/>
          <w:sz w:val="20"/>
        </w:rPr>
        <w:t>Match each corporate action key date to its correct definition.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Left Column</w:t>
            </w:r>
          </w:p>
        </w:tc>
        <w:tc>
          <w:tcPr>
            <w:tcW w:type="dxa" w:w="4680"/>
            <w:shd w:val="clear" w:color="auto" w:fill="1E3A5F"/>
            <w:tcW w:w="4896" w:type="dxa"/>
          </w:tcPr>
          <w:p>
            <w:r>
              <w:rPr>
                <w:b/>
                <w:color w:val="FFFFFF"/>
                <w:sz w:val="18"/>
              </w:rPr>
              <w:t>Match to Right Column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Declaration Date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Date on which the company announces the corporate action terms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Ex-Dividend Date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First date on which a buyer of the shares is NOT entitled to the dividend</w:t>
            </w:r>
          </w:p>
        </w:tc>
      </w:tr>
      <w:tr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Record Date</w:t>
            </w:r>
          </w:p>
        </w:tc>
        <w:tc>
          <w:tcPr>
            <w:tcW w:type="dxa" w:w="4680"/>
            <w:shd w:val="clear" w:color="auto" w:fill="FFFFFF"/>
            <w:tcW w:w="4896" w:type="dxa"/>
          </w:tcPr>
          <w:p>
            <w:r>
              <w:rPr>
                <w:sz w:val="18"/>
              </w:rPr>
              <w:t>Date on which the company compiles the official register of shareholders entitled to the action</w:t>
            </w:r>
          </w:p>
        </w:tc>
      </w:tr>
      <w:tr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Payment Date</w:t>
            </w:r>
          </w:p>
        </w:tc>
        <w:tc>
          <w:tcPr>
            <w:tcW w:type="dxa" w:w="4680"/>
            <w:shd w:val="clear" w:color="auto" w:fill="F0F7F4"/>
            <w:tcW w:w="4896" w:type="dxa"/>
          </w:tcPr>
          <w:p>
            <w:r>
              <w:rPr>
                <w:sz w:val="18"/>
              </w:rPr>
              <w:t>Date on which the dividend cash or entitlement is credited to shareholder accounts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Pairs matched as displayed above (left → right in order).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Q23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GAP FILL DROPDOWN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Describe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STO.6 | Video 2</w:t>
            </w:r>
          </w:p>
        </w:tc>
      </w:tr>
    </w:tbl>
    <w:p/>
    <w:p>
      <w:r>
        <w:rPr>
          <w:i/>
          <w:color w:val="555555"/>
          <w:sz w:val="18"/>
        </w:rPr>
        <w:t>Complete the sentence by selecting the correct option for each blank.</w:t>
      </w:r>
    </w:p>
    <w:p/>
    <w:p>
      <w:r>
        <w:rPr>
          <w:sz w:val="20"/>
        </w:rPr>
        <w:t>In a rights issue, shareholders who do not respond by the election deadline will have their entitlement treated according to the [BLANK1] option, and the back office must [BLANK2] all clients with eligible holdings on [BLANK3].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5F"/>
            <w:tcW w:w="1007" w:type="dxa"/>
          </w:tcPr>
          <w:p>
            <w:r>
              <w:rPr>
                <w:b/>
                <w:color w:val="FFFFFF"/>
                <w:sz w:val="18"/>
              </w:rPr>
              <w:t>Blank</w:t>
            </w:r>
          </w:p>
        </w:tc>
        <w:tc>
          <w:tcPr>
            <w:tcW w:type="dxa" w:w="3120"/>
            <w:shd w:val="clear" w:color="auto" w:fill="005F5F"/>
            <w:tcW w:w="6048" w:type="dxa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2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[BLANK1]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default | forced exercise | open market sale | director discretion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3120"/>
            <w:shd w:val="clear" w:color="auto" w:fill="EEF4FB"/>
            <w:tcW w:w="1007" w:type="dxa"/>
          </w:tcPr>
          <w:p>
            <w:r>
              <w:rPr>
                <w:sz w:val="18"/>
              </w:rPr>
              <w:t>[BLANK2]</w:t>
            </w:r>
          </w:p>
        </w:tc>
        <w:tc>
          <w:tcPr>
            <w:tcW w:type="dxa" w:w="3120"/>
            <w:shd w:val="clear" w:color="auto" w:fill="EEF4FB"/>
            <w:tcW w:w="6048" w:type="dxa"/>
          </w:tcPr>
          <w:p>
            <w:r>
              <w:rPr>
                <w:sz w:val="17"/>
              </w:rPr>
              <w:t>notify | trade against | ignore | merge</w:t>
            </w:r>
          </w:p>
        </w:tc>
        <w:tc>
          <w:tcPr>
            <w:tcW w:type="dxa" w:w="3120"/>
            <w:shd w:val="clear" w:color="auto" w:fill="EEF4FB"/>
            <w:tcW w:w="2592" w:type="dxa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3120"/>
            <w:shd w:val="clear" w:color="auto" w:fill="FFFFFF"/>
            <w:tcW w:w="1007" w:type="dxa"/>
          </w:tcPr>
          <w:p>
            <w:r>
              <w:rPr>
                <w:sz w:val="18"/>
              </w:rPr>
              <w:t>[BLANK3]</w:t>
            </w:r>
          </w:p>
        </w:tc>
        <w:tc>
          <w:tcPr>
            <w:tcW w:type="dxa" w:w="3120"/>
            <w:shd w:val="clear" w:color="auto" w:fill="FFFFFF"/>
            <w:tcW w:w="6048" w:type="dxa"/>
          </w:tcPr>
          <w:p>
            <w:r>
              <w:rPr>
                <w:sz w:val="17"/>
              </w:rPr>
              <w:t>record date | payment date | ex-date | declaration date</w:t>
            </w:r>
          </w:p>
        </w:tc>
        <w:tc>
          <w:tcPr>
            <w:tcW w:type="dxa" w:w="3120"/>
            <w:shd w:val="clear" w:color="auto" w:fill="FFFFFF"/>
            <w:tcW w:w="2592" w:type="dxa"/>
          </w:tcPr>
          <w:p>
            <w:r>
              <w:rPr>
                <w:sz w:val="18"/>
              </w:rPr>
              <w:t>record 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BLANK1: default | BLANK2: notify | BLANK3: record 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W w:w="864" w:type="dxa"/>
          </w:tcPr>
          <w:p>
            <w:r>
              <w:rPr>
                <w:b/>
                <w:color w:val="FFFFFF"/>
                <w:sz w:val="18"/>
              </w:rPr>
              <w:t>Q24</w:t>
            </w:r>
          </w:p>
        </w:tc>
        <w:tc>
          <w:tcPr>
            <w:tcW w:type="dxa" w:w="2340"/>
            <w:shd w:val="clear" w:color="auto" w:fill="005F5F"/>
            <w:tcW w:w="2592" w:type="dxa"/>
          </w:tcPr>
          <w:p>
            <w:r>
              <w:rPr>
                <w:b/>
                <w:color w:val="FFFFFF"/>
                <w:sz w:val="18"/>
              </w:rPr>
              <w:t>TABLE SELECTION</w:t>
            </w:r>
          </w:p>
        </w:tc>
        <w:tc>
          <w:tcPr>
            <w:tcW w:type="dxa" w:w="2340"/>
            <w:shd w:val="clear" w:color="auto" w:fill="8B6914"/>
            <w:tcW w:w="2592" w:type="dxa"/>
          </w:tcPr>
          <w:p>
            <w:r>
              <w:rPr>
                <w:b/>
                <w:color w:val="FFFFFF"/>
                <w:sz w:val="18"/>
              </w:rPr>
              <w:t>EAR: Explain</w:t>
            </w:r>
          </w:p>
        </w:tc>
        <w:tc>
          <w:tcPr>
            <w:tcW w:type="dxa" w:w="2340"/>
            <w:shd w:val="clear" w:color="auto" w:fill="EEEEEE"/>
            <w:tcW w:w="4464" w:type="dxa"/>
          </w:tcPr>
          <w:p>
            <w:r>
              <w:rPr>
                <w:b/>
                <w:color w:val="1E1E1E"/>
                <w:sz w:val="18"/>
              </w:rPr>
              <w:t>STO.6 | Video 2</w:t>
            </w:r>
          </w:p>
        </w:tc>
      </w:tr>
    </w:tbl>
    <w:p/>
    <w:p>
      <w:r>
        <w:rPr>
          <w:b/>
          <w:sz w:val="20"/>
        </w:rPr>
        <w:t>The table below lists corporate action processing risks. Tick (✓) each item that represents a GENUINE operational risk.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5F"/>
            <w:tcW w:w="8352" w:type="dxa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4680"/>
            <w:shd w:val="clear" w:color="auto" w:fill="005F5F"/>
            <w:tcW w:w="1440" w:type="dxa"/>
          </w:tcPr>
          <w:p>
            <w:r>
              <w:rPr>
                <w:b/>
                <w:color w:val="FFFFFF"/>
                <w:sz w:val="18"/>
              </w:rPr>
              <w:t>Select (✓ if correct)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Missed election deadline causing a client to lose a rights issue entitlement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A stock split that automatically doubles a client's share count without any system update needed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Wrong entitlement calculation crediting a dividend on an incorrect position quantity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0F7F4"/>
            <w:tcW w:w="8352" w:type="dxa"/>
          </w:tcPr>
          <w:p>
            <w:r>
              <w:rPr>
                <w:sz w:val="18"/>
              </w:rPr>
              <w:t>An FX conversion error when crediting a foreign dividend in the wrong currency</w:t>
            </w:r>
          </w:p>
        </w:tc>
        <w:tc>
          <w:tcPr>
            <w:tcW w:type="dxa" w:w="4680"/>
            <w:shd w:val="clear" w:color="auto" w:fill="F0F7F4"/>
            <w:tcW w:w="1440" w:type="dx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680"/>
            <w:shd w:val="clear" w:color="auto" w:fill="FFFFFF"/>
            <w:tcW w:w="8352" w:type="dxa"/>
          </w:tcPr>
          <w:p>
            <w:r>
              <w:rPr>
                <w:sz w:val="18"/>
              </w:rPr>
              <w:t>A cash dividend that is automatically credited, requiring no back office involvement whatsoever</w:t>
            </w:r>
          </w:p>
        </w:tc>
        <w:tc>
          <w:tcPr>
            <w:tcW w:type="dxa" w:w="4680"/>
            <w:shd w:val="clear" w:color="auto" w:fill="FFFFFF"/>
            <w:tcW w:w="1440" w:type="dxa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r>
              <w:rPr>
                <w:b/>
                <w:color w:val="8B6914"/>
                <w:sz w:val="18"/>
              </w:rPr>
              <w:t>✓  ANSWER KEY: Correct rows: 1, 3, 4</w:t>
            </w:r>
          </w:p>
        </w:tc>
      </w:tr>
    </w:tbl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CIBOP PPT 08 — Securities Trading Organisation &amp; RDM  |  Knowledge Assessment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