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E3A5F"/>
          <w:sz w:val="48"/>
          <w:szCs w:val="48"/>
        </w:rPr>
        <w:t xml:space="preserve">EXCHANGE TRADE LIFE CYCLE</w:t>
      </w:r>
    </w:p>
    <w:p>
      <w:pPr>
        <w:spacing w:after="200" w:before="0"/>
        <w:jc w:val="center"/>
      </w:pPr>
      <w:r>
        <w:rPr>
          <w:rFonts w:ascii="Arial" w:cs="Arial" w:eastAsia="Arial" w:hAnsi="Arial"/>
          <w:color w:val="005F5F"/>
          <w:sz w:val="36"/>
          <w:szCs w:val="36"/>
        </w:rPr>
        <w:t xml:space="preserve">Knowledge Assessment</w:t>
      </w:r>
    </w:p>
    <w:p>
      <w:pPr>
        <w:spacing w:after="200" w:before="0"/>
        <w:jc w:val="center"/>
      </w:pPr>
      <w:r>
        <w:rPr>
          <w:rFonts w:ascii="Arial" w:cs="Arial" w:eastAsia="Arial" w:hAnsi="Arial"/>
          <w:color w:val="666666"/>
          <w:sz w:val="22"/>
          <w:szCs w:val="22"/>
        </w:rPr>
        <w:t xml:space="preserve">Version 3  |  CIBOP Capital Markets Programme</w:t>
      </w:r>
    </w:p>
    <w:p>
      <w:pPr>
        <w:spacing w:after="200" w:before="0"/>
        <w:jc w:val="center"/>
      </w:pPr>
      <w:r>
        <w:rPr>
          <w:rFonts w:ascii="Arial" w:cs="Arial" w:eastAsia="Arial" w:hAnsi="Arial"/>
          <w:color w:val="666666"/>
          <w:sz w:val="22"/>
          <w:szCs w:val="22"/>
        </w:rPr>
        <w:t xml:space="preserve">40 Questions  |  ETLC.1 through ETLC.10</w:t>
      </w:r>
    </w:p>
    <w:p>
      <w:r>
        <w:br w:type="page"/>
      </w:r>
    </w:p>
    <w:p>
      <w:pPr>
        <w:spacing w:after="80" w:before="100"/>
      </w:pPr>
      <w:r>
        <w:rPr>
          <w:rFonts w:ascii="Arial" w:cs="Arial" w:eastAsia="Arial" w:hAnsi="Arial"/>
          <w:b/>
          <w:bCs/>
          <w:color w:val="1E3A5F"/>
          <w:sz w:val="26"/>
          <w:szCs w:val="26"/>
        </w:rPr>
        <w:t xml:space="preserve">Assessment Instructions</w:t>
      </w:r>
    </w:p>
    <w:p>
      <w:pPr>
        <w:spacing w:after="60" w:before="60"/>
      </w:pPr>
      <w:r>
        <w:rPr>
          <w:rFonts w:ascii="Arial" w:cs="Arial" w:eastAsia="Arial" w:hAnsi="Arial"/>
          <w:sz w:val="18"/>
          <w:szCs w:val="18"/>
        </w:rPr>
        <w:t xml:space="preserve">This assessment contains 40 questions across 10 UORs (4 questions per UOR). All questions are based directly on the ETLC slide content and SSI Consequences PDF. Correct answers with source citations appear in the green boxes below each question.</w:t>
      </w:r>
    </w:p>
    <w:p>
      <w:pPr>
        <w:spacing w:after="120" w:before="60"/>
      </w:pPr>
      <w:r>
        <w:rPr>
          <w:rFonts w:ascii="Arial" w:cs="Arial" w:eastAsia="Arial" w:hAnsi="Arial"/>
          <w:color w:val="005F5F"/>
          <w:sz w:val="18"/>
          <w:szCs w:val="18"/>
        </w:rPr>
        <w:t xml:space="preserve">Question types used: MCQ INLINE | TRUE/FALSE MULTI | GAP FILL DROPDOWN | MATCHING PAIRS | TABLE SELECTION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ETLC.1</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ETLC.1</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15, which of the following correctly lists the three stages of the Exchange Trade Life Cycle in order?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Trade Settlement, Trade Confirmation, Trade Reporting</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Trade Initiation, Trade Execution, Trade Reconciliation</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Front Office (Trading Activities), Middle Office, Back Office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Trade Capture, Trade Enrichment, Trade Validation</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C — Slide 15 divides the TLC into three stages: Trading Activities (Front Office), Middle Office, and Back Office.</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ETLC.1</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 15: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Enrichment is a Front Office activity.</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Validation and Trade Verification are Middle Office activities.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Settlement occurs in the Back Office.</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Capture is listed as a Back Office activity.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 T, T, F — Slide 15 places Enrichment, Validation, Verification, and Confirmation in Middle Office; Trade Capture is Front Office; Settlement and Reconciliation are Back Office.</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ETLC.1</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GAP FILL DROPDOWN</w:t>
            </w:r>
          </w:p>
        </w:tc>
      </w:tr>
    </w:tbl>
    <w:p>
      <w:pPr>
        <w:spacing w:after="40" w:before="80"/>
      </w:pPr>
    </w:p>
    <w:p>
      <w:pPr>
        <w:spacing w:after="80" w:before="100"/>
      </w:pPr>
      <w:r>
        <w:rPr>
          <w:rFonts w:ascii="Arial" w:cs="Arial" w:eastAsia="Arial" w:hAnsi="Arial"/>
          <w:b w:val="false"/>
          <w:bCs w:val="false"/>
          <w:color w:val="000000"/>
          <w:sz w:val="18"/>
          <w:szCs w:val="18"/>
        </w:rPr>
        <w:t xml:space="preserve">Gap fill: "A trade involves the transfer of ______ or rights to an asset. In financial markets, buyers are often referred to as '______' and sellers as '______'." (Slides 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Gap-Fill Sentence</w:t>
            </w:r>
          </w:p>
        </w:tc>
      </w:tr>
      <w:tr>
        <w:tc>
          <w:tcPr>
            <w:tcW w:type="dxa" w:w="9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trade involves the transfer of [BLANK] or rights to an asset. Buyers are referred to as [BLANK] and sellers as [BLANK]."</w:t>
            </w:r>
          </w:p>
        </w:tc>
      </w:tr>
      <w:tr>
        <w:tc>
          <w:tcPr>
            <w:tcW w:type="dxa" w:w="93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Options</w:t>
            </w:r>
          </w:p>
        </w:tc>
      </w:tr>
      <w:tr>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ownership | long | short   |   title | buyer | seller   |   control | investor | trader   |   possession | maker | taker</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ownership / long / short — Slide 5: "A trade involves the transfer of ownership or rights to an asset... buyers are often referred to as long and sellers as short."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Q4</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ETLC.1</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TLC stage to its correct office (Slide 15):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Trade Initiation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 Office (Trading Activities)</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Trade Enrichment</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Middle Office</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Trade Settlement</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Office</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Trade Confirmation</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Middle Office</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Transaction Reporting</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Office</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Trade Capture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 Office (Trading Activities)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 15: Initiation=Front, Enrichment=Middle, Settlement=Back, Confirmation=Middle, Transaction Reporting=Back, Capture=Front.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ETLC.2</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Q5</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ETLC.2</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14, which of the following is NOT listed as a participant in the Exchange Trade Life 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Custodian Banks</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Central Securities Depositories</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Prime Brokers</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Data Service Providers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C — Prime Brokers are not listed on slide 14. The slide lists Exchanges, STOs, STO Clients, Clearing House, Clearing Brokers/Members, Custodian Banks, Data Service Providers, Technology Service Providers, Central Securities Depositories, and Regulatory Bodies.</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Q6</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ETLC.2</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 14: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HNIs and Family Offices are listed as clients of the STO.</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Clearing Corporation is the same entity as the Exchange.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Technology Service Providers are listed as participants.</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Retail investors are explicitly listed as a separate participant category.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T, F, T, F — Slide 14 lists HNIs as STO clients (T); Clearing Corporation is separate from Exchange (F); Technology Service Providers are listed (T); Retail investors are not a separate category (F).</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Q7</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ETLC.2</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participant from slide 14 to its correct description: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STO (Securities Trading Organisation)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Licensed exchange broker/member that routes orders on behalf of clients</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Clearing House / Clearing Corporation</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Central counterparty that guarantees settlement</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Central Securities Depository</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System-level registry where book-entry transfers of securities occur</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Custodian Bank</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Holds securities and cash on behalf of a specific client</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Securities Markets Regulatory Body</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Sets rules and monitors compliance; receives Transaction Reports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slides 14–15: STO=broker/member; CCP=guarantees settlement; CSD=book-entry registry; Custodian=holds client assets; Regulator=sets rules.</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Q8</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ETLC.2</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14, which three categories make up the "Clients of STO"?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HNIs, Family Offices, Institutional Investors, Corporate Treasuries</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HNIs, Clearing Members, Data Providers, Custodians</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Exchanges, STOs, Clearing House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Investment Banks, Retail Brokers, Central Banks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A — Slide 14 lists the clients of STO as: HNIs, Family Offices, Institutional Investors, and Corporate Treasuries.</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ETLC.3</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Q9</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ETLC.3</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slides 9–10, which order type "must be executed in its entirety immediately or not at all"?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Market Order</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Stop-Limit Order</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Fill-or-Kill (FOK) Order</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Immediate-or-Cancel (IOC) Order</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C — Slides 10–11 define FOK as: "An order that must be executed in its entirety immediately or not at all." IOC allows partial execution; the unexecuted portion is cancelled.</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Q10</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ETLC.3</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GAP FILL DROPDOWN</w:t>
            </w:r>
          </w:p>
        </w:tc>
      </w:tr>
    </w:tbl>
    <w:p>
      <w:pPr>
        <w:spacing w:after="40" w:before="80"/>
      </w:pPr>
    </w:p>
    <w:p>
      <w:pPr>
        <w:spacing w:after="80" w:before="100"/>
      </w:pPr>
      <w:r>
        <w:rPr>
          <w:rFonts w:ascii="Arial" w:cs="Arial" w:eastAsia="Arial" w:hAnsi="Arial"/>
          <w:b w:val="false"/>
          <w:bCs w:val="false"/>
          <w:color w:val="000000"/>
          <w:sz w:val="18"/>
          <w:szCs w:val="18"/>
        </w:rPr>
        <w:t xml:space="preserve">Gap fill from slide 17: "Trade initiation is the ______ stage in the trade life cycle and marks the beginning of the process where a trader decides to initiate a trade by buying or selling a financial instrument, specifying the key trade details including the ______, quantity, price, and trade date."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Gap-Fill Sentence</w:t>
            </w:r>
          </w:p>
        </w:tc>
      </w:tr>
      <w:tr>
        <w:tc>
          <w:tcPr>
            <w:tcW w:type="dxa" w:w="9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initiation is the [BLANK] stage in the trade life cycle... specifying the key trade details including the [BLANK], quantity, price, and trade date."</w:t>
            </w:r>
          </w:p>
        </w:tc>
      </w:tr>
      <w:tr>
        <w:tc>
          <w:tcPr>
            <w:tcW w:type="dxa" w:w="93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Options</w:t>
            </w:r>
          </w:p>
        </w:tc>
      </w:tr>
      <w:tr>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 | asset   |   second | security   |   last | price   |   initial | counterparty</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first / asset — Slide 17: "Trade initiation is the first stage in the trade life cycle... specifying... the asset, quantity, price, and trade date."</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Q11</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ETLC.3</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slides 16–21: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KYC and AML checks must be completed before trading can begin for a new client.</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Limit Order is executed immediately at the prevailing market price.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Good-Til-Canceled (GTC) order remains active until the trader cancels it.</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Routing instructions allow traders to specify which exchange or platform receives their order.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T, F, T, T — Slide 16: KYC/AML first (T); Slide 9: Limit Order is NOT at prevailing price — Market Order is (F); Slide 11: GTC stays active until cancelled (T); Slide 12: routing instructions specify destination (T).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Q12</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ETLC.3</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order type from slides 9–11 to its correct definition: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Market Order</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Executed immediately at the prevailing market price; prioritises speed</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Limit Order</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Executed only at or better than the specified price</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Stop Order</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Becomes a market order when a specified stop price is reached</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Market-on-Close (MOC)</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Executed at or near the closing price of the trading day</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Immediate-or-Cancel (IOC)</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Executed immediately; any unexecuted portion is cancelled</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slides 9–11: Market=immediate at prevailing; Limit=at or better; Stop=becomes market at stop price; MOC=closing price; IOC=immediate with partial cancel.</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ETLC.4</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Q13</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ETLC.4</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25, what rule governs order matching in the Central Limit Order Book (CLOB)?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Size-price priority: largest orders matched first</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Price-time priority: best price first, then earliest order</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Random selection among orders at the same price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Alphabetical priority by counterparty name</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B — Slide 25: "Orders are matched based on the price-time priority rule, where orders at the same price level are executed in the order they were received."</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Q14</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ETLC.4</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execution method from slides 27–28 to its correct description: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Direct Market Access (DMA)</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Allows firms to route orders directly to all market destinations; examples: Lava Trading, RealTick, FlexDMA</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Buy-side OMS</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 Management System used by Investment Managers; examples: Macgregor, Charles River</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Electronic Communication Network (ECN)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Connects major brokerages and traders for direct matching without a middleman</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Sell-side OMS</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by brokers; examples: GL Trade, Fidessa, Davidge, NYFIX</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FIX System</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Protocol through which buy-side OMS orders are sent to the sell side</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slides 27–28: DMA=direct routing (Lava/RealTick/FlexDMA); Buy-side OMS=Macgregor/Charles River; ECN=direct broker matching; Sell-side OMS=GL Trade/Fidessa/NYFIX; FIX=protocol to sell side.</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Q15</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ETLC.4</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slides 24–28: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execution begins when the trading platform receives the trader's order.</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 a limit order, the execution price is the current market price at the time of matching.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DMA allows buy-side customers to control their order while renting broker infrastructure.</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NASDAQ is described in the slides as a manual exchange.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T, F, T, F — Slide 24: execution begins on receipt (T); Slide 26: limit orders execute at limit price or better, NOT market price (F); Slide 27: DMA=client controls order on broker infrastructure (T); Slide 28: NASDAQ is electronic via ECN; NYSE is the manual exchange (F).</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Q16</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ETLC.4</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26, for a stop order, the execution price behaves in which way?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It is always the limit price or better</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It becomes a market order when a specific trigger price is reached</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It is the opening price of the next trading day</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It is fixed at the price set at the time of order entry</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B — Slide 26: "For stop orders, the execution price becomes a market order when a specific trigger price is reached."</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ETLC.5</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Q17</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ETLC.5</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TABLE SELECTION</w:t>
            </w:r>
          </w:p>
        </w:tc>
      </w:tr>
    </w:tbl>
    <w:p>
      <w:pPr>
        <w:spacing w:after="40" w:before="80"/>
      </w:pPr>
    </w:p>
    <w:p>
      <w:pPr>
        <w:spacing w:after="80" w:before="100"/>
      </w:pPr>
      <w:r>
        <w:rPr>
          <w:rFonts w:ascii="Arial" w:cs="Arial" w:eastAsia="Arial" w:hAnsi="Arial"/>
          <w:b w:val="false"/>
          <w:bCs w:val="false"/>
          <w:color w:val="000000"/>
          <w:sz w:val="18"/>
          <w:szCs w:val="18"/>
        </w:rPr>
        <w:t xml:space="preserve">From the list below (based on slide 30), select ALL fields that are captured in the Order Management System (OMS) trade ticket. Highlighted cells are correct: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Field</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Captured in OMS? (Y/N)</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Trading Book</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YES</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Trade Date</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YES</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Value Date</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YES</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Counterparty Credit Rating</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Quantity</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YES</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Security</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YES</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Price</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YES</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Commission Rate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Trade Time</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YES</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Operation</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YES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OMS fields from slide 30: Trading book, Trade date, Trade time, Value date, Operation, Quantity, Security, Price, Counterparty. Credit Rating and Commission Rate are not listed on slide 30.</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Q18</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ETLC.5</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29, what is the primary purpose of Trade Reporting in the Front Office?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To book the transaction into the Risk Management System</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To ensure market transparency so everyone can see executed prices and volumes</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To send settlement instructions to the custodian</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To calculate the net settlement value of the trade</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B — Slide 29: "Ensures market transparency: everyone can see executed prices and volumes."</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Q19</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ETLC.5</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GAP FILL DROPDOWN</w:t>
            </w:r>
          </w:p>
        </w:tc>
      </w:tr>
    </w:tbl>
    <w:p>
      <w:pPr>
        <w:spacing w:after="40" w:before="80"/>
      </w:pPr>
    </w:p>
    <w:p>
      <w:pPr>
        <w:spacing w:after="80" w:before="100"/>
      </w:pPr>
      <w:r>
        <w:rPr>
          <w:rFonts w:ascii="Arial" w:cs="Arial" w:eastAsia="Arial" w:hAnsi="Arial"/>
          <w:b w:val="false"/>
          <w:bCs w:val="false"/>
          <w:color w:val="000000"/>
          <w:sz w:val="18"/>
          <w:szCs w:val="18"/>
        </w:rPr>
        <w:t xml:space="preserve">Gap fill from slide 47: "MiFID II introduced unique ______ identifiers (UTI) to link related trades. Reports must include client identifiers such as the ______ and must be submitted by ______."</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Gap-Fill Sentence</w:t>
            </w:r>
          </w:p>
        </w:tc>
      </w:tr>
      <w:tr>
        <w:tc>
          <w:tcPr>
            <w:tcW w:type="dxa" w:w="9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"MiFID II introduced unique [BLANK] identifiers (UTI) to link related trades. Reports must include [BLANK] and be submitted by [BLANK]."</w:t>
            </w:r>
          </w:p>
        </w:tc>
      </w:tr>
      <w:tr>
        <w:tc>
          <w:tcPr>
            <w:tcW w:type="dxa" w:w="93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Options</w:t>
            </w:r>
          </w:p>
        </w:tc>
      </w:tr>
      <w:tr>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transaction | LEI | T+1   |   trade | BIC | T+2   |   order | CIF | T+3   |   settlement | KYC | T+0</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transaction / LEI / T+1 — Slide 47: "Introduced unique transaction identifiers (UTI)... client identifiers (LEI – Legal Entity Identifier)... Stricter deadlines for submission (usually T+1)."</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Q20</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ETLC.5</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slides 29–30, 46–47: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Reporting occurs after clearing and settlement.</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Risk Management System is updated with the trading position and average price.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MiFID II Transaction Reporting covers only equities.</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trade reference number is assigned after validating that all components are present.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 T, F, T — Slide 29: Reporting is "always before clearing and settlement" (F); Slide 30: RMS updated with position and average price (T); Slide 47: MiFID II covers equities, bonds, derivatives, structured products, ETFs — not only equities (F); Slide 30: trade reference assigned after validation (T).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ETLC.6</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Q21</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ETLC.6</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trade enrichment factor from slide 32 to its correct description: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Cash Values Defaults — Trade Figuration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Calculating the net settlement value (NSV) of the transaction</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Custodian Defaults</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Automatically populating the settlement agent details for the counterparty</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SSI Defaults</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Adding Standard Settlement Instructions specifying how the trade is to be settled</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Trade Confirmation Defaults</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Pre-populating details required to generate the confirmation document</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Transaction Reporting Defaults</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Pre-populating fields required for regulatory submission</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slides 32–36: Cash values=NSV calculation; Custodian=settlement agent; SSI=how trade settles; Confirmation=confirmation document; Transaction Reporting=regulatory fields.</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Q22</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ETLC.6</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34, which of the following statements about cash values figuration is CORRECT?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Accrued interest is applicable on both straight bonds and zero coupon bonds</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Only buyers of US equity are required to pay a Securities and Exchange Commission fee</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Stamp duty is payable on Irish equities but not on Japanese equities</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Stamp duty applies to both purchases and sales of UK equity</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C — Slide 34: "Stamp duty is payable on Irish equities, but not on Japanese equities." A is wrong (zero coupon bonds excluded); B is wrong (sellers of US equity pay SEC fee); D is wrong (sales of UK equity do NOT attract stamp duty).</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Q23</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ETLC.6</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the SSI Consequences PDF: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Wrong SSIs are a major cause of settlement failures, second only to lack of inventory.</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Settlement failures can trigger buy-in or sell-out notices, leading to direct financial losses.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Incorrect SSIs only affect delivery risk, not payment risk.</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Adoption of ISO 20022 standards can help mitigate SSI errors.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T, T, F, T — SSI PDF: wrong SSIs are 2nd biggest cause of fails (T); buy-ins/sell-outs cause financial losses (T); PDF states BOTH delivery risk and payment risk increase (F); ISO 20022 mitigates risks (T).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Q24</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ETLC.6</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GAP FILL DROPDOWN</w:t>
            </w:r>
          </w:p>
        </w:tc>
      </w:tr>
    </w:tbl>
    <w:p>
      <w:pPr>
        <w:spacing w:after="40" w:before="80"/>
      </w:pPr>
    </w:p>
    <w:p>
      <w:pPr>
        <w:spacing w:after="80" w:before="100"/>
      </w:pPr>
      <w:r>
        <w:rPr>
          <w:rFonts w:ascii="Arial" w:cs="Arial" w:eastAsia="Arial" w:hAnsi="Arial"/>
          <w:b w:val="false"/>
          <w:bCs w:val="false"/>
          <w:color w:val="000000"/>
          <w:sz w:val="18"/>
          <w:szCs w:val="18"/>
        </w:rPr>
        <w:t xml:space="preserve">Gap fill from slides 35–36 on SSI defaults: "The Standard Settlement Instructions specify how a trade is to be ______. The four key SSI fields are: Place of Settlement, Currency of Settlement, ______ Agent, and ______ Agent."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Gap-Fill Sentence</w:t>
            </w:r>
          </w:p>
        </w:tc>
      </w:tr>
      <w:tr>
        <w:tc>
          <w:tcPr>
            <w:tcW w:type="dxa" w:w="9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"SSIs specify how a trade is to be [BLANK]. Key fields: Place of Settlement, Currency of Settlement, [BLANK] Agent, [BLANK] Agent."</w:t>
            </w:r>
          </w:p>
        </w:tc>
      </w:tr>
      <w:tr>
        <w:tc>
          <w:tcPr>
            <w:tcW w:type="dxa" w:w="93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Options</w:t>
            </w:r>
          </w:p>
        </w:tc>
      </w:tr>
      <w:tr>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settled | Delivering | Receiving   |   reported | Paying | Clearing   |   confirmed | Custodian | Regulatory   |   matched | Executing | Settling</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settled / Delivering / Receiving — Slide 35: "SSIs specify how a trade is to be settled... Delivering Agent — Nostro and Depot Account; Receiving Agent — Nostro and Depot Account."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ETLC.7</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Q25</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ETLC.7</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TABLE SELECTION</w:t>
            </w:r>
          </w:p>
        </w:tc>
      </w:tr>
    </w:tbl>
    <w:p>
      <w:pPr>
        <w:spacing w:after="40" w:before="80"/>
      </w:pPr>
    </w:p>
    <w:p>
      <w:pPr>
        <w:spacing w:after="80" w:before="100"/>
      </w:pPr>
      <w:r>
        <w:rPr>
          <w:rFonts w:ascii="Arial" w:cs="Arial" w:eastAsia="Arial" w:hAnsi="Arial"/>
          <w:b w:val="false"/>
          <w:bCs w:val="false"/>
          <w:color w:val="000000"/>
          <w:sz w:val="18"/>
          <w:szCs w:val="18"/>
        </w:rPr>
        <w:t xml:space="preserve">The table below shows validation rules from slide 38. Select the rows where the Rule description is CORRECT as stated in the slide (highlighted cells indicate correct rows):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Component</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Rule (as per slide 38)</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Trade Date</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Should be today for a new trade</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Time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 be set to any time, including the future</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Value Date</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Is normally the standard settlement cycle (e.g. T+2 for Europe)</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Security</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Cannot be a matured bond</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Quantity</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Can be any number chosen by the trader</w:t>
            </w:r>
          </w:p>
        </w:tc>
      </w:tr>
      <w:tr>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Price</w:t>
            </w:r>
          </w:p>
        </w:tc>
        <w:tc>
          <w:tcPr>
            <w:tcW w:type="dxa" w:w="46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8"/>
                <w:szCs w:val="18"/>
              </w:rPr>
              <w:t xml:space="preserve">For bonds, must be a percentage of face value or a yield</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rows: Trade Date=today (correct); Value Date=T+2 standard (correct); Security=not matured (correct); Price=percentage or yield for bonds (correct). Trade Time CANNOT be in the future (slide 38); Quantity must be multiples of minimum denomination (not any number).</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Q26</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ETLC.7</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37, what are the two objectives of Trade Validation?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Timely and accurate servicing of clients, and avoidance of operational risk and cost</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Maximising trade volume and minimising settlement time</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Confirming SSIs and calculating net settlement value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Matching the trade sheet and sending confirmation to the client</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A — Slide 37: validation objectives are "Timely and accurate servicing of clients" and "Avoidance of operational risk and cost."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Q27</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ETLC.7</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slides 37–39: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Validation is described as a mechanism to reduce risk and remain in control.</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Verification compares the booked trade with the trade sheet sent by Front Office.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Verification is a post-settlement reconciliation activity.</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Counterparty location must be included in the trade record per the validation rules.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T, T, F, T — Slide 37: validation=risk reduction mechanism (T); Slide 39: verification compares to FO trade sheet (T); Slide 39: verification is PRE-settlement reconciliation (F); Slide 38: counterparty must include location (T).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Q28</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ETLC.7</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concept to its correct definition, distinguishing Trade Validation from Trade Verification (slides 37–39):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Trade Validation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rules-based check of enriched trade data against defined component rules before sending externally</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Trade Verification</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Comparison of the booked trade against the Front Office trade sheet; a pre-settlement internal reconciliation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Pre-Settlement Reconciliation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process ensuring all FO transactions have passed through to the Middle Office</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Trade Cash Value rule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 equal quantity x price plus or minus other costs such as stamp duty where relevant</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slides 37–39: Validation=rules-based gate; Verification=FO sheet vs MO booking; Pre-settlement recon=internal consistency check; Cash value rule=quantity x price +/- costs.</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ETLC.8</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Q29</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ETLC.8</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40, which of the following is NOT listed as a standard piece of content in a trade confirmation?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Trade Reference Number</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Trade Venue</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Counterparty Credit Score</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Value Date / Settlement Date</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C — Slides 40–41 list: asset traded, quantity, execution price, trade date, value date/settlement date, counterparty information, trade reference number, trade venue, execution time, order type, trade currency. Credit Score is not listed.</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Q30</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ETLC.8</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slides 40–46: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confirmations serve as legal documents evidencing trade terms and conditions.</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 equities, confirmations are generally sent on the same day as execution.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Affirmation is the act of the broker sending the confirmation to the client.</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Once confirmed, the broker sends trade details to the custodian and/or clearing house.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T</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T, T, F, T — Slide 43: confirmations are legal documents (T); Slide 42: equity confirmations sent same day (T); Slide 45: Affirmation is the CLIENT accepting the broker's confirmation, not the broker sending it (F); Slide 45: broker sends to custodian after confirmation (T).</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Q31</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ETLC.8</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term to its correct description based on slides 40–46: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Confirmation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generated by the broker after trade execution, containing all trade details</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Affirmation</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Client's formal acceptance after comparing broker's confirmation against internal OMS</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Trade Reference Number</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 identifier assigned to each trade for tracking and record-keeping</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Audit Trail</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Comprehensive record of all trading activities retained for compliance and regulatory reporting</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slides 40–45: Confirmation=broker-generated document; Affirmation=client acceptance; Trade Reference=unique ID; Audit Trail=comprehensive records for compliance.</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Q32</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ETLC.8</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GAP FILL DROPDOWN</w:t>
            </w:r>
          </w:p>
        </w:tc>
      </w:tr>
    </w:tbl>
    <w:p>
      <w:pPr>
        <w:spacing w:after="40" w:before="80"/>
      </w:pPr>
    </w:p>
    <w:p>
      <w:pPr>
        <w:spacing w:after="80" w:before="100"/>
      </w:pPr>
      <w:r>
        <w:rPr>
          <w:rFonts w:ascii="Arial" w:cs="Arial" w:eastAsia="Arial" w:hAnsi="Arial"/>
          <w:b w:val="false"/>
          <w:bCs w:val="false"/>
          <w:color w:val="000000"/>
          <w:sz w:val="18"/>
          <w:szCs w:val="18"/>
        </w:rPr>
        <w:t xml:space="preserve">Gap fill from slide 45: "The broker sends a trade confirmation to the client via an electronic trade ______ platform or through an Excel/PDF. The client compares the trade details with their internal ______. Both the ______ and non-economic details of the trade will be matched."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Gap-Fill Sentence</w:t>
            </w:r>
          </w:p>
        </w:tc>
      </w:tr>
      <w:tr>
        <w:tc>
          <w:tcPr>
            <w:tcW w:type="dxa" w:w="9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broker sends confirmation via an electronic trade [BLANK] platform... client compares with internal [BLANK]... Both [BLANK] and non-economic details matched."</w:t>
            </w:r>
          </w:p>
        </w:tc>
      </w:tr>
      <w:tr>
        <w:tc>
          <w:tcPr>
            <w:tcW w:type="dxa" w:w="93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Options</w:t>
            </w:r>
          </w:p>
        </w:tc>
      </w:tr>
      <w:tr>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matching | OMS | economic   |   reporting | CRM | legal   |   clearing | RMS | regulatory   |   settlement | EMS | financial</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matching / OMS / economic — Slide 45: "electronic trade matching platform... internal OMS... Both the economic and non-economic details of the trade will be matched."</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ETLC.9</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Q33</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ETLC.9</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49, what is the role of the Clearing House in the settlement process?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To match buy-side and sell-side orders in the order book</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To prepare for settlement by matching both sides of a transaction and checking asset availability</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To send settlement instructions to the custodian</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To calculate accrued interest on bond trades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B — Slide 49: "Clearing systems will match both sides to any transaction and check that there is sufficient asset availability before advising a CSD that the transaction can settle."</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Q34</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ETLC.9</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slides 49–53: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T+2 is described in the slides as the standard settlement cycle for Europe.</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Settlement is defined as the preparation for settlement in a central clearing system.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Determination of obligations of both parties is completed by TD+1.</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Pay-In involves the settlement agent distributing funds and securities to the correct parties.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T, F, T, F — Slide 38: T+2 for Europe (T); Slide 49: Clearance is the preparation for settlement — Settlement is the COMPLETION of the transaction (F); Slide 49: obligations known by TD+1 (T); Slide 50: Pay-IN is delivery INTO the system; Pay-OUT is distribution (F).</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Q35</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ETLC.9</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settlement term to its correct description based on slides 49–50, 58: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Clearance</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Preparation for settlement; takes place in a clearing house or central counterparty</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Settlement</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Completion of a transaction: seller transfers securities, buyer transfers money</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Pay-In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sides deliver funds and securities into the settlement system</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Pay-Out</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Settlement system distributes funds and securities to the correct recipients</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Locked-In Trade</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trade where broker and client have already matched, allowing it to bypass further matching</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slides 49–50, 58: Clearance=preparation; Settlement=completion; Pay-In=both sides deliver in; Pay-Out=system distributes; Locked-In=pre-matched trade.</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Q36</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ETLC.9</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58, which US institutions handle netted settlement instructions and book-entry transfers respectively in the US equity trade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NYSE and NASDAQ</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NSCC for netted settlement instructions; DTCC for book-entry delivery and receipt</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Federal Reserve and SEC</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OCC and FINRA</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B — Slide 58: "NSCC — Netted Settlement Instructions; DTCC — Book Entry Delivery / Book Entry Receive."</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Assessment — ETLC.10</w:t>
            </w:r>
          </w:p>
        </w:tc>
      </w:tr>
    </w:tbl>
    <w:p>
      <w:pPr>
        <w:spacing w:after="6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Q37</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ETLC.10</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MCQ INLINE</w:t>
            </w:r>
          </w:p>
        </w:tc>
      </w:tr>
    </w:tbl>
    <w:p>
      <w:pPr>
        <w:spacing w:after="40" w:before="80"/>
      </w:pPr>
    </w:p>
    <w:p>
      <w:pPr>
        <w:spacing w:after="80" w:before="100"/>
      </w:pPr>
      <w:r>
        <w:rPr>
          <w:rFonts w:ascii="Arial" w:cs="Arial" w:eastAsia="Arial" w:hAnsi="Arial"/>
          <w:b w:val="false"/>
          <w:bCs w:val="false"/>
          <w:color w:val="000000"/>
          <w:sz w:val="18"/>
          <w:szCs w:val="18"/>
        </w:rPr>
        <w:t xml:space="preserve">According to slide 55, how is reconciliation defined?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A. The process of confirming trade details with the counterparty before settlement</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 The control process by which two or more sets of data are compared and discrepancies investigated and documented to resolution</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The process of calculating the net settlement value of each transaction</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 The process of sending settlement instructions to the custodian</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Answer: B — Slide 55: "Reconciliation is the Control Process by which 2 or more sets of data are compared and any discrepancies are investigated and documented through to resolution, including formal reporting and escalation."</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Q38</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ETLC.10</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TRUE/FALSE MULTI</w:t>
            </w:r>
          </w:p>
        </w:tc>
      </w:tr>
    </w:tbl>
    <w:p>
      <w:pPr>
        <w:spacing w:after="40" w:before="80"/>
      </w:pPr>
    </w:p>
    <w:p>
      <w:pPr>
        <w:spacing w:after="80" w:before="100"/>
      </w:pPr>
      <w:r>
        <w:rPr>
          <w:rFonts w:ascii="Arial" w:cs="Arial" w:eastAsia="Arial" w:hAnsi="Arial"/>
          <w:b w:val="false"/>
          <w:bCs w:val="false"/>
          <w:color w:val="000000"/>
          <w:sz w:val="18"/>
          <w:szCs w:val="18"/>
        </w:rPr>
        <w:t xml:space="preserve">Mark each statement True (T) or False (F) based on slides 55–57: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400"/>
        <w:gridCol w:w="1900"/>
      </w:tblGrid>
      <w:tr>
        <w:tc>
          <w:tcPr>
            <w:tcW w:type="dxa" w:w="74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Statement</w:t>
            </w:r>
          </w:p>
        </w:tc>
        <w:tc>
          <w:tcPr>
            <w:tcW w:type="dxa" w:w="19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 / 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Reconciliation helps an STO remain in control of its stocks and cash.</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Pre-Settlement Reconciliation is performed in the Back Office.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r>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 57 identifies market manipulation as one type of irregular trading pattern regulators seek to identify.</w:t>
            </w:r>
          </w:p>
        </w:tc>
        <w:tc>
          <w:tcPr>
            <w:tcW w:type="dxa" w:w="1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5F5F"/>
                <w:sz w:val="18"/>
                <w:szCs w:val="18"/>
              </w:rPr>
              <w:t xml:space="preserve">T</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Fails Management is listed as a Front Office activity on slide 56.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F5F"/>
                <w:sz w:val="18"/>
                <w:szCs w:val="18"/>
              </w:rPr>
              <w:t xml:space="preserve">F</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T, F, T, F — Slide 55: reconciliation keeps STO in control (T); Slide 56: Pre-Settlement Recon is MIDDLE Office (F); Slide 57: market manipulation is identified (T); Slide 56: Fails Management is BACK Office (F).</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Q39</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ETLC.10</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MATCHING PAIRS</w:t>
            </w:r>
          </w:p>
        </w:tc>
      </w:tr>
    </w:tbl>
    <w:p>
      <w:pPr>
        <w:spacing w:after="40" w:before="80"/>
      </w:pPr>
    </w:p>
    <w:p>
      <w:pPr>
        <w:spacing w:after="80" w:before="100"/>
      </w:pPr>
      <w:r>
        <w:rPr>
          <w:rFonts w:ascii="Arial" w:cs="Arial" w:eastAsia="Arial" w:hAnsi="Arial"/>
          <w:b w:val="false"/>
          <w:bCs w:val="false"/>
          <w:color w:val="000000"/>
          <w:sz w:val="18"/>
          <w:szCs w:val="18"/>
        </w:rPr>
        <w:t xml:space="preserve">Match each reconciliation break type from slides 55–57 to its correct description: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Term</w:t>
            </w:r>
          </w:p>
        </w:tc>
        <w:tc>
          <w:tcPr>
            <w:tcW w:type="dxa" w:w="465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Definition</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Market Manipulation</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Unusual trading pattern identified by regulators as a breach of trading rules (slide 57)</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Insider Trading</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Unusual trading pattern caused by trading on privileged information (slide 57)</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Significant STO Error</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Unusual pattern caused by mistakes made by the Securities Trading Organisation (slide 57)</w:t>
            </w:r>
          </w:p>
        </w:tc>
      </w:tr>
      <w:tr>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Settlement Fail</w:t>
            </w:r>
          </w:p>
        </w:tc>
        <w:tc>
          <w:tcPr>
            <w:tcW w:type="dxa" w:w="4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that did not settle on the due date; managed by Fails Management in Back Office (slide 56)</w:t>
            </w:r>
          </w:p>
        </w:tc>
      </w:tr>
      <w:tr>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FO-to-MO Pass-through Break</w:t>
            </w:r>
          </w:p>
        </w:tc>
        <w:tc>
          <w:tcPr>
            <w:tcW w:type="dxa" w:w="4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booked in Front Office that has not passed through to the Middle Office (slide 56)</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Answers from slides 55–57: Market manipulation, insider trading, significant STO errors are regulatory break types (slide 57); Settlement fails managed in Back Office (slide 56); FO-to-MO pass-through break identified in pre-settlement recon (slide 56).</w:t>
            </w:r>
          </w:p>
        </w:tc>
      </w:tr>
    </w:tbl>
    <w:p>
      <w:pPr>
        <w:pBdr>
          <w:bottom w:val="single" w:color="CCCCCC" w:sz="4" w:space="1"/>
        </w:pBdr>
        <w:spacing w:after="8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Q40</w:t>
            </w:r>
          </w:p>
        </w:tc>
        <w:tc>
          <w:tcPr>
            <w:tcW w:type="dxa" w:w="2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ETLC.10</w:t>
            </w:r>
          </w:p>
        </w:tc>
        <w:tc>
          <w:tcPr>
            <w:tcW w:type="dxa" w:w="4300"/>
            <w:tcBorders>
              <w:top w:val="single" w:color="999999" w:sz="1"/>
              <w:left w:val="single" w:color="999999" w:sz="1"/>
              <w:bottom w:val="single" w:color="999999" w:sz="1"/>
              <w:right w:val="single" w:color="999999" w:sz="1"/>
            </w:tcBorders>
            <w:shd w:fill="F0F0E8" w:val="clear"/>
            <w:tcMar>
              <w:top w:type="dxa" w:w="100"/>
              <w:left w:type="dxa" w:w="120"/>
              <w:bottom w:type="dxa" w:w="100"/>
              <w:right w:type="dxa" w:w="120"/>
            </w:tcMar>
          </w:tcPr>
          <w:p>
            <w:pPr>
              <w:jc w:val="center"/>
            </w:pPr>
            <w:r>
              <w:rPr>
                <w:rFonts w:ascii="Arial" w:cs="Arial" w:eastAsia="Arial" w:hAnsi="Arial"/>
                <w:b/>
                <w:bCs/>
                <w:color w:val="8B6914"/>
                <w:sz w:val="20"/>
                <w:szCs w:val="20"/>
              </w:rPr>
              <w:t xml:space="preserve">GAP FILL DROPDOWN</w:t>
            </w:r>
          </w:p>
        </w:tc>
      </w:tr>
    </w:tbl>
    <w:p>
      <w:pPr>
        <w:spacing w:after="40" w:before="80"/>
      </w:pPr>
    </w:p>
    <w:p>
      <w:pPr>
        <w:spacing w:after="80" w:before="100"/>
      </w:pPr>
      <w:r>
        <w:rPr>
          <w:rFonts w:ascii="Arial" w:cs="Arial" w:eastAsia="Arial" w:hAnsi="Arial"/>
          <w:b w:val="false"/>
          <w:bCs w:val="false"/>
          <w:color w:val="000000"/>
          <w:sz w:val="18"/>
          <w:szCs w:val="18"/>
        </w:rPr>
        <w:t xml:space="preserve">Gap fill from slide 55: "Reconciling positions and trades within internal books and records with the outside world is ______ in ensuring that the STO remains in control of its ______ and liabilities."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Gap-Fill Sentence</w:t>
            </w:r>
          </w:p>
        </w:tc>
      </w:tr>
      <w:tr>
        <w:tc>
          <w:tcPr>
            <w:tcW w:type="dxa" w:w="9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"Reconciling... with the outside world is [BLANK] in ensuring the STO remains in control of its [BLANK] and liabilities."</w:t>
            </w:r>
          </w:p>
        </w:tc>
      </w:tr>
      <w:tr>
        <w:tc>
          <w:tcPr>
            <w:tcW w:type="dxa" w:w="93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tcPr>
          <w:p>
            <w:pPr>
              <w:jc w:val="center"/>
            </w:pPr>
            <w:r>
              <w:rPr>
                <w:rFonts w:ascii="Arial" w:cs="Arial" w:eastAsia="Arial" w:hAnsi="Arial"/>
                <w:b/>
                <w:bCs/>
                <w:color w:val="005F5F"/>
                <w:sz w:val="20"/>
                <w:szCs w:val="20"/>
              </w:rPr>
              <w:t xml:space="preserve">Options</w:t>
            </w:r>
          </w:p>
        </w:tc>
      </w:tr>
      <w:tr>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paramount | assets   |   optional | positions   |   useful | trades   |   recommended | books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2863A" w:sz="1"/>
              <w:left w:val="single" w:color="22863A" w:sz="1"/>
              <w:bottom w:val="single" w:color="22863A" w:sz="1"/>
              <w:right w:val="single" w:color="22863A" w:sz="1"/>
            </w:tcBorders>
            <w:shd w:fill="D4EDDA" w:val="clear"/>
            <w:tcMar>
              <w:top w:type="dxa" w:w="80"/>
              <w:left w:type="dxa" w:w="140"/>
              <w:bottom w:type="dxa" w:w="80"/>
              <w:right w:type="dxa" w:w="140"/>
            </w:tcMar>
          </w:tcPr>
          <w:p>
            <w:r>
              <w:rPr>
                <w:rFonts w:ascii="Arial" w:cs="Arial" w:eastAsia="Arial" w:hAnsi="Arial"/>
                <w:b w:val="false"/>
                <w:bCs w:val="false"/>
                <w:color w:val="155724"/>
                <w:sz w:val="18"/>
                <w:szCs w:val="18"/>
              </w:rPr>
              <w:t xml:space="preserve">Correct: paramount / assets — Slide 55: "Reconciling positions and trades within internal books and records with the outside world is paramount in ensuring that the STO remains in control of its assets and liabilities."</w:t>
            </w:r>
          </w:p>
        </w:tc>
      </w:tr>
    </w:tbl>
    <w:p>
      <w:pPr>
        <w:pBdr>
          <w:bottom w:val="single" w:color="CCCCCC" w:sz="4" w:space="1"/>
        </w:pBdr>
        <w:spacing w:after="80" w:before="120"/>
      </w:pP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2026-06-24T13:24:27.808Z</dcterms:created>
  <dcterms:modified xsi:type="dcterms:W3CDTF">2026-06-24T13:24:27.808Z</dcterms:modified>
</cp:coreProperties>
</file>

<file path=docProps/custom.xml><?xml version="1.0" encoding="utf-8"?>
<Properties xmlns="http://schemas.openxmlformats.org/officeDocument/2006/custom-properties" xmlns:vt="http://schemas.openxmlformats.org/officeDocument/2006/docPropsVTypes"/>
</file>