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E3A5F"/>
          <w:sz w:val="48"/>
          <w:szCs w:val="48"/>
        </w:rPr>
        <w:t xml:space="preserve">EXCHANGE TRADE LIFE CYCLE</w:t>
      </w:r>
    </w:p>
    <w:p>
      <w:pPr>
        <w:spacing w:after="200" w:before="0"/>
        <w:jc w:val="center"/>
      </w:pPr>
      <w:r>
        <w:rPr>
          <w:rFonts w:ascii="Arial" w:cs="Arial" w:eastAsia="Arial" w:hAnsi="Arial"/>
          <w:color w:val="005F5F"/>
          <w:sz w:val="32"/>
          <w:szCs w:val="32"/>
        </w:rPr>
        <w:t xml:space="preserve">Video Production Document</w:t>
      </w:r>
    </w:p>
    <w:p>
      <w:pPr>
        <w:spacing w:after="200" w:before="0"/>
        <w:jc w:val="center"/>
      </w:pPr>
      <w:r>
        <w:rPr>
          <w:rFonts w:ascii="Arial" w:cs="Arial" w:eastAsia="Arial" w:hAnsi="Arial"/>
          <w:color w:val="666666"/>
          <w:sz w:val="22"/>
          <w:szCs w:val="22"/>
        </w:rPr>
        <w:t xml:space="preserve">Version 3  |  CIBOP Capital Markets Programme</w:t>
      </w:r>
    </w:p>
    <w:p>
      <w:r>
        <w:br w:type="pag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20"/>
              <w:left w:type="dxa" w:w="180"/>
              <w:bottom w:type="dxa" w:w="120"/>
              <w:right w:type="dxa" w:w="180"/>
            </w:tcMar>
          </w:tcPr>
          <w:p>
            <w:pPr>
              <w:jc w:val="center"/>
            </w:pPr>
            <w:r>
              <w:rPr>
                <w:rFonts w:ascii="Arial" w:cs="Arial" w:eastAsia="Arial" w:hAnsi="Arial"/>
                <w:b/>
                <w:bCs/>
                <w:color w:val="FFFFFF"/>
                <w:sz w:val="28"/>
                <w:szCs w:val="28"/>
              </w:rPr>
              <w:t xml:space="preserve">ETLC.1</w:t>
            </w:r>
          </w:p>
          <w:p>
            <w:pPr>
              <w:jc w:val="center"/>
            </w:pPr>
            <w:r>
              <w:rPr>
                <w:rFonts w:ascii="Arial" w:cs="Arial" w:eastAsia="Arial" w:hAnsi="Arial"/>
                <w:color w:val="D5E3F0"/>
                <w:sz w:val="22"/>
                <w:szCs w:val="22"/>
              </w:rPr>
              <w:t xml:space="preserve">Exchange Trade Life Cycle – Overview</w:t>
            </w:r>
          </w:p>
        </w:tc>
      </w:tr>
    </w:tbl>
    <w:p>
      <w:pPr>
        <w:spacing w:after="100" w:before="200"/>
      </w:pPr>
    </w:p>
    <w:p>
      <w:pPr>
        <w:spacing w:after="80" w:before="160"/>
      </w:pPr>
      <w:r>
        <w:rPr>
          <w:rFonts w:ascii="Arial" w:cs="Arial" w:eastAsia="Arial" w:hAnsi="Arial"/>
          <w:b/>
          <w:bCs/>
          <w:color w:val="005F5F"/>
          <w:sz w:val="22"/>
          <w:szCs w:val="22"/>
        </w:rPr>
        <w:t xml:space="preserve">SC1.1 — Identify all TLC stages in sequence</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Exchange Trade Life Cycle – Overview</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SC1.1 — Identify all TLC stages in sequence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 15</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TLC overview diagram with three office stages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TLC: 3 Offices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I keep hearing people say Front Office, Middle Office, Back Office — is it like a property layout or does it actually mean something?"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Front Office box with stages listed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Front Office Stages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"It actually means something. The Trade Life Cycle has three office stages. Front Office covers Trading Activities: Trade Initiation, Trade Execution, Trade Reporting, and Trade Capture."</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Middle Office box</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Middle Office Stages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"Then comes Middle Office — Trade Enrichment, Trade Validation, Trade Verification, and Trade Confirmation. Middle Office is the quality-control floor between dealing and delivery."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Back Office box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 Office Stages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"Finally, Back Office handles Transaction Reporting, Trade Settlement, and Trade Reconciliation. This is where money and securities actually change hands."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TLC = 11 stages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 the entire life cycle has eleven named stages across three offices? That is a lot of handoffs." Ryo: "Exactly — and missing any handoff can disrupt the whole chain."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Animation: sequential flow of all 11 stages left to right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Initiation &gt; Execution...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Voice over: "The sequence is: Trade Initiation, Trade Execution, Trade Reporting, Trade Capture, Trade Enrichment, Trade Validation, Trade Verification, Trade Confirmation, Transaction Reporting, Trade Settlement, Trade Reconciliation."</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 summarising</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Sequence locked in</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"To recap — eleven stages, three offices: Front Office takes the trade from decision to capture, Middle Office enriches and confirms it, and Back Office settles and reconciles it."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 next: Participants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"Solid summary. Next we look at who sits in those offices — the participants that make this lifecycle move."</w:t>
            </w:r>
          </w:p>
        </w:tc>
      </w:tr>
    </w:tbl>
    <w:p>
      <w:pPr>
        <w:spacing w:after="60" w:before="120"/>
      </w:pPr>
    </w:p>
    <w:p>
      <w:pPr>
        <w:spacing w:after="240" w:before="160"/>
      </w:pPr>
      <w:r>
        <w:rPr>
          <w:rFonts w:ascii="Arial" w:cs="Arial" w:eastAsia="Arial" w:hAnsi="Arial"/>
          <w:b/>
          <w:bCs/>
          <w:color w:val="8B6914"/>
          <w:sz w:val="20"/>
          <w:szCs w:val="20"/>
        </w:rPr>
        <w:t xml:space="preserve">▶ Next: SC1.2 — Explain purpose of each TLC stage</w:t>
      </w:r>
    </w:p>
    <w:p>
      <w:pPr>
        <w:pBdr>
          <w:bottom w:val="single" w:color="005F5F" w:sz="6" w:space="1"/>
        </w:pBdr>
        <w:spacing w:after="160" w:before="160"/>
      </w:pPr>
    </w:p>
    <w:p>
      <w:pPr>
        <w:spacing w:after="80" w:before="160"/>
      </w:pPr>
      <w:r>
        <w:rPr>
          <w:rFonts w:ascii="Arial" w:cs="Arial" w:eastAsia="Arial" w:hAnsi="Arial"/>
          <w:b/>
          <w:bCs/>
          <w:color w:val="005F5F"/>
          <w:sz w:val="22"/>
          <w:szCs w:val="22"/>
        </w:rPr>
        <w:t xml:space="preserve">SC1.2 — Explain purpose of each stage</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Exchange Trade Life Cycle – Overview</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SC1.2 — Explain purpose of each stage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EXPLAIN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4–13, 15</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list of 11 TLC stages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11 Stages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we know the names — but what does each stage actually do?"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trade definition, slide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Trade = transfer of ownership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"A trade is the act of buying or selling a financial asset with the expectation of receiving something of value in return. Trade Initiation is when a trader decides to enter a trade — selecting the instrument, direction, quantity, price, and order type."</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order matching flow, slide 25</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Matching = price-time priority</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"Trade Execution is where the order is matched with a counterparty through the order book using price-time priority. Trade Reporting then ensures market transparency by publishing the executed price and volume immediately after execution."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OMS fields from slide 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OMS = Book of Record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"Trade Capture books the transaction into the Order Management System — the official book of record — linking reference data and triggering P&amp;L calculations."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enrichment factors list, slide 32</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Enrich = add SSI, cash values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"Trade Enrichment adds the missing pieces automatically from static data: cash values, custodian details, and Standard Settlement Instructions. Trade Validation then checks all data against rules — correct price format, valid counterparty, proper value date."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confirmation flow, slide 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Confirmation = client match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"Trade Verification compares the booked trade against the Front Office trade sheet. Trade Confirmation sends the official record to both buyer and seller. Transaction Reporting then sends client-level data to regulators for surveillance."</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Settlement = DVP + Recon</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 Settlement transfers the securities and cash — and Reconciliation is the final check to ensure our internal records match the outside world. Each stage has a specific control purpose."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Participants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"Perfect — now let us meet the participants who carry out those stages."</w:t>
            </w:r>
          </w:p>
        </w:tc>
      </w:tr>
    </w:tbl>
    <w:p>
      <w:pPr>
        <w:spacing w:after="60" w:before="120"/>
      </w:pPr>
    </w:p>
    <w:p>
      <w:pPr>
        <w:spacing w:after="240" w:before="160"/>
      </w:pPr>
      <w:r>
        <w:rPr>
          <w:rFonts w:ascii="Arial" w:cs="Arial" w:eastAsia="Arial" w:hAnsi="Arial"/>
          <w:b/>
          <w:bCs/>
          <w:color w:val="8B6914"/>
          <w:sz w:val="20"/>
          <w:szCs w:val="20"/>
        </w:rPr>
        <w:t xml:space="preserve">▶ Module ETLC.1 complete — Next: ETLC.2 Participants in Exchange Trading</w:t>
      </w:r>
    </w:p>
    <w:p>
      <w:r>
        <w:br w:type="pag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20"/>
              <w:left w:type="dxa" w:w="180"/>
              <w:bottom w:type="dxa" w:w="120"/>
              <w:right w:type="dxa" w:w="180"/>
            </w:tcMar>
          </w:tcPr>
          <w:p>
            <w:pPr>
              <w:jc w:val="center"/>
            </w:pPr>
            <w:r>
              <w:rPr>
                <w:rFonts w:ascii="Arial" w:cs="Arial" w:eastAsia="Arial" w:hAnsi="Arial"/>
                <w:b/>
                <w:bCs/>
                <w:color w:val="FFFFFF"/>
                <w:sz w:val="28"/>
                <w:szCs w:val="28"/>
              </w:rPr>
              <w:t xml:space="preserve">ETLC.2</w:t>
            </w:r>
          </w:p>
          <w:p>
            <w:pPr>
              <w:jc w:val="center"/>
            </w:pPr>
            <w:r>
              <w:rPr>
                <w:rFonts w:ascii="Arial" w:cs="Arial" w:eastAsia="Arial" w:hAnsi="Arial"/>
                <w:color w:val="D5E3F0"/>
                <w:sz w:val="22"/>
                <w:szCs w:val="22"/>
              </w:rPr>
              <w:t xml:space="preserve">Participants in Exchange Trading</w:t>
            </w:r>
          </w:p>
        </w:tc>
      </w:tr>
    </w:tbl>
    <w:p>
      <w:pPr>
        <w:spacing w:after="100" w:before="200"/>
      </w:pPr>
    </w:p>
    <w:p>
      <w:pPr>
        <w:spacing w:after="80" w:before="160"/>
      </w:pPr>
      <w:r>
        <w:rPr>
          <w:rFonts w:ascii="Arial" w:cs="Arial" w:eastAsia="Arial" w:hAnsi="Arial"/>
          <w:b/>
          <w:bCs/>
          <w:color w:val="005F5F"/>
          <w:sz w:val="22"/>
          <w:szCs w:val="22"/>
        </w:rPr>
        <w:t xml:space="preserve">SC2.1 — Identify brokers, dealers, clearing members</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Participants in Exchange Trading</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SC2.1 — Identify brokers, dealers, clearing members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14–15</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numbered list of 10 participants, slide 14</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10 Participants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the slides list ten different participants in an exchange trade. Is that not overkill? Surely a buyer and a seller should be enough?"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Exchanges and STOs highlighted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Exchanges + STOs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"Ha — if only. The ten participants from the slide are: Exchanges; Exchange Brokers, Members, or STOs — Securities Trading Organisations; and Clients of the STO such as HNIs, Family Offices, Institutional Investors, and Corporate Treasuries."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Clearing House and Clearing Brokers highlighted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CCP + Clearing Members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"Then we have the Clearing House — also called the Clearing Corporation; Clearing Brokers or Members; and Custodian Banks. These three sit between trade execution and final settlement."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lower five participants highlighted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 Tech + Regulation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"Rounding out the ten: Data Service Providers, Technology Service Providers, Central Securities Depositories, and Securities Markets Regulatory Bodies."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CSD vs Custodian</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 a Custodian Bank and a Central Securities Depository are different?" Ryo: "The CSD holds securities at the system level while the custodian holds them on behalf of a specific client."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Animation: participant map showing flow Client &gt; STO &gt; Exchange &gt; Clearing House &gt; CSD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 &gt; STO &gt; Exchange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Voice over: "The client instructs their STO, which routes the order to the Exchange. The trade is cleared through the Clearing House and settled via the Central Securities Depository, with the Custodian Bank holding assets on behalf of the client."</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10 participants, 3 groups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"Ten participant types in three groups: Trading — Exchanges, STOs, Clients; Post-trade infrastructure — Clearing House, Clearing Members, Custodians, CSDs; and Support — Data Providers, Technology Providers, Regulators."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Roles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"Good grouping. Next we explain what each participant actually does in the life cycle."</w:t>
            </w:r>
          </w:p>
        </w:tc>
      </w:tr>
    </w:tbl>
    <w:p>
      <w:pPr>
        <w:spacing w:after="60" w:before="120"/>
      </w:pPr>
    </w:p>
    <w:p>
      <w:pPr>
        <w:spacing w:after="240" w:before="160"/>
      </w:pPr>
      <w:r>
        <w:rPr>
          <w:rFonts w:ascii="Arial" w:cs="Arial" w:eastAsia="Arial" w:hAnsi="Arial"/>
          <w:b/>
          <w:bCs/>
          <w:color w:val="8B6914"/>
          <w:sz w:val="20"/>
          <w:szCs w:val="20"/>
        </w:rPr>
        <w:t xml:space="preserve">▶ Next: SC2.2 — Explain each participant's role</w:t>
      </w:r>
    </w:p>
    <w:p>
      <w:pPr>
        <w:pBdr>
          <w:bottom w:val="single" w:color="005F5F" w:sz="6" w:space="1"/>
        </w:pBdr>
        <w:spacing w:after="160" w:before="160"/>
      </w:pPr>
    </w:p>
    <w:p>
      <w:pPr>
        <w:spacing w:after="80" w:before="160"/>
      </w:pPr>
      <w:r>
        <w:rPr>
          <w:rFonts w:ascii="Arial" w:cs="Arial" w:eastAsia="Arial" w:hAnsi="Arial"/>
          <w:b/>
          <w:bCs/>
          <w:color w:val="005F5F"/>
          <w:sz w:val="22"/>
          <w:szCs w:val="22"/>
        </w:rPr>
        <w:t xml:space="preserve">SC2.2 — Explain each participant's role</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Participants in Exchange Trading</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SC2.2 — Explain each participant's 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EXPLAIN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14–15</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participant list, slide 14</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Who does what?</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"We know the names — now what do they actually do? Starting with the Exchange itself."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Exchange and STO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Exchange = marketplace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"Exchanges are the organised marketplaces where buy and sell orders meet. The STO — Securities Trading Organisation — is the licensed broker or member of the exchange that routes orders on behalf of clients."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STO clients listed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HNIs, Institutions, Corporates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"The clients of the STO include High Net Worth Individuals, Family Offices, Institutional Investors such as mutual funds and hedge funds, and Corporate Treasuries."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Clearing House box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CCP = risk guarantee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"The Clearing House or Clearing Corporation steps in as central counterparty after a trade is executed. It guarantees settlement by becoming the buyer to every seller and the seller to every buyer, eliminating bilateral counterparty risk."</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Custodian and CSD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Custodian + CSD = custody</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"Custodian Banks hold securities and cash on behalf of clients. The Central Securities Depository is the system-level registry of ownership — where book-entry transfers of securities actually happen."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Regulators = oversight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 "And the Regulatory Body?" Ryo: "Securities Markets Regulatory Bodies set the rules, monitor compliance, and receive Transaction Reports to detect market manipulation or insider trading."</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Roles mapped</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"The Exchange provides the venue, the STO executes on behalf of clients, the Clearing House manages risk, the Custodian and CSD hold assets, and the Regulator monitors the whole thing."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Trade Initiation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"Precisely. Now let us follow the trade from its very beginning — Trade Initiation."</w:t>
            </w:r>
          </w:p>
        </w:tc>
      </w:tr>
    </w:tbl>
    <w:p>
      <w:pPr>
        <w:spacing w:after="60" w:before="120"/>
      </w:pPr>
    </w:p>
    <w:p>
      <w:pPr>
        <w:spacing w:after="240" w:before="160"/>
      </w:pPr>
      <w:r>
        <w:rPr>
          <w:rFonts w:ascii="Arial" w:cs="Arial" w:eastAsia="Arial" w:hAnsi="Arial"/>
          <w:b/>
          <w:bCs/>
          <w:color w:val="8B6914"/>
          <w:sz w:val="20"/>
          <w:szCs w:val="20"/>
        </w:rPr>
        <w:t xml:space="preserve">▶ Module ETLC.2 complete — Next: ETLC.3 Trade Initiation</w:t>
      </w:r>
    </w:p>
    <w:p>
      <w:r>
        <w:br w:type="pag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20"/>
              <w:left w:type="dxa" w:w="180"/>
              <w:bottom w:type="dxa" w:w="120"/>
              <w:right w:type="dxa" w:w="180"/>
            </w:tcMar>
          </w:tcPr>
          <w:p>
            <w:pPr>
              <w:jc w:val="center"/>
            </w:pPr>
            <w:r>
              <w:rPr>
                <w:rFonts w:ascii="Arial" w:cs="Arial" w:eastAsia="Arial" w:hAnsi="Arial"/>
                <w:b/>
                <w:bCs/>
                <w:color w:val="FFFFFF"/>
                <w:sz w:val="28"/>
                <w:szCs w:val="28"/>
              </w:rPr>
              <w:t xml:space="preserve">ETLC.3</w:t>
            </w:r>
          </w:p>
          <w:p>
            <w:pPr>
              <w:jc w:val="center"/>
            </w:pPr>
            <w:r>
              <w:rPr>
                <w:rFonts w:ascii="Arial" w:cs="Arial" w:eastAsia="Arial" w:hAnsi="Arial"/>
                <w:color w:val="D5E3F0"/>
                <w:sz w:val="22"/>
                <w:szCs w:val="22"/>
              </w:rPr>
              <w:t xml:space="preserve">Trade Initiation</w:t>
            </w:r>
          </w:p>
        </w:tc>
      </w:tr>
    </w:tbl>
    <w:p>
      <w:pPr>
        <w:spacing w:after="100" w:before="200"/>
      </w:pPr>
    </w:p>
    <w:p>
      <w:pPr>
        <w:spacing w:after="80" w:before="160"/>
      </w:pPr>
      <w:r>
        <w:rPr>
          <w:rFonts w:ascii="Arial" w:cs="Arial" w:eastAsia="Arial" w:hAnsi="Arial"/>
          <w:b/>
          <w:bCs/>
          <w:color w:val="005F5F"/>
          <w:sz w:val="22"/>
          <w:szCs w:val="22"/>
        </w:rPr>
        <w:t xml:space="preserve">SC3.1 — Identify order types and routing</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Initiation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SC3.1 — Identify order types and routing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8–13, 16–21</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order types list, slide 9</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Order Types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when I place a trade, do I just say buy or sell and that is it?"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Market and Limit Order definitions, slide 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Market vs Limit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"Not quite. A Market Order is executed immediately at the prevailing market price — it prioritises speed over price. A Limit Order specifies the exact price at which the trader is willing to buy or sell and executes only at or better than that price."</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Stop and Stop-Limit definitions, slide 9</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Stop + Stop-Limit</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"A Stop Order becomes a market order when the market reaches a specified stop price — often used to limit losses. A Stop-Limit Order is similar but becomes a limit order rather than a market order when the stop price is triggered."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MOC, FOK, IOC definitions, slides 10–11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MOC / FOK / IOC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"Three more types from the slides: a Market-on-Close order executes at or near the closing price. A Fill-or-Kill order must execute in its entirety immediately or not at all. An Immediate-or-Cancel order executes immediately with any unexecuted portion cancelled."</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order duration types, slide 11</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Day / GTC / FOK / IOC</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"Orders also have durations. A Day Order is valid for the current trading day. A Good-Til-Canceled order stays active until the trader cancels it."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routing instructions and Order ID, slide 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 ID + Routing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"Each order carries routing instructions — the trader specifies which exchange or platform should receive it. The system then assigns a unique Order ID and timestamp for tracking."</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 order types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"Seven order types from the slides: Market, Limit, Stop, Stop-Limit, Market-on-Close, Fill-or-Kill, and Immediate-or-Cancel. Durations: Day, GTC, FOK, and IOC."</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Order placement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"You have it. Next we sequence the actual order placement process step by step."</w:t>
            </w:r>
          </w:p>
        </w:tc>
      </w:tr>
    </w:tbl>
    <w:p>
      <w:pPr>
        <w:spacing w:after="60" w:before="120"/>
      </w:pPr>
    </w:p>
    <w:p>
      <w:pPr>
        <w:spacing w:after="240" w:before="160"/>
      </w:pPr>
      <w:r>
        <w:rPr>
          <w:rFonts w:ascii="Arial" w:cs="Arial" w:eastAsia="Arial" w:hAnsi="Arial"/>
          <w:b/>
          <w:bCs/>
          <w:color w:val="8B6914"/>
          <w:sz w:val="20"/>
          <w:szCs w:val="20"/>
        </w:rPr>
        <w:t xml:space="preserve">▶ Next: SC3.2 — Explain order placement process</w:t>
      </w:r>
    </w:p>
    <w:p>
      <w:pPr>
        <w:pBdr>
          <w:bottom w:val="single" w:color="005F5F" w:sz="6" w:space="1"/>
        </w:pBdr>
        <w:spacing w:after="160" w:before="160"/>
      </w:pPr>
    </w:p>
    <w:p>
      <w:pPr>
        <w:spacing w:after="80" w:before="160"/>
      </w:pPr>
      <w:r>
        <w:rPr>
          <w:rFonts w:ascii="Arial" w:cs="Arial" w:eastAsia="Arial" w:hAnsi="Arial"/>
          <w:b/>
          <w:bCs/>
          <w:color w:val="005F5F"/>
          <w:sz w:val="22"/>
          <w:szCs w:val="22"/>
        </w:rPr>
        <w:t xml:space="preserve">SC3.2 — Explain order placement process</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Initiation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SC3.2 — Explain order placement process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EXPLAIN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16–21</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10-step trade initiation list, slide 16</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Steps 1–10</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"The slides show ten steps for Trade Initiation. Walk me through them — in order."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KYC and AML steps, slide 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KYC &gt; AML &gt; RDM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"Before any trading, the STO must complete a KYC check during client onboarding, followed by AML checks for suspicious activity monitoring. The client is set up on the internal Reference Data Management system, creating a fund number storing all client information."</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trading decision and instrument selection, slides 17–18</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Decision + Instrument</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"Step one is the Trading Decision — based on market analysis, investment strategy, risk tolerance, and market conditions. Step two is Selection of Financial Instrument — stocks, bonds, commodities, forex, options, futures, or other tradable assets."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direction, quantity, price steps, slides 18–19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Direction + Qty + Price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"Step three: the trader decides direction — long for a buy, short for a sell. Step four specifies quantity. Step five sets the limit price at which the trader is willing to execute."</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trade date and order type, slide 20</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Trade Date + Order Type</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"Step six is the Trade Date — either a spot trade for same-day execution or a forward trade for a future date. Step seven is order type selection."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broker selection and instructions, slide 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Broker + Instructions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"Step eight is Broker Selection based on fees, execution speed, research tools, and market access. Step nine is Trade Instructions. Step ten is Compliance — all orders must meet regulatory requirements for the asset type and jurisdiction."</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10 steps complete</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"Trade Initiation is a ten-step process: KYC and AML first, then the trader decides what to buy or sell, how much, at what price, on what date, using which order type, through which broker, ensuring regulatory compliance throughout."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Execution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"Perfect sequencing, Aria. Next — Trade Execution."</w:t>
            </w:r>
          </w:p>
        </w:tc>
      </w:tr>
    </w:tbl>
    <w:p>
      <w:pPr>
        <w:spacing w:after="60" w:before="120"/>
      </w:pPr>
    </w:p>
    <w:p>
      <w:pPr>
        <w:spacing w:after="240" w:before="160"/>
      </w:pPr>
      <w:r>
        <w:rPr>
          <w:rFonts w:ascii="Arial" w:cs="Arial" w:eastAsia="Arial" w:hAnsi="Arial"/>
          <w:b/>
          <w:bCs/>
          <w:color w:val="8B6914"/>
          <w:sz w:val="20"/>
          <w:szCs w:val="20"/>
        </w:rPr>
        <w:t xml:space="preserve">▶ Module ETLC.3 complete — Next: ETLC.4 Trade Execution</w:t>
      </w:r>
    </w:p>
    <w:p>
      <w:r>
        <w:br w:type="pag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20"/>
              <w:left w:type="dxa" w:w="180"/>
              <w:bottom w:type="dxa" w:w="120"/>
              <w:right w:type="dxa" w:w="180"/>
            </w:tcMar>
          </w:tcPr>
          <w:p>
            <w:pPr>
              <w:jc w:val="center"/>
            </w:pPr>
            <w:r>
              <w:rPr>
                <w:rFonts w:ascii="Arial" w:cs="Arial" w:eastAsia="Arial" w:hAnsi="Arial"/>
                <w:b/>
                <w:bCs/>
                <w:color w:val="FFFFFF"/>
                <w:sz w:val="28"/>
                <w:szCs w:val="28"/>
              </w:rPr>
              <w:t xml:space="preserve">ETLC.4</w:t>
            </w:r>
          </w:p>
          <w:p>
            <w:pPr>
              <w:jc w:val="center"/>
            </w:pPr>
            <w:r>
              <w:rPr>
                <w:rFonts w:ascii="Arial" w:cs="Arial" w:eastAsia="Arial" w:hAnsi="Arial"/>
                <w:color w:val="D5E3F0"/>
                <w:sz w:val="22"/>
                <w:szCs w:val="22"/>
              </w:rPr>
              <w:t xml:space="preserve">Trade Execution</w:t>
            </w:r>
          </w:p>
        </w:tc>
      </w:tr>
    </w:tbl>
    <w:p>
      <w:pPr>
        <w:spacing w:after="100" w:before="200"/>
      </w:pPr>
    </w:p>
    <w:p>
      <w:pPr>
        <w:spacing w:after="80" w:before="160"/>
      </w:pPr>
      <w:r>
        <w:rPr>
          <w:rFonts w:ascii="Arial" w:cs="Arial" w:eastAsia="Arial" w:hAnsi="Arial"/>
          <w:b/>
          <w:bCs/>
          <w:color w:val="005F5F"/>
          <w:sz w:val="22"/>
          <w:szCs w:val="22"/>
        </w:rPr>
        <w:t xml:space="preserve">SC4.1 — Identify execution methods</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Execution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SC4.1 — Identify execution methods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22–28</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Trade Execution heading</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How orders reach market</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once an order is placed, how does it actually get to the market?"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Buy Side OMS diagram, slide 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Buy Side OMS + FIX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"Buy-side clients — Investment Managers, Mutual Funds, Hedge Funds — can initiate trade orders via the sell side directly, or through a buy-side OMS such as Macgregor or Charles River Investment Management System. From there, orders go to the sell side via the FIX system."</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DMA technology explanation, slide 27</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DMA = direct access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"Alternatively, through DMA — Direct Market Access. DMA allows firms to route orders directly to all market destinations. Lava Trading, RealTick, and FlexDMA are examples. With DMA, buy-side customers rent a broker's infrastructure but control the order themselves, resulting in cheaper commissions."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Sell Side OMS, ECN vs NYSE, slide 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ECN vs Floor Exchange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"On the sell side, OMS examples include GL Trade, Fidessa, Davidge Data Systems, and NYFIX. The order can go to an electronic exchange like NASDAQ via an ECN, or to a manual exchange such as NYSE."</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ECN explanation from slide 28 notes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ECNs connect brokerages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"ECNs connect major brokerages and individual traders so they can trade directly without going through a middleman. Without ECNs, it would take considerably longer for buyers and sellers to be matched."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Three routes to market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 "So three execution routes: through the sell side directly, via buy-side OMS using FIX, or through DMA — all ending at either an ECN or a manual exchange."</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OMS + DMA + ECN/NYSE</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"Execution methods: buy-side OMS to sell side via FIX; DMA for direct routing; sell-side OMS routing to ECN for electronic exchanges or NYSE for manual exchanges."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Matching logic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"Good. Now let us get into how orders are actually matched inside the exchange."</w:t>
            </w:r>
          </w:p>
        </w:tc>
      </w:tr>
    </w:tbl>
    <w:p>
      <w:pPr>
        <w:spacing w:after="60" w:before="120"/>
      </w:pPr>
    </w:p>
    <w:p>
      <w:pPr>
        <w:spacing w:after="240" w:before="160"/>
      </w:pPr>
      <w:r>
        <w:rPr>
          <w:rFonts w:ascii="Arial" w:cs="Arial" w:eastAsia="Arial" w:hAnsi="Arial"/>
          <w:b/>
          <w:bCs/>
          <w:color w:val="8B6914"/>
          <w:sz w:val="20"/>
          <w:szCs w:val="20"/>
        </w:rPr>
        <w:t xml:space="preserve">▶ Next: SC4.2 — Explain matching engine logic</w:t>
      </w:r>
    </w:p>
    <w:p>
      <w:pPr>
        <w:pBdr>
          <w:bottom w:val="single" w:color="005F5F" w:sz="6" w:space="1"/>
        </w:pBdr>
        <w:spacing w:after="160" w:before="160"/>
      </w:pPr>
    </w:p>
    <w:p>
      <w:pPr>
        <w:spacing w:after="80" w:before="160"/>
      </w:pPr>
      <w:r>
        <w:rPr>
          <w:rFonts w:ascii="Arial" w:cs="Arial" w:eastAsia="Arial" w:hAnsi="Arial"/>
          <w:b/>
          <w:bCs/>
          <w:color w:val="005F5F"/>
          <w:sz w:val="22"/>
          <w:szCs w:val="22"/>
        </w:rPr>
        <w:t xml:space="preserve">SC4.2 — Explain matching engine logic</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Execution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SC4.2 — Explain matching engine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EXPLAIN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24–26</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Order Matching section, slide 25</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How orders match?</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once an order reaches the exchange — what happens? Who decides which buy matches which sell?"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Order Receipt and Validation flow, slide 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Receipt &gt; Validation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"Trade Execution begins when the trading platform receives the order. It is validated against market requirements and regulatory standards — order size, price levels, and other constraints."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Order Routing explanation, slide 25</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Order Routing choices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"Once validated, the order is routed to the relevant market or exchange. Routing depends on market liquidity, order type, and execution speed."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CLOB explanation, slide 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CLOB = order book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"Order Matching occurs through the Central Limit Order Book — CLOB — where buy and sell orders are listed at different price levels. Orders are matched on price-time priority: same price level, earliest order first."</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Price Determination for each order type, slide 26</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Market / Limit / Stop price</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"For market orders, execution price is the current market price — speed over certainty. For limit orders, execution is at the limit price or better. For stop orders, execution becomes a market order once the stop price is triggered."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Price-time priority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 "So the matching engine is a fast queue: best price first, and if prices are equal, earliest order first." Ryo: "Precisely."</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Execution = 5 steps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"Execution logic in five steps: Order Receipt, Order Validation, Order Routing, Order Matching via CLOB on price-time priority, and Price Determination based on order type."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Reporting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"Next — once the trade executes, it must be reported. Let us see why and how."</w:t>
            </w:r>
          </w:p>
        </w:tc>
      </w:tr>
    </w:tbl>
    <w:p>
      <w:pPr>
        <w:spacing w:after="60" w:before="120"/>
      </w:pPr>
    </w:p>
    <w:p>
      <w:pPr>
        <w:spacing w:after="240" w:before="160"/>
      </w:pPr>
      <w:r>
        <w:rPr>
          <w:rFonts w:ascii="Arial" w:cs="Arial" w:eastAsia="Arial" w:hAnsi="Arial"/>
          <w:b/>
          <w:bCs/>
          <w:color w:val="8B6914"/>
          <w:sz w:val="20"/>
          <w:szCs w:val="20"/>
        </w:rPr>
        <w:t xml:space="preserve">▶ Module ETLC.4 complete — Next: ETLC.5 Trade Capture &amp; Reporting</w:t>
      </w:r>
    </w:p>
    <w:p>
      <w:r>
        <w:br w:type="pag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20"/>
              <w:left w:type="dxa" w:w="180"/>
              <w:bottom w:type="dxa" w:w="120"/>
              <w:right w:type="dxa" w:w="180"/>
            </w:tcMar>
          </w:tcPr>
          <w:p>
            <w:pPr>
              <w:jc w:val="center"/>
            </w:pPr>
            <w:r>
              <w:rPr>
                <w:rFonts w:ascii="Arial" w:cs="Arial" w:eastAsia="Arial" w:hAnsi="Arial"/>
                <w:b/>
                <w:bCs/>
                <w:color w:val="FFFFFF"/>
                <w:sz w:val="28"/>
                <w:szCs w:val="28"/>
              </w:rPr>
              <w:t xml:space="preserve">ETLC.5</w:t>
            </w:r>
          </w:p>
          <w:p>
            <w:pPr>
              <w:jc w:val="center"/>
            </w:pPr>
            <w:r>
              <w:rPr>
                <w:rFonts w:ascii="Arial" w:cs="Arial" w:eastAsia="Arial" w:hAnsi="Arial"/>
                <w:color w:val="D5E3F0"/>
                <w:sz w:val="22"/>
                <w:szCs w:val="22"/>
              </w:rPr>
              <w:t xml:space="preserve">Trade Capture &amp; Reporting</w:t>
            </w:r>
          </w:p>
        </w:tc>
      </w:tr>
    </w:tbl>
    <w:p>
      <w:pPr>
        <w:spacing w:after="100" w:before="200"/>
      </w:pPr>
    </w:p>
    <w:p>
      <w:pPr>
        <w:spacing w:after="80" w:before="160"/>
      </w:pPr>
      <w:r>
        <w:rPr>
          <w:rFonts w:ascii="Arial" w:cs="Arial" w:eastAsia="Arial" w:hAnsi="Arial"/>
          <w:b/>
          <w:bCs/>
          <w:color w:val="005F5F"/>
          <w:sz w:val="22"/>
          <w:szCs w:val="22"/>
        </w:rPr>
        <w:t xml:space="preserve">SC5.1 — Identify trade ticket fields</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Capture &amp; Reporting</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SC5.1 — Identify trade ticket fields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29–31</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Trade Capture definition, slide 30</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Trade Capture = book of record</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after a trade is executed, someone has to write it down somewhere official. What goes into that record?"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OMS fields list, slide 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OMS fields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"Trade Capture books the transaction into the front-office trading system — the official book of record. The OMS captures: Trading book, Trade date, Trade time, Value date, Operation, Quantity, Security, Price, and Counterparty."</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Risk Management System fields, slide 30</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RMS position update</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"Simultaneously, the Risk Management System is updated with two things: the trading position for the specific security within the trading book, and the average price of the current position so the trader knows whether profit or loss will be made on the next trade."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trade ticket illustration, slide 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Trade ticket = dealing sheet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"The information from the dealing sheet is submitted to the Middle Office either electronically or manually using a trade ticket. The slide illustrates an example trade ticket containing all those captured fields."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Capture = OMS + RMS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 Trade Capture feeds two systems — OMS for the book of record and RMS for position and P&amp;L tracking?" Ryo: "Exactly. And the trade must be captured before the Middle Office can act."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validation trigger, slide 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Validation before Trade Ref</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"The trading system must validate all necessary components are present before assigning a trade reference number. No reference means no downstream processing."</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Nine OMS fields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"Nine key trade ticket fields from the slides: Trading book, Trade date, Trade time, Value date, Operation, Quantity, Security, Price, and Counterparty."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Reporting requirements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"Now let us cover what trade reporting achieves and who is responsible."</w:t>
            </w:r>
          </w:p>
        </w:tc>
      </w:tr>
    </w:tbl>
    <w:p>
      <w:pPr>
        <w:spacing w:after="60" w:before="120"/>
      </w:pPr>
    </w:p>
    <w:p>
      <w:pPr>
        <w:spacing w:after="240" w:before="160"/>
      </w:pPr>
      <w:r>
        <w:rPr>
          <w:rFonts w:ascii="Arial" w:cs="Arial" w:eastAsia="Arial" w:hAnsi="Arial"/>
          <w:b/>
          <w:bCs/>
          <w:color w:val="8B6914"/>
          <w:sz w:val="20"/>
          <w:szCs w:val="20"/>
        </w:rPr>
        <w:t xml:space="preserve">▶ Next: SC5.2 — Explain trade reporting requirements</w:t>
      </w:r>
    </w:p>
    <w:p>
      <w:pPr>
        <w:pBdr>
          <w:bottom w:val="single" w:color="005F5F" w:sz="6" w:space="1"/>
        </w:pBdr>
        <w:spacing w:after="160" w:before="160"/>
      </w:pPr>
    </w:p>
    <w:p>
      <w:pPr>
        <w:spacing w:after="80" w:before="160"/>
      </w:pPr>
      <w:r>
        <w:rPr>
          <w:rFonts w:ascii="Arial" w:cs="Arial" w:eastAsia="Arial" w:hAnsi="Arial"/>
          <w:b/>
          <w:bCs/>
          <w:color w:val="005F5F"/>
          <w:sz w:val="22"/>
          <w:szCs w:val="22"/>
        </w:rPr>
        <w:t xml:space="preserve">SC5.2 — Explain trade reporting requirements</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Capture &amp; Reporting</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SC5.2 — Explain trade reporting requirements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EXPLAIN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29, 46–47</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Trade Reporting heading, slide 29</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Why report trades?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what is the difference between Trade Reporting in Front Office and Transaction Reporting in Back Office?"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Trade Reporting purpose, slide 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Transparency + Discovery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"They serve different purposes. Trade Reporting ensures market transparency — everyone can see executed prices and volumes, facilitating price discovery and enabling regulators to monitor for irregular trading patterns."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timing of trade reporting, slide 29</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Real-time, before settlement</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"Trade Reporting occurs immediately after execution — real-time or near real-time, automated by the exchange, always before clearing and settlement."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MiFID II content, slide 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MiFID II: T+1 deadline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"Transaction Reporting under MiFID II covers all instruments: equities, bonds, exchange-traded and OTC derivatives, structured products, and ETFs. Reports must include LEI, order types, buy/sell indicators, venue, price, quantity, timestamps — by T+1."</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UTI and reporting methods, slide 47</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UTI + NCSD routing</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"MiFID II introduced unique transaction identifiers — UTIs — to link related trades. Reports can be transmitted directly, via TRAX, or via a national CSD that forwards data to the regulator."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Who reports?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 "The exchange or broker reports the Front Office trade automatically. Transaction Reporting is a separate regulatory obligation by T+1 under MiFID II?" Ryo: "Correct."</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Two reporting layers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"Two reporting layers: Trade Reporting for market transparency immediately post-execution, and Transaction Reporting to regulators by T+1 with LEI, UTI, instrument details, and timestamps under MiFID II."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Trade Enrichment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"Great. Now the trade is captured and reported — next it gets enriched with settlement details."</w:t>
            </w:r>
          </w:p>
        </w:tc>
      </w:tr>
    </w:tbl>
    <w:p>
      <w:pPr>
        <w:spacing w:after="60" w:before="120"/>
      </w:pPr>
    </w:p>
    <w:p>
      <w:pPr>
        <w:spacing w:after="240" w:before="160"/>
      </w:pPr>
      <w:r>
        <w:rPr>
          <w:rFonts w:ascii="Arial" w:cs="Arial" w:eastAsia="Arial" w:hAnsi="Arial"/>
          <w:b/>
          <w:bCs/>
          <w:color w:val="8B6914"/>
          <w:sz w:val="20"/>
          <w:szCs w:val="20"/>
        </w:rPr>
        <w:t xml:space="preserve">▶ Module ETLC.5 complete — Next: ETLC.6 Trade Enrichment</w:t>
      </w:r>
    </w:p>
    <w:p>
      <w:r>
        <w:br w:type="pag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20"/>
              <w:left w:type="dxa" w:w="180"/>
              <w:bottom w:type="dxa" w:w="120"/>
              <w:right w:type="dxa" w:w="180"/>
            </w:tcMar>
          </w:tcPr>
          <w:p>
            <w:pPr>
              <w:jc w:val="center"/>
            </w:pPr>
            <w:r>
              <w:rPr>
                <w:rFonts w:ascii="Arial" w:cs="Arial" w:eastAsia="Arial" w:hAnsi="Arial"/>
                <w:b/>
                <w:bCs/>
                <w:color w:val="FFFFFF"/>
                <w:sz w:val="28"/>
                <w:szCs w:val="28"/>
              </w:rPr>
              <w:t xml:space="preserve">ETLC.6</w:t>
            </w:r>
          </w:p>
          <w:p>
            <w:pPr>
              <w:jc w:val="center"/>
            </w:pPr>
            <w:r>
              <w:rPr>
                <w:rFonts w:ascii="Arial" w:cs="Arial" w:eastAsia="Arial" w:hAnsi="Arial"/>
                <w:color w:val="D5E3F0"/>
                <w:sz w:val="22"/>
                <w:szCs w:val="22"/>
              </w:rPr>
              <w:t xml:space="preserve">Trade Enrichment</w:t>
            </w:r>
          </w:p>
        </w:tc>
      </w:tr>
    </w:tbl>
    <w:p>
      <w:pPr>
        <w:spacing w:after="100" w:before="200"/>
      </w:pPr>
    </w:p>
    <w:p>
      <w:pPr>
        <w:spacing w:after="80" w:before="160"/>
      </w:pPr>
      <w:r>
        <w:rPr>
          <w:rFonts w:ascii="Arial" w:cs="Arial" w:eastAsia="Arial" w:hAnsi="Arial"/>
          <w:b/>
          <w:bCs/>
          <w:color w:val="005F5F"/>
          <w:sz w:val="22"/>
          <w:szCs w:val="22"/>
        </w:rPr>
        <w:t xml:space="preserve">SC6.1 — Explain trade enrichment purpose</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Enrichment</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SC6.1 — Explain trade enrichment 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EXPLAIN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32–36</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enrichment factors list, slide 32</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Enrichment factors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the trade has been captured. What does enrichment add to it?"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Data Defaulting definition, slide 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Enrichment = data defaulting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"Trade enrichment is achieved through Data Defaulting: automatically applying relevant information from the store of static data. The five enrichment factors are: cash values defaults — trade figuration; custodian defaults; SSI defaults; trade confirmation defaults; and transaction reporting defaults."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Middle Office activities note, slide 32 notes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Dealer info + risk profiles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"The Middle Office ensures the dealer has entered all required information, calculates purchase costs or sale proceeds, updates the company's risk profiles, and ensures the quantity traded is an exact multiple of that security's board lot size."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figuration and accrued interest, slide 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 Settlement Value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"Cash values defaults means calculating the net settlement value. For example, accrued interest applies on straight bonds but not zero coupon bonds. Only sellers of US equity pay an SEC fee. Client purchases of UK equity attract stamp duty but sales do not."</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Static data = defaults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"Enrichment is the system filling in blanks automatically from pre-loaded static data?" Ryo: "Exactly — speed, accuracy, and consistency."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Animation: blank trade enriched with SSI, custodian, cash value fields populating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Auto-populate from static data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Voice over: "When a trade arrives in Middle Office, the system automatically defaults custodian details, cash settlement values, and SSIs from static data — completing the trade record without manual re-entry."</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Five enrichment factors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"Five enrichment factors: cash values and trade figuration, custodian defaults, SSI defaults, trade confirmation defaults, and transaction reporting defaults — all from static data via data defaulting."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SSI defaults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"Now let us zoom into SSI defaults — the most critical enrichment step for settlement."</w:t>
            </w:r>
          </w:p>
        </w:tc>
      </w:tr>
    </w:tbl>
    <w:p>
      <w:pPr>
        <w:spacing w:after="60" w:before="120"/>
      </w:pPr>
    </w:p>
    <w:p>
      <w:pPr>
        <w:spacing w:after="240" w:before="160"/>
      </w:pPr>
      <w:r>
        <w:rPr>
          <w:rFonts w:ascii="Arial" w:cs="Arial" w:eastAsia="Arial" w:hAnsi="Arial"/>
          <w:b/>
          <w:bCs/>
          <w:color w:val="8B6914"/>
          <w:sz w:val="20"/>
          <w:szCs w:val="20"/>
        </w:rPr>
        <w:t xml:space="preserve">▶ Next: SC6.2 — Identify SSI default process</w:t>
      </w:r>
    </w:p>
    <w:p>
      <w:pPr>
        <w:pBdr>
          <w:bottom w:val="single" w:color="005F5F" w:sz="6" w:space="1"/>
        </w:pBdr>
        <w:spacing w:after="160" w:before="160"/>
      </w:pPr>
    </w:p>
    <w:p>
      <w:pPr>
        <w:spacing w:after="80" w:before="160"/>
      </w:pPr>
      <w:r>
        <w:rPr>
          <w:rFonts w:ascii="Arial" w:cs="Arial" w:eastAsia="Arial" w:hAnsi="Arial"/>
          <w:b/>
          <w:bCs/>
          <w:color w:val="005F5F"/>
          <w:sz w:val="22"/>
          <w:szCs w:val="22"/>
        </w:rPr>
        <w:t xml:space="preserve">SC6.2 — Identify SSI default process</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Enrichment</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SC6.2 — Identify SSI default process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35–36</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SSI definition, slide 35</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SSI = how to settle</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what exactly is an SSI?" Ryo: "SSI stands for Standard Settlement Instructions — they specify how a trade is to be settled."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SSI fields list, slide 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Four SSI fields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"SSIs are added to trading accounts based on requests from Middle or Back Office. The four key fields: Place of Settlement — custodian or depository; Currency of Settlement; Delivering Agent — Nostro and Depot Account; and Receiving Agent — Nostro and Depot Account."</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SSI transmission methods, slide 36</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Telex vs SWIFT</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"Settlement instructions must be sent to the custodian immediately once the trade comes from Front Office. Custodians may have preferred transmission methods — for instance, company A may transmit via telex while company B may transmit via SWIFT."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SWIFT message type variation, slide 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SWIFT message types vary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"Even within SWIFT there is variation: custodian X may require a specific SWIFT message type, while custodian Y requires a different SWIFT message type. This is why SSI static data must capture custodian-specific preferences."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SSI = custodian preference</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 SSIs specify not just where to send securities but also the exact communication channel and message format the custodian expects?" Ryo: "Precisely. Get the SWIFT type wrong and the custodian may reject the instruction."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Animation: SSI fields populating for a trade — Place, Currency, Delivering Agent, Receiving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SSI auto-defaults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Voice over: "When a trade is enriched, the system looks up static data for the counterparty and defaults the four SSI fields — ensuring the custodian receives the correct instruction via the correct channel."</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SSI = 4 fields + channel</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"SSI defaults: four fields — Place of Settlement, Currency of Settlement, Delivering Agent with Nostro and Depot accounts, Receiving Agent with Nostro and Depot accounts — plus the custodian-specific transmission method."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Cash values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"Good. Now let us look at how the cash values are calculated — trade figuration."</w:t>
            </w:r>
          </w:p>
        </w:tc>
      </w:tr>
    </w:tbl>
    <w:p>
      <w:pPr>
        <w:spacing w:after="60" w:before="120"/>
      </w:pPr>
    </w:p>
    <w:p>
      <w:pPr>
        <w:spacing w:after="240" w:before="160"/>
      </w:pPr>
      <w:r>
        <w:rPr>
          <w:rFonts w:ascii="Arial" w:cs="Arial" w:eastAsia="Arial" w:hAnsi="Arial"/>
          <w:b/>
          <w:bCs/>
          <w:color w:val="8B6914"/>
          <w:sz w:val="20"/>
          <w:szCs w:val="20"/>
        </w:rPr>
        <w:t xml:space="preserve">▶ Next: SC6.3 — Explain cash values figuration</w:t>
      </w:r>
    </w:p>
    <w:p>
      <w:pPr>
        <w:pBdr>
          <w:bottom w:val="single" w:color="005F5F" w:sz="6" w:space="1"/>
        </w:pBdr>
        <w:spacing w:after="160" w:before="160"/>
      </w:pPr>
    </w:p>
    <w:p>
      <w:pPr>
        <w:spacing w:after="80" w:before="160"/>
      </w:pPr>
      <w:r>
        <w:rPr>
          <w:rFonts w:ascii="Arial" w:cs="Arial" w:eastAsia="Arial" w:hAnsi="Arial"/>
          <w:b/>
          <w:bCs/>
          <w:color w:val="005F5F"/>
          <w:sz w:val="22"/>
          <w:szCs w:val="22"/>
        </w:rPr>
        <w:t xml:space="preserve">SC6.3 — Explain cash values figuration</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Enrichment</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SC6.3 — Explain cash values figuration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EXPLAIN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 34</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trade figuration definition, slide 34</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NSV = net settlement value</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what does trade figuration actually calculate?"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NSV definition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Gross + costs = NSV</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"Trade figuration means calculating the net settlement value — NSV — of the transaction. It starts with gross trade value and then adds or subtracts other costs depending on the instrument and market."</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accrued interest rule, slide 34</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Bonds: accrued interest</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"From slide 34: accrued interest is applicable on straight bonds but not on zero coupon bonds. A bond trade's NSV will include interest accrued since the last coupon payment."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stamp duty and SEC fee rules, slide 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Stamp duty + SEC fee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"For equities: client purchases of UK equity attract stamp duty but sales do not. Only sellers of US equity pay an SEC fee. Stamp duty is payable on Irish equities but not on Japanese equities."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Rules vary by market</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"The figuration rules are market-specific — you cannot apply the same formula to a UK equity purchase and a US equity sale?" Ryo: "That is why static data must store market-specific figuration rules."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Animation: NSV calculation — quantity x price + accrued interest + stamp duty = NSV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NSV = Qty x Price +/- costs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Voice over: "For a UK bond purchase: NSV equals quantity multiplied by price, plus accrued interest. For a US equity sale: NSV equals quantity multiplied by price, minus the SEC fee. Specific adjustments depend on instrument type and market."</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Figuration: market-specific</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"Trade figuration calculates net settlement value applying market-specific rules: accrued interest for straight bonds, stamp duty for UK equity purchases and Irish equities, and SEC fees for US equity sellers."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SSI consequences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"Now for the critical risk dimension — what happens when SSIs go wrong."</w:t>
            </w:r>
          </w:p>
        </w:tc>
      </w:tr>
    </w:tbl>
    <w:p>
      <w:pPr>
        <w:spacing w:after="60" w:before="120"/>
      </w:pPr>
    </w:p>
    <w:p>
      <w:pPr>
        <w:spacing w:after="240" w:before="160"/>
      </w:pPr>
      <w:r>
        <w:rPr>
          <w:rFonts w:ascii="Arial" w:cs="Arial" w:eastAsia="Arial" w:hAnsi="Arial"/>
          <w:b/>
          <w:bCs/>
          <w:color w:val="8B6914"/>
          <w:sz w:val="20"/>
          <w:szCs w:val="20"/>
        </w:rPr>
        <w:t xml:space="preserve">▶ Next: SC6.SSI — Explain consequences of wrong SSI</w:t>
      </w:r>
    </w:p>
    <w:p>
      <w:pPr>
        <w:pBdr>
          <w:bottom w:val="single" w:color="005F5F" w:sz="6" w:space="1"/>
        </w:pBdr>
        <w:spacing w:after="160" w:before="160"/>
      </w:pPr>
    </w:p>
    <w:p>
      <w:pPr>
        <w:spacing w:after="80" w:before="160"/>
      </w:pPr>
      <w:r>
        <w:rPr>
          <w:rFonts w:ascii="Arial" w:cs="Arial" w:eastAsia="Arial" w:hAnsi="Arial"/>
          <w:b/>
          <w:bCs/>
          <w:color w:val="005F5F"/>
          <w:sz w:val="22"/>
          <w:szCs w:val="22"/>
        </w:rPr>
        <w:t xml:space="preserve">SC6.SSI — Explain consequences of wrong SSI</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Enrichment</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SC6.SSI — Explain consequences of wrong SSI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EXPLAIN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SSI Consequences PDF</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SSI consequences overview</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Wrong SSI = big problem</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what actually happens if the SSI is wrong?" Ryo: "Wrong SSIs are a major cause of settlement failures — second only to lack of inventory."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Animation: settlement failure 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Settlement fails &gt; buy-in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"When settlement instructions are incorrect, trades may fail to settle on time. Manual intervention is required, increasing operational costs. Settlement failures can trigger buy-in or sell-out notices where the counterparty completes the trade at potentially higher costs — causing direct financial losses."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Animation: risk exposure diagram</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Delivery risk + payment risk</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"Incorrect SSIs increase settlement risk in two forms: delivery risk — failure to deliver securities — and payment risk — failure to transfer funds. Both escalate credit and liquidity risks. In cross-border transactions, errors can be exacerbated by time zone differences and differing regulatory requirements."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Animation: regulatory compliance warning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 shrinking window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"Compliance is a third dimension. Errors in SSIs can lead to non-compliance, resulting in legal action, fines, or penalties. With the move toward accelerated settlement cycles like T+1, the window to correct errors is shrinking, increasing regulatory scrutiny."</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Animation: reputational damage scale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Reputation + automation</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"Repeated errors damage a firm's reputation, eroding trust with counterparties and clients. Operationally, manual SSI exchanges are prone to transposition errors requiring call-backs. Lack of standardisation complicates automation and creates bottlenecks."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 20022 = mitigation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 "What is the solution?" Ryo: "Adoption of ISO 20022 standards and electronic SSI sharing can mitigate these risks — but user errors remain a significant concern even with automated systems."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Six consequences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"Six consequences of wrong SSIs: settlement failures and trade disruptions; financial losses from buy-ins, sell-outs, or missed opportunities; increased credit and liquidity risks; regulatory non-compliance; reputational damage; and operational inefficiencies from manual intervention."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Validation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"Which is exactly why Trade Validation exists as a final check before anything goes to the market."</w:t>
            </w:r>
          </w:p>
        </w:tc>
      </w:tr>
    </w:tbl>
    <w:p>
      <w:pPr>
        <w:spacing w:after="60" w:before="120"/>
      </w:pPr>
    </w:p>
    <w:p>
      <w:pPr>
        <w:spacing w:after="240" w:before="160"/>
      </w:pPr>
      <w:r>
        <w:rPr>
          <w:rFonts w:ascii="Arial" w:cs="Arial" w:eastAsia="Arial" w:hAnsi="Arial"/>
          <w:b/>
          <w:bCs/>
          <w:color w:val="8B6914"/>
          <w:sz w:val="20"/>
          <w:szCs w:val="20"/>
        </w:rPr>
        <w:t xml:space="preserve">▶ Module ETLC.6 complete — Next: ETLC.7 Trade Validation &amp; Verification</w:t>
      </w:r>
    </w:p>
    <w:p>
      <w:r>
        <w:br w:type="pag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20"/>
              <w:left w:type="dxa" w:w="180"/>
              <w:bottom w:type="dxa" w:w="120"/>
              <w:right w:type="dxa" w:w="180"/>
            </w:tcMar>
          </w:tcPr>
          <w:p>
            <w:pPr>
              <w:jc w:val="center"/>
            </w:pPr>
            <w:r>
              <w:rPr>
                <w:rFonts w:ascii="Arial" w:cs="Arial" w:eastAsia="Arial" w:hAnsi="Arial"/>
                <w:b/>
                <w:bCs/>
                <w:color w:val="FFFFFF"/>
                <w:sz w:val="28"/>
                <w:szCs w:val="28"/>
              </w:rPr>
              <w:t xml:space="preserve">ETLC.7</w:t>
            </w:r>
          </w:p>
          <w:p>
            <w:pPr>
              <w:jc w:val="center"/>
            </w:pPr>
            <w:r>
              <w:rPr>
                <w:rFonts w:ascii="Arial" w:cs="Arial" w:eastAsia="Arial" w:hAnsi="Arial"/>
                <w:color w:val="D5E3F0"/>
                <w:sz w:val="22"/>
                <w:szCs w:val="22"/>
              </w:rPr>
              <w:t xml:space="preserve">Trade Validation &amp; Verification</w:t>
            </w:r>
          </w:p>
        </w:tc>
      </w:tr>
    </w:tbl>
    <w:p>
      <w:pPr>
        <w:spacing w:after="100" w:before="200"/>
      </w:pPr>
    </w:p>
    <w:p>
      <w:pPr>
        <w:spacing w:after="80" w:before="160"/>
      </w:pPr>
      <w:r>
        <w:rPr>
          <w:rFonts w:ascii="Arial" w:cs="Arial" w:eastAsia="Arial" w:hAnsi="Arial"/>
          <w:b/>
          <w:bCs/>
          <w:color w:val="005F5F"/>
          <w:sz w:val="22"/>
          <w:szCs w:val="22"/>
        </w:rPr>
        <w:t xml:space="preserve">SC7.1 — Identify validation checks performed</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Validation &amp; Verification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SC7.1 — Identify validation checks performed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37–38</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validation definition, slide 37</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Final check before sending</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what does trade validation actually check?"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validation purpose, slide 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Risk reduction mechanism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"STOs adopt a final check of all data within a fully enriched trade to reduce erroneous information being sent externally. Validation covers two objectives: timely and accurate servicing of clients, and avoidance of operational risk and cost."</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validation table from slide 38, first six rows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Trading book + dates + price</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"From the validation rules table: Trading Book must be restricted to specific traders. Trade Date should be today for a new trade. Trade Time cannot be in the future. Value Date is normally the standard settlement cycle — for example T+2 for Europe."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validation table second half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Qty + Security + Counterparty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"Continuing: Quantity must be multiples of the minimum denomination of a bond. Security cannot be a matured bond. Price for bonds must be either a percentage of face value or a yield. Counterparty must include location. Trade Cash Value must equal quantity times price plus or minus other costs."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Trade Confirmation and Custodian rules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Confirmation + Custodians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"Two more: Trade Confirmation should be sent to institutional clients. The company's and counterparty's custodians must be relevant to the security group."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 validation checks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 "Ten component checks. Any one failing means the trade is flagged before going external?" Ryo: "Correct — the rule set is essentially a gate."</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10 checks listed</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"Ten validation checks from slide 38: Trading Book, Trade Date, Trade Time, Value Date, Quantity, Security not matured, Price format, Counterparty with location, Trade Cash Value, and Custodians relevant to security group."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Verification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"Now let us distinguish validation from verification — they are related but different."</w:t>
            </w:r>
          </w:p>
        </w:tc>
      </w:tr>
    </w:tbl>
    <w:p>
      <w:pPr>
        <w:spacing w:after="60" w:before="120"/>
      </w:pPr>
    </w:p>
    <w:p>
      <w:pPr>
        <w:spacing w:after="240" w:before="160"/>
      </w:pPr>
      <w:r>
        <w:rPr>
          <w:rFonts w:ascii="Arial" w:cs="Arial" w:eastAsia="Arial" w:hAnsi="Arial"/>
          <w:b/>
          <w:bCs/>
          <w:color w:val="8B6914"/>
          <w:sz w:val="20"/>
          <w:szCs w:val="20"/>
        </w:rPr>
        <w:t xml:space="preserve">▶ Next: SC7.2 — Explain verification process</w:t>
      </w:r>
    </w:p>
    <w:p>
      <w:pPr>
        <w:pBdr>
          <w:bottom w:val="single" w:color="005F5F" w:sz="6" w:space="1"/>
        </w:pBdr>
        <w:spacing w:after="160" w:before="160"/>
      </w:pPr>
    </w:p>
    <w:p>
      <w:pPr>
        <w:spacing w:after="80" w:before="160"/>
      </w:pPr>
      <w:r>
        <w:rPr>
          <w:rFonts w:ascii="Arial" w:cs="Arial" w:eastAsia="Arial" w:hAnsi="Arial"/>
          <w:b/>
          <w:bCs/>
          <w:color w:val="005F5F"/>
          <w:sz w:val="22"/>
          <w:szCs w:val="22"/>
        </w:rPr>
        <w:t xml:space="preserve">SC7.2 — Explain verification process</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Validation &amp; Verification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SC7.2 — Explain verification process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EXPLAIN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 39</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Trade Verification definition, slide 39</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Verification vs Validation</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if validation already checks all fields, what does verification do on top of that?"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trade sheet comparison, slide 39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Compare booking vs FO sheet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"They are different. Trade Verification compares the booked trade against the Trade Sheet — an email or Excel file sent from Front Office to Middle Office. It ensures details the Front Office sent to the client match what is booked in the system."</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pre-settlement reconciliation, slide 39</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Pre-settlement recon = internal</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"Verification is described in the slide as Pre-Settlement Reconciliation, done as part of the internal recon process. The Middle Office ensures all transactions booked in the Front Office have successfully passed through to the Middle Office."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Validation = rules check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 "So the difference: Validation checks each field against data rules. Verification checks that the booked trade matches what was agreed with the client."</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Verification = matching check</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"Exactly. Validation is rules-based. Verification is matching-based. Both are internal Middle Office controls before confirmation goes external."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Animation: FO trade sheet arrow to MO system, with match check indicator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 sheet vs MO system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Voice over: "The Middle Office receives the trade sheet from Front Office. During verification, each trade on the sheet is compared against the corresponding booking in the internal system. Discrepancies are flagged, investigated, and resolved before external confirmation."</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Verification = internal recon</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"Trade Verification is the pre-settlement internal reconciliation: comparing the Front Office trade sheet against the Middle Office booking to confirm all transactions have passed through correctly."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Confirmation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"With validation and verification complete, the trade is ready to be formally confirmed."</w:t>
            </w:r>
          </w:p>
        </w:tc>
      </w:tr>
    </w:tbl>
    <w:p>
      <w:pPr>
        <w:spacing w:after="60" w:before="120"/>
      </w:pPr>
    </w:p>
    <w:p>
      <w:pPr>
        <w:spacing w:after="240" w:before="160"/>
      </w:pPr>
      <w:r>
        <w:rPr>
          <w:rFonts w:ascii="Arial" w:cs="Arial" w:eastAsia="Arial" w:hAnsi="Arial"/>
          <w:b/>
          <w:bCs/>
          <w:color w:val="8B6914"/>
          <w:sz w:val="20"/>
          <w:szCs w:val="20"/>
        </w:rPr>
        <w:t xml:space="preserve">▶ Module ETLC.7 complete — Next: ETLC.8 Trade Confirmation</w:t>
      </w:r>
    </w:p>
    <w:p>
      <w:r>
        <w:br w:type="pag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20"/>
              <w:left w:type="dxa" w:w="180"/>
              <w:bottom w:type="dxa" w:w="120"/>
              <w:right w:type="dxa" w:w="180"/>
            </w:tcMar>
          </w:tcPr>
          <w:p>
            <w:pPr>
              <w:jc w:val="center"/>
            </w:pPr>
            <w:r>
              <w:rPr>
                <w:rFonts w:ascii="Arial" w:cs="Arial" w:eastAsia="Arial" w:hAnsi="Arial"/>
                <w:b/>
                <w:bCs/>
                <w:color w:val="FFFFFF"/>
                <w:sz w:val="28"/>
                <w:szCs w:val="28"/>
              </w:rPr>
              <w:t xml:space="preserve">ETLC.8</w:t>
            </w:r>
          </w:p>
          <w:p>
            <w:pPr>
              <w:jc w:val="center"/>
            </w:pPr>
            <w:r>
              <w:rPr>
                <w:rFonts w:ascii="Arial" w:cs="Arial" w:eastAsia="Arial" w:hAnsi="Arial"/>
                <w:color w:val="D5E3F0"/>
                <w:sz w:val="22"/>
                <w:szCs w:val="22"/>
              </w:rPr>
              <w:t xml:space="preserve">Trade Confirmation</w:t>
            </w:r>
          </w:p>
        </w:tc>
      </w:tr>
    </w:tbl>
    <w:p>
      <w:pPr>
        <w:spacing w:after="100" w:before="200"/>
      </w:pPr>
    </w:p>
    <w:p>
      <w:pPr>
        <w:spacing w:after="80" w:before="160"/>
      </w:pPr>
      <w:r>
        <w:rPr>
          <w:rFonts w:ascii="Arial" w:cs="Arial" w:eastAsia="Arial" w:hAnsi="Arial"/>
          <w:b/>
          <w:bCs/>
          <w:color w:val="005F5F"/>
          <w:sz w:val="22"/>
          <w:szCs w:val="22"/>
        </w:rPr>
        <w:t xml:space="preserve">SC8.1 — Explain confirmation purpose and content</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Confirmation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SC8.1 — Explain confirmation purpose and 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EXPLAIN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40–44</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confirmation definition, slide 40</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Official record of trade</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what is a trade confirmation exactly — is it just a receipt?"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content list, slide 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Details: asset + qty + price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"More than a receipt. A trade confirmation is a document generated after execution providing detailed information to both buyer and seller. It serves as an official record promoting transparency, reducing disputes, and facilitating regulatory compliance."</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confirmation content fields, slides 40–41</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Key fields list</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"Content from the slides: the asset traded, quantity, execution price, trade date, value date or settlement date — noting these can differ in some cases — counterparty information including names, addresses, account details, and a unique trade reference number."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additional fields, slide 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Venue + time + currency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"Further fields: trade venue — exchange, electronic platform, or OTC market; execution time; order type; and trade currency."</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risk management and audit trail, slides 43–44</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Audit trail + dispute tool</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"Confirmations play a vital role in risk management and dispute resolution as evidence of trade terms. They create a comprehensive audit trail retained for regulatory compliance, accounting, and reporting, held for a specified period to meet regulatory requirements."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Legal document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 "So a trade confirmation is a legal document?" Ryo: "Correct. The slide states they serve as legal documents evidencing terms and conditions, subject to regulatory requirements varying by jurisdiction and asset class."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Purpose + content fields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"Trade confirmation purpose: official record, transparency, dispute resolution, compliance. Key content: asset, quantity, price, trade date, value/settlement date, counterparty info, trade reference, venue, execution time, order type, and trade currency."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Confirmation methods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"Now let us cover how confirmations are delivered and the distinction between confirmation and affirmation."</w:t>
            </w:r>
          </w:p>
        </w:tc>
      </w:tr>
    </w:tbl>
    <w:p>
      <w:pPr>
        <w:spacing w:after="60" w:before="120"/>
      </w:pPr>
    </w:p>
    <w:p>
      <w:pPr>
        <w:spacing w:after="240" w:before="160"/>
      </w:pPr>
      <w:r>
        <w:rPr>
          <w:rFonts w:ascii="Arial" w:cs="Arial" w:eastAsia="Arial" w:hAnsi="Arial"/>
          <w:b/>
          <w:bCs/>
          <w:color w:val="8B6914"/>
          <w:sz w:val="20"/>
          <w:szCs w:val="20"/>
        </w:rPr>
        <w:t xml:space="preserve">▶ Next: SC8.2 — Identify confirmation methods</w:t>
      </w:r>
    </w:p>
    <w:p>
      <w:pPr>
        <w:pBdr>
          <w:bottom w:val="single" w:color="005F5F" w:sz="6" w:space="1"/>
        </w:pBdr>
        <w:spacing w:after="160" w:before="160"/>
      </w:pPr>
    </w:p>
    <w:p>
      <w:pPr>
        <w:spacing w:after="80" w:before="160"/>
      </w:pPr>
      <w:r>
        <w:rPr>
          <w:rFonts w:ascii="Arial" w:cs="Arial" w:eastAsia="Arial" w:hAnsi="Arial"/>
          <w:b/>
          <w:bCs/>
          <w:color w:val="005F5F"/>
          <w:sz w:val="22"/>
          <w:szCs w:val="22"/>
        </w:rPr>
        <w:t xml:space="preserve">SC8.2 — Identify confirmation methods</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Confirmation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SC8.2 — Identify confirmation methods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42, 45</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distribution methods, slide 42</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How is it delivered?</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once the confirmation is prepared, how does it reach the client?"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electronic delivery methods, slide 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platform, messaging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"For institutional and retail investors, trade confirmations are delivered electronically — through email, online trading platforms, or secure messaging systems. For equities, confirmations are generally sent the same day as execution and sometimes instantaneously."</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trade matching platform, slide 45</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Electronic matching platform</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"The broker sends a trade confirmation to the client via an electronic trade matching platform, or through an Excel or PDF document."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comparison step, slide 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 compares OMS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"On receipt, the client compares trade details with their internal OMS. Both economic details — price, quantity, date — and non-economic details — venue, counterparty, reference number — are matched."</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flow to custodian, slide 45</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Confirmed &gt; custodian</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"Once confirmed, the broker sends details to the custodian and/or depository or clearing house. The client also sends trade details to their own custodian."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CCP receives copy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 "And the clearinghouse gets a copy?" Ryo: "Slide 42 notes that in some cases a copy is provided to a clearinghouse or central counterparty for clearing and settlement purposes."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Three delivery channels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"Three confirmation delivery methods: electronic trade matching platform, email or online trading platform, and PDF or Excel document. The client matches economic and non-economic details against their OMS before custodians receive settlement instructions."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Affirmation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"Let us now address the difference between affirmation and confirmation."</w:t>
            </w:r>
          </w:p>
        </w:tc>
      </w:tr>
    </w:tbl>
    <w:p>
      <w:pPr>
        <w:spacing w:after="60" w:before="120"/>
      </w:pPr>
    </w:p>
    <w:p>
      <w:pPr>
        <w:spacing w:after="240" w:before="160"/>
      </w:pPr>
      <w:r>
        <w:rPr>
          <w:rFonts w:ascii="Arial" w:cs="Arial" w:eastAsia="Arial" w:hAnsi="Arial"/>
          <w:b/>
          <w:bCs/>
          <w:color w:val="8B6914"/>
          <w:sz w:val="20"/>
          <w:szCs w:val="20"/>
        </w:rPr>
        <w:t xml:space="preserve">▶ Next: SC8.3 — Explain affirmation vs confirmation</w:t>
      </w:r>
    </w:p>
    <w:p>
      <w:pPr>
        <w:pBdr>
          <w:bottom w:val="single" w:color="005F5F" w:sz="6" w:space="1"/>
        </w:pBdr>
        <w:spacing w:after="160" w:before="160"/>
      </w:pPr>
    </w:p>
    <w:p>
      <w:pPr>
        <w:spacing w:after="80" w:before="160"/>
      </w:pPr>
      <w:r>
        <w:rPr>
          <w:rFonts w:ascii="Arial" w:cs="Arial" w:eastAsia="Arial" w:hAnsi="Arial"/>
          <w:b/>
          <w:bCs/>
          <w:color w:val="005F5F"/>
          <w:sz w:val="22"/>
          <w:szCs w:val="22"/>
        </w:rPr>
        <w:t xml:space="preserve">SC8.3 — Explain affirmation vs confirmation</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Confirmation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SC8.3 — Explain affirmation vs confirmation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EXPLAIN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40–46</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confirmation heading, slide 40</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Confirm vs Affirm?</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people use confirmation and affirmation almost interchangeably. Are they actually different?"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broker sends confirmation, slide 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Confirmation = broker sends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"They are different steps. Confirmation is the document the broker sends to the client after execution — containing asset, quantity, price, date, venue, and reference number."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client comparison step, slide 45</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Affirmation = client accepts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"Affirmation is the client's response — comparing the broker's confirmation against their own internal OMS records and formally accepting that both economic and non-economic details match."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matched details flow, slide 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Match &gt; custodian informed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"Once affirmation occurs, the broker sends trade details to the custodian and/or clearing house. The client independently sends details to their own custodian to trigger settlement."</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Sequence: confirm then affirm</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 broker confirms, client affirms, then both sides instruct custodians. Confirmation without affirmation cannot trigger settlement?" Ryo: "Correct — affirmation is the green light."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Animation: Broker sends confirmation &gt; client compares OMS &gt; client affirms &gt; both arrows to custodians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Confirm &gt; Affirm &gt; Settle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Voice over: "Broker sends confirmation. Client compares against OMS. Client affirms — economic and non-economic details matched. Broker sends to custodian and clearing house. Client sends to their custodian. Settlement instructions are now active."</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Confirm + Affirm = ready</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"Confirmation is broker-initiated; affirmation is client-initiated acceptance after comparing against internal records. Together they create the confirmed, affirmed trade ready for settlement."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Settlement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"The trade is confirmed and affirmed — time to actually settle it."</w:t>
            </w:r>
          </w:p>
        </w:tc>
      </w:tr>
    </w:tbl>
    <w:p>
      <w:pPr>
        <w:spacing w:after="60" w:before="120"/>
      </w:pPr>
    </w:p>
    <w:p>
      <w:pPr>
        <w:spacing w:after="240" w:before="160"/>
      </w:pPr>
      <w:r>
        <w:rPr>
          <w:rFonts w:ascii="Arial" w:cs="Arial" w:eastAsia="Arial" w:hAnsi="Arial"/>
          <w:b/>
          <w:bCs/>
          <w:color w:val="8B6914"/>
          <w:sz w:val="20"/>
          <w:szCs w:val="20"/>
        </w:rPr>
        <w:t xml:space="preserve">▶ Module ETLC.8 complete — Next: ETLC.9 Trade Settlement</w:t>
      </w:r>
    </w:p>
    <w:p>
      <w:r>
        <w:br w:type="pag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20"/>
              <w:left w:type="dxa" w:w="180"/>
              <w:bottom w:type="dxa" w:w="120"/>
              <w:right w:type="dxa" w:w="180"/>
            </w:tcMar>
          </w:tcPr>
          <w:p>
            <w:pPr>
              <w:jc w:val="center"/>
            </w:pPr>
            <w:r>
              <w:rPr>
                <w:rFonts w:ascii="Arial" w:cs="Arial" w:eastAsia="Arial" w:hAnsi="Arial"/>
                <w:b/>
                <w:bCs/>
                <w:color w:val="FFFFFF"/>
                <w:sz w:val="28"/>
                <w:szCs w:val="28"/>
              </w:rPr>
              <w:t xml:space="preserve">ETLC.9</w:t>
            </w:r>
          </w:p>
          <w:p>
            <w:pPr>
              <w:jc w:val="center"/>
            </w:pPr>
            <w:r>
              <w:rPr>
                <w:rFonts w:ascii="Arial" w:cs="Arial" w:eastAsia="Arial" w:hAnsi="Arial"/>
                <w:color w:val="D5E3F0"/>
                <w:sz w:val="22"/>
                <w:szCs w:val="22"/>
              </w:rPr>
              <w:t xml:space="preserve">Trade Settlement</w:t>
            </w:r>
          </w:p>
        </w:tc>
      </w:tr>
    </w:tbl>
    <w:p>
      <w:pPr>
        <w:spacing w:after="100" w:before="200"/>
      </w:pPr>
    </w:p>
    <w:p>
      <w:pPr>
        <w:spacing w:after="80" w:before="160"/>
      </w:pPr>
      <w:r>
        <w:rPr>
          <w:rFonts w:ascii="Arial" w:cs="Arial" w:eastAsia="Arial" w:hAnsi="Arial"/>
          <w:b/>
          <w:bCs/>
          <w:color w:val="005F5F"/>
          <w:sz w:val="22"/>
          <w:szCs w:val="22"/>
        </w:rPr>
        <w:t xml:space="preserve">SC9.1 — Identify settlement cycle types (T+1, T+2)</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Settlement</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SC9.1 — Identify settlement cycle types (T+1, T+2)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49–53</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Settlement Cycles heading, slide 52</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T+1 vs T+2</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I keep seeing T+1 and T+2 everywhere. What do these mean in settlement?"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settlement definition, slide 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Settlement = transfer complete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"Settlement is defined in the slide as the completion of a transaction, wherein the seller transfers securities to the buyer and the buyer transfers money to the seller. The T in T+1 or T+2 is the Trade Date."</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T+2 reference from validation slide 38</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T+2 for Europe</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"The validation rules slide notes T+2 as the standard settlement cycle for Europe. The settlement cycle slides illustrate cash and spot market settlement cycles including T+1."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T+1 settlement cycle, slide 53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 = one business day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"T+1 means settlement occurs one business day after trade date. The SSI consequences document notes that the move toward T+1 accelerated cycles shrinks the window to correct errors, making accurate SSIs even more critical."</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clearing and settlement flow, slide 49</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Clearing before settlement</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"Settlement begins with clearing. Clearance is the preparation for settlement in a central system — a clearing house or CCP. Clearing systems match both sides and check asset availability before advising the CSD that settlement can proceed."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Determination of obligations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 "When do parties know what they owe?" Ryo: "By TD+1. Slide 49 states determination of obligations helps parties know their net payment and receipt of cash and securities by TD+1, ensuring they are ready."</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T+1 and T+2 defined</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"Settlement cycle summary: T+1 is one business day after trade date; T+2 is two business days, standard for European equities. Clearing matches both sides and confirms asset availability. Obligations are determined by TD+1."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DVP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"Now let us explore how securities and cash actually change hands — Delivery versus Payment."</w:t>
            </w:r>
          </w:p>
        </w:tc>
      </w:tr>
    </w:tbl>
    <w:p>
      <w:pPr>
        <w:spacing w:after="60" w:before="120"/>
      </w:pPr>
    </w:p>
    <w:p>
      <w:pPr>
        <w:spacing w:after="240" w:before="160"/>
      </w:pPr>
      <w:r>
        <w:rPr>
          <w:rFonts w:ascii="Arial" w:cs="Arial" w:eastAsia="Arial" w:hAnsi="Arial"/>
          <w:b/>
          <w:bCs/>
          <w:color w:val="8B6914"/>
          <w:sz w:val="20"/>
          <w:szCs w:val="20"/>
        </w:rPr>
        <w:t xml:space="preserve">▶ Next: SC9.2 — Explain DVP settlement logic</w:t>
      </w:r>
    </w:p>
    <w:p>
      <w:pPr>
        <w:pBdr>
          <w:bottom w:val="single" w:color="005F5F" w:sz="6" w:space="1"/>
        </w:pBdr>
        <w:spacing w:after="160" w:before="160"/>
      </w:pPr>
    </w:p>
    <w:p>
      <w:pPr>
        <w:spacing w:after="80" w:before="160"/>
      </w:pPr>
      <w:r>
        <w:rPr>
          <w:rFonts w:ascii="Arial" w:cs="Arial" w:eastAsia="Arial" w:hAnsi="Arial"/>
          <w:b/>
          <w:bCs/>
          <w:color w:val="005F5F"/>
          <w:sz w:val="22"/>
          <w:szCs w:val="22"/>
        </w:rPr>
        <w:t xml:space="preserve">SC9.2 — Explain DVP settlement logic</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Settlement</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SC9.2 — Explain DVP settlement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EXPLAIN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49–50, 58</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settlement definition slide 50</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Simultaneous exchange?</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in settlement — does securities transfer happen before or after the cash transfer?"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DVP simultaneous exchange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DVP = same time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"At the same time — that is the whole point of Delivery versus Payment, DVP. Securities are delivered from seller to buyer simultaneously with cash moving from buyer to seller. Neither side releases their asset until the other side delivers."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Pay-In and Pay-Out from slide 50</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Pay-in then Pay-out</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"From slide 50, the settlement agent executes settlement in two steps: Pay-In of funds and securities — both sides deliver into the settlement system — then Pay-Out — the system distributes to the correct recipients."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US equity lifecycle diagram, slide 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NSCC + DTCC + Book Entry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"The US equity lifecycle diagram on slide 58 illustrates DVP: NSCC provides matched and netted settlement instructions. DTCC facilitates book entry delivery and book entry receipt — the CSD records change of ownership electronically without physical paper movement."</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locked-in trade reference, slide 58</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Locked-in trade</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"Slide 58 also shows a Locked-In Trade — where both broker and client have already matched and confirmed details, so it moves straight to clearing without further matching steps, accelerating settlement."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CSD = book entry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 "The ownership transfer is a book entry at the CSD — no physical certificates?" Ryo: "Correct. The CSD adjusts electronic records to reflect the new owner."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DVP = simultaneous, book entry</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"DVP settlement logic: seller delivers securities and buyer delivers cash simultaneously through the settlement agent. Pay-in brings both into the system; pay-out distributes to the correct parties. The CSD records ownership change as a book entry, with DTCC handling this in the US market."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Reconciliation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"Settlement complete. Now the final stage — making sure our books match reality."</w:t>
            </w:r>
          </w:p>
        </w:tc>
      </w:tr>
    </w:tbl>
    <w:p>
      <w:pPr>
        <w:spacing w:after="60" w:before="120"/>
      </w:pPr>
    </w:p>
    <w:p>
      <w:pPr>
        <w:spacing w:after="240" w:before="160"/>
      </w:pPr>
      <w:r>
        <w:rPr>
          <w:rFonts w:ascii="Arial" w:cs="Arial" w:eastAsia="Arial" w:hAnsi="Arial"/>
          <w:b/>
          <w:bCs/>
          <w:color w:val="8B6914"/>
          <w:sz w:val="20"/>
          <w:szCs w:val="20"/>
        </w:rPr>
        <w:t xml:space="preserve">▶ Module ETLC.9 complete — Next: ETLC.10 Trade Reconciliation</w:t>
      </w:r>
    </w:p>
    <w:p>
      <w:r>
        <w:br w:type="pag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3A5F" w:sz="1"/>
              <w:left w:val="single" w:color="1E3A5F" w:sz="1"/>
              <w:bottom w:val="single" w:color="1E3A5F" w:sz="1"/>
              <w:right w:val="single" w:color="1E3A5F" w:sz="1"/>
            </w:tcBorders>
            <w:shd w:fill="1E3A5F" w:val="clear"/>
            <w:tcMar>
              <w:top w:type="dxa" w:w="120"/>
              <w:left w:type="dxa" w:w="180"/>
              <w:bottom w:type="dxa" w:w="120"/>
              <w:right w:type="dxa" w:w="180"/>
            </w:tcMar>
          </w:tcPr>
          <w:p>
            <w:pPr>
              <w:jc w:val="center"/>
            </w:pPr>
            <w:r>
              <w:rPr>
                <w:rFonts w:ascii="Arial" w:cs="Arial" w:eastAsia="Arial" w:hAnsi="Arial"/>
                <w:b/>
                <w:bCs/>
                <w:color w:val="FFFFFF"/>
                <w:sz w:val="28"/>
                <w:szCs w:val="28"/>
              </w:rPr>
              <w:t xml:space="preserve">ETLC.10</w:t>
            </w:r>
          </w:p>
          <w:p>
            <w:pPr>
              <w:jc w:val="center"/>
            </w:pPr>
            <w:r>
              <w:rPr>
                <w:rFonts w:ascii="Arial" w:cs="Arial" w:eastAsia="Arial" w:hAnsi="Arial"/>
                <w:color w:val="D5E3F0"/>
                <w:sz w:val="22"/>
                <w:szCs w:val="22"/>
              </w:rPr>
              <w:t xml:space="preserve">Trade Reconciliation</w:t>
            </w:r>
          </w:p>
        </w:tc>
      </w:tr>
    </w:tbl>
    <w:p>
      <w:pPr>
        <w:spacing w:after="100" w:before="200"/>
      </w:pPr>
    </w:p>
    <w:p>
      <w:pPr>
        <w:spacing w:after="80" w:before="160"/>
      </w:pPr>
      <w:r>
        <w:rPr>
          <w:rFonts w:ascii="Arial" w:cs="Arial" w:eastAsia="Arial" w:hAnsi="Arial"/>
          <w:b/>
          <w:bCs/>
          <w:color w:val="005F5F"/>
          <w:sz w:val="22"/>
          <w:szCs w:val="22"/>
        </w:rPr>
        <w:t xml:space="preserve">SC10.1 — Explain reconciliation purpose</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Reconciliation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SC10.1 — Explain reconciliation 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EXPLAIN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55–56</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reconciliation definition, slide 55</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Why reconcile?</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if settlement has already happened, why does reconciliation need to happen too?"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reconciliation as control process, slide 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Recon = 2+ sets compared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"Reconciliation is the control process by which two or more sets of data are compared and any discrepancies are investigated and documented through to resolution, including formal reporting and escalation."</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STO assets and liabilities, slide 55</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Remain in control</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"Reconciling positions and trades within internal books and records with the outside world is paramount to ensure the STO remains in control of its assets and liabilities. It is fundamental to successful and efficient operation of the business."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where recon figures in TLC, slide 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 and post settlement recon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"Slide 56 places reconciliation in the full TLC: Front Office — trade execution and booking; Middle Office — Trade Capture, Enrichment, Validation, and Pre-Settlement Reconciliation; Back Office — Trade Matching, Settlement, Fails Management, and Post-Settlement Reconciliation."</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Pre vs post settlement recon</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"Two reconciliation points — pre-settlement in Middle Office and post-settlement in Back Office?" Ryo: "Pre-settlement recon ensures the trade is ready to settle; post-settlement recon confirms it settled correctly."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Animation: internal records vs external CSD/custodian statements with match/break indicator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 vs External check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Voice over: "In post-settlement reconciliation, the STO compares internal position records against statements from the custodian or CSD. Where records agree, the position is confirmed. Where they disagree, a break is identified, investigated, and escalated."</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Recon = comparison + resolution</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"Reconciliation purpose: control process comparing two or more data sets to identify discrepancies, investigate them, document resolution, and escalate formally. It ensures the STO remains in control of its stocks and cash."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Break types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"Now let us identify the types of breaks that reconciliation finds."</w:t>
            </w:r>
          </w:p>
        </w:tc>
      </w:tr>
    </w:tbl>
    <w:p>
      <w:pPr>
        <w:spacing w:after="60" w:before="120"/>
      </w:pPr>
    </w:p>
    <w:p>
      <w:pPr>
        <w:spacing w:after="240" w:before="160"/>
      </w:pPr>
      <w:r>
        <w:rPr>
          <w:rFonts w:ascii="Arial" w:cs="Arial" w:eastAsia="Arial" w:hAnsi="Arial"/>
          <w:b/>
          <w:bCs/>
          <w:color w:val="8B6914"/>
          <w:sz w:val="20"/>
          <w:szCs w:val="20"/>
        </w:rPr>
        <w:t xml:space="preserve">▶ Next: SC10.2 — Identify types of reconciliation breaks</w:t>
      </w:r>
    </w:p>
    <w:p>
      <w:pPr>
        <w:pBdr>
          <w:bottom w:val="single" w:color="005F5F" w:sz="6" w:space="1"/>
        </w:pBdr>
        <w:spacing w:after="160" w:before="160"/>
      </w:pPr>
    </w:p>
    <w:p>
      <w:pPr>
        <w:spacing w:after="80" w:before="160"/>
      </w:pPr>
      <w:r>
        <w:rPr>
          <w:rFonts w:ascii="Arial" w:cs="Arial" w:eastAsia="Arial" w:hAnsi="Arial"/>
          <w:b/>
          <w:bCs/>
          <w:color w:val="005F5F"/>
          <w:sz w:val="22"/>
          <w:szCs w:val="22"/>
        </w:rPr>
        <w:t xml:space="preserve">SC10.2 — Identify types of reconciliation breaks</w:t>
      </w:r>
    </w:p>
    <w:p>
      <w:pPr>
        <w:spacing w:after="60" w:before="80"/>
      </w:pPr>
      <w:r>
        <w:rPr>
          <w:rFonts w:ascii="Arial" w:cs="Arial" w:eastAsia="Arial" w:hAnsi="Arial"/>
          <w:b/>
          <w:bCs/>
          <w:color w:val="1E3A5F"/>
          <w:sz w:val="20"/>
          <w:szCs w:val="20"/>
        </w:rPr>
        <w:t xml:space="preserve">Part A — Internal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Field</w:t>
            </w:r>
          </w:p>
        </w:tc>
        <w:tc>
          <w:tcPr>
            <w:tcW w:type="dxa" w:w="6300"/>
            <w:tcBorders>
              <w:top w:val="single" w:color="999999" w:sz="1"/>
              <w:left w:val="single" w:color="999999" w:sz="1"/>
              <w:bottom w:val="single" w:color="999999" w:sz="1"/>
              <w:right w:val="single" w:color="999999" w:sz="1"/>
            </w:tcBorders>
            <w:shd w:fill="D5E3F0" w:val="clear"/>
            <w:tcMar>
              <w:top w:type="dxa" w:w="100"/>
              <w:left w:type="dxa" w:w="120"/>
              <w:bottom w:type="dxa" w:w="100"/>
              <w:right w:type="dxa" w:w="120"/>
            </w:tcMar>
            <w:vAlign w:val="center"/>
          </w:tcPr>
          <w:p>
            <w:pPr>
              <w:jc w:val="center"/>
            </w:pPr>
            <w:r>
              <w:rPr>
                <w:rFonts w:ascii="Arial" w:cs="Arial" w:eastAsia="Arial" w:hAnsi="Arial"/>
                <w:b/>
                <w:bCs/>
                <w:color w:val="1E3A5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UOR ID</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ETLC.10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UOR Title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Trade Reconciliation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Sub-Competency</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SC10.2 — Identify types of reconciliation breaks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EAR Verb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Video Format</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RYO + ARIA dialogue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 minutes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000000"/>
                <w:sz w:val="18"/>
                <w:szCs w:val="18"/>
              </w:rPr>
              <w:t xml:space="preserve">Slide Reference</w:t>
            </w:r>
          </w:p>
        </w:tc>
        <w:tc>
          <w:tcPr>
            <w:tcW w:type="dxa" w:w="6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000000"/>
                <w:sz w:val="18"/>
                <w:szCs w:val="18"/>
              </w:rPr>
              <w:t xml:space="preserve">Slides 55–57</w:t>
            </w:r>
          </w:p>
        </w:tc>
      </w:tr>
    </w:tbl>
    <w:p>
      <w:pPr>
        <w:spacing w:after="60" w:before="120"/>
      </w:pPr>
    </w:p>
    <w:p>
      <w:pPr>
        <w:spacing w:after="60" w:before="80"/>
      </w:pPr>
      <w:r>
        <w:rPr>
          <w:rFonts w:ascii="Arial" w:cs="Arial" w:eastAsia="Arial" w:hAnsi="Arial"/>
          <w:b/>
          <w:bCs/>
          <w:color w:val="005F5F"/>
          <w:sz w:val="20"/>
          <w:szCs w:val="20"/>
        </w:rPr>
        <w:t xml:space="preserve">Part B — Production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4200"/>
      </w:tblGrid>
      <w:tr>
        <w:tc>
          <w:tcPr>
            <w:tcW w:type="dxa" w:w="5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w:t>
            </w:r>
          </w:p>
        </w:tc>
        <w:tc>
          <w:tcPr>
            <w:tcW w:type="dxa" w:w="10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Character</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Visual Cue</w:t>
            </w:r>
          </w:p>
        </w:tc>
        <w:tc>
          <w:tcPr>
            <w:tcW w:type="dxa" w:w="18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On-Screen Text</w:t>
            </w:r>
          </w:p>
        </w:tc>
        <w:tc>
          <w:tcPr>
            <w:tcW w:type="dxa" w:w="4200"/>
            <w:tcBorders>
              <w:top w:val="single" w:color="999999" w:sz="1"/>
              <w:left w:val="single" w:color="999999" w:sz="1"/>
              <w:bottom w:val="single" w:color="999999" w:sz="1"/>
              <w:right w:val="single" w:color="999999" w:sz="1"/>
            </w:tcBorders>
            <w:shd w:fill="D4EFEF" w:val="clear"/>
            <w:tcMar>
              <w:top w:type="dxa" w:w="100"/>
              <w:left w:type="dxa" w:w="120"/>
              <w:bottom w:type="dxa" w:w="100"/>
              <w:right w:type="dxa" w:w="120"/>
            </w:tcMar>
            <w:vAlign w:val="center"/>
          </w:tcPr>
          <w:p>
            <w:pPr>
              <w:jc w:val="center"/>
            </w:pPr>
            <w:r>
              <w:rPr>
                <w:rFonts w:ascii="Arial" w:cs="Arial" w:eastAsia="Arial" w:hAnsi="Arial"/>
                <w:b/>
                <w:bCs/>
                <w:color w:val="005F5F"/>
                <w:sz w:val="20"/>
                <w:szCs w:val="20"/>
              </w:rPr>
              <w:t xml:space="preserve">Voice Over</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trade reporting and irregular patterns, slide 57</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What breaks are found?</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"Ryo, what kind of breaks does reconciliation actually uncover?"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regulator analysis, slide 57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Regulator receives reports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"Slide 57 notes that the regulator analyses transaction detail and attempts to identify unusual patterns of trading. The objective is identification of breaches of trading rules."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types of irregular patterns, slide 57</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Manipulation + insider trading</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"Three types of irregular patterns from the slide: market manipulation, insider trading, and significant errors on the part of the STO. These are the primary categories that regulatory reconciliation targets."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Slide graphic: pre-settlement recon context, slide 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 breaks: FO vs MO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"Beyond regulatory breaks, pre-settlement reconciliation in Middle Office checks whether all trades booked in Front Office have passed through to Middle Office. A missing trade is a break."</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Slide graphic: fails management in Back Office, slide 56</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Post-settlement: fails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Ryo: "Post-settlement reconciliation identifies settlement fails — trades that did not settle on the due date. The Back Office performs Fails Management to resolve these outstanding settlement failures."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Three break categories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 "Break categories: regulatory — market manipulation, insider trading, significant STO errors; internal pre-settlement — trades not passed from FO to MO; and post-settlement — settlement fails." Ryo: "All must be investigated, documented, and escalated per the control process."</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solo</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Breaks + resolution process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Aria: "Reconciliation break types: regulatory — market manipulation, insider trading, STO errors; operational — trades not passing from Front to Middle Office; and settlement — fails management for trades not settling on due date."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characters on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ETLC.10 complete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Ryo: "And with that, Aria, we have completed the entire Exchange Trade Life Cycle." Aria: "Only eleven stages, three offices, and ten UORs."</w:t>
            </w:r>
          </w:p>
        </w:tc>
      </w:tr>
    </w:tbl>
    <w:p>
      <w:pPr>
        <w:spacing w:after="60" w:before="120"/>
      </w:pPr>
    </w:p>
    <w:p>
      <w:pPr>
        <w:spacing w:after="240" w:before="160"/>
      </w:pPr>
      <w:r>
        <w:rPr>
          <w:rFonts w:ascii="Arial" w:cs="Arial" w:eastAsia="Arial" w:hAnsi="Arial"/>
          <w:b/>
          <w:bCs/>
          <w:color w:val="8B6914"/>
          <w:sz w:val="20"/>
          <w:szCs w:val="20"/>
        </w:rPr>
        <w:t xml:space="preserve">▶ Module ETLC.10 complete — Exchange Trade Life Cycle programme complete</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2026-06-24T13:20:56.785Z</dcterms:created>
  <dcterms:modified xsi:type="dcterms:W3CDTF">2026-06-24T13:20:56.785Z</dcterms:modified>
</cp:coreProperties>
</file>

<file path=docProps/custom.xml><?xml version="1.0" encoding="utf-8"?>
<Properties xmlns="http://schemas.openxmlformats.org/officeDocument/2006/custom-properties" xmlns:vt="http://schemas.openxmlformats.org/officeDocument/2006/docPropsVTypes"/>
</file>