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3A5F"/>
          <w:sz w:val="56"/>
          <w:szCs w:val="56"/>
        </w:rPr>
        <w:t xml:space="preserve">ISDA &amp; OTC Trade Life Cycle</w:t>
      </w:r>
    </w:p>
    <w:p>
      <w:pPr>
        <w:spacing w:after="100" w:before="100"/>
        <w:jc w:val="center"/>
      </w:pPr>
      <w:r>
        <w:rPr>
          <w:rFonts w:ascii="Calibri" w:cs="Calibri" w:eastAsia="Calibri" w:hAnsi="Calibri"/>
          <w:b/>
          <w:bCs/>
          <w:color w:val="005F5F"/>
          <w:sz w:val="40"/>
          <w:szCs w:val="40"/>
        </w:rPr>
        <w:t xml:space="preserve">Knowledge Assessment</w:t>
      </w:r>
    </w:p>
    <w:p>
      <w:pPr>
        <w:spacing w:after="100" w:before="100"/>
        <w:jc w:val="center"/>
      </w:pPr>
      <w:r>
        <w:rPr>
          <w:rFonts w:ascii="Calibri" w:cs="Calibri" w:eastAsia="Calibri" w:hAnsi="Calibri"/>
          <w:color w:val="666666"/>
          <w:sz w:val="24"/>
          <w:szCs w:val="24"/>
        </w:rPr>
        <w:t xml:space="preserve">Version 3 | CIBOP Capital Markets Programme | 40 Questions</w:t>
      </w:r>
    </w:p>
    <w:p>
      <w:pPr>
        <w:spacing w:after="200" w:before="100"/>
        <w:jc w:val="center"/>
      </w:pPr>
      <w:r>
        <w:rPr>
          <w:rFonts w:ascii="Calibri" w:cs="Calibri" w:eastAsia="Calibri" w:hAnsi="Calibri"/>
          <w:color w:val="888888"/>
          <w:sz w:val="20"/>
          <w:szCs w:val="20"/>
        </w:rPr>
        <w:t xml:space="preserve">All questions derived exclusively from slide content (Slides 5-61) and SSI Consequences PDF</w:t>
      </w:r>
    </w:p>
    <w:p>
      <w:r>
        <w:br w:type="page"/>
      </w:r>
    </w:p>
    <w:p>
      <w:pPr>
        <w:shd w:fill="1E3A5F" w:val="clear"/>
        <w:spacing w:after="200" w:before="200"/>
        <w:ind w:left="200"/>
      </w:pPr>
      <w:r>
        <w:rPr>
          <w:rFonts w:ascii="Calibri" w:cs="Calibri" w:eastAsia="Calibri" w:hAnsi="Calibri"/>
          <w:b/>
          <w:bCs/>
          <w:color w:val="FFFFFF"/>
          <w:sz w:val="26"/>
          <w:szCs w:val="26"/>
        </w:rPr>
        <w:t xml:space="preserve">ISDA.1 | Introduction to ISDA</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 | ISDA.1 | MCQ INLINE</w:t>
      </w:r>
    </w:p>
    <w:p>
      <w:pPr>
        <w:spacing w:after="80" w:before="100"/>
        <w:ind w:left="200"/>
      </w:pPr>
      <w:r>
        <w:rPr>
          <w:rFonts w:ascii="Calibri" w:cs="Calibri" w:eastAsia="Calibri" w:hAnsi="Calibri"/>
          <w:b/>
          <w:bCs/>
          <w:color w:val="1A1A1A"/>
          <w:sz w:val="20"/>
          <w:szCs w:val="20"/>
        </w:rPr>
        <w:t xml:space="preserve">In what year was ISDA — the International Swaps and Derivatives Association — created?</w:t>
      </w:r>
    </w:p>
    <w:p>
      <w:pPr>
        <w:spacing w:after="40" w:before="40"/>
        <w:ind w:left="400"/>
      </w:pPr>
      <w:r>
        <w:rPr>
          <w:rFonts w:ascii="Calibri" w:cs="Calibri" w:eastAsia="Calibri" w:hAnsi="Calibri"/>
          <w:color w:val="333333"/>
          <w:sz w:val="19"/>
          <w:szCs w:val="19"/>
        </w:rPr>
        <w:t xml:space="preserve">A. 1975</w:t>
      </w:r>
    </w:p>
    <w:p>
      <w:pPr>
        <w:spacing w:after="40" w:before="40"/>
        <w:ind w:left="400"/>
      </w:pPr>
      <w:r>
        <w:rPr>
          <w:rFonts w:ascii="Calibri" w:cs="Calibri" w:eastAsia="Calibri" w:hAnsi="Calibri"/>
          <w:color w:val="333333"/>
          <w:sz w:val="19"/>
          <w:szCs w:val="19"/>
        </w:rPr>
        <w:t xml:space="preserve">B. 1980</w:t>
      </w:r>
    </w:p>
    <w:p>
      <w:pPr>
        <w:spacing w:after="40" w:before="40"/>
        <w:ind w:left="400"/>
      </w:pPr>
      <w:r>
        <w:rPr>
          <w:rFonts w:ascii="Calibri" w:cs="Calibri" w:eastAsia="Calibri" w:hAnsi="Calibri"/>
          <w:color w:val="1B5E20"/>
          <w:sz w:val="19"/>
          <w:szCs w:val="19"/>
        </w:rPr>
        <w:t xml:space="preserve">C. 1985</w:t>
      </w:r>
    </w:p>
    <w:p>
      <w:pPr>
        <w:spacing w:after="40" w:before="40"/>
        <w:ind w:left="400"/>
      </w:pPr>
      <w:r>
        <w:rPr>
          <w:rFonts w:ascii="Calibri" w:cs="Calibri" w:eastAsia="Calibri" w:hAnsi="Calibri"/>
          <w:color w:val="333333"/>
          <w:sz w:val="19"/>
          <w:szCs w:val="19"/>
        </w:rPr>
        <w:t xml:space="preserve">D. 1992</w:t>
      </w:r>
    </w:p>
    <w:p>
      <w:pPr>
        <w:shd w:fill="E8F5E9" w:val="clear"/>
        <w:spacing w:after="100" w:before="100"/>
        <w:ind w:left="200"/>
      </w:pPr>
      <w:r>
        <w:rPr>
          <w:rFonts w:ascii="Calibri" w:cs="Calibri" w:eastAsia="Calibri" w:hAnsi="Calibri"/>
          <w:b/>
          <w:bCs/>
          <w:color w:val="1B5E20"/>
          <w:sz w:val="18"/>
          <w:szCs w:val="18"/>
        </w:rPr>
        <w:t xml:space="preserve">ANSWER: C. 1985. Slide 8 states: "Created in 1985, the ISDA has members from institutions around the world."</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 | ISDA.1 | TRUE/FALSE MULTI</w:t>
      </w:r>
    </w:p>
    <w:p>
      <w:pPr>
        <w:spacing w:after="80" w:before="100"/>
        <w:ind w:left="200"/>
      </w:pPr>
      <w:r>
        <w:rPr>
          <w:rFonts w:ascii="Calibri" w:cs="Calibri" w:eastAsia="Calibri" w:hAnsi="Calibri"/>
          <w:b/>
          <w:bCs/>
          <w:color w:val="1A1A1A"/>
          <w:sz w:val="20"/>
          <w:szCs w:val="20"/>
        </w:rPr>
        <w:t xml:space="preserve">Mark each statement TRUE or FALSE based on the ISDA slides: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ISDA was created due to challenges the growing derivatives market posed for financial institutions.</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5: "The ISDA was created due to the challenges the growing derivatives market posed for financial institutions."</w:t>
            </w:r>
          </w:p>
        </w:tc>
      </w:tr>
      <w:tr>
        <w:tc>
          <w:tcPr>
            <w:tcW w:type="dxa" w:w="4000"/>
            <w:shd w:fill="F7F7F7" w:val="clear"/>
            <w:vAlign w:val="top"/>
          </w:tcPr>
          <w:p>
            <w:r>
              <w:rPr>
                <w:rFonts w:ascii="Calibri" w:cs="Calibri" w:eastAsia="Calibri" w:hAnsi="Calibri"/>
                <w:sz w:val="17"/>
                <w:szCs w:val="17"/>
              </w:rPr>
              <w:t xml:space="preserve">ISDA is a regulatory body with enforcement powers over OTC markets.</w:t>
            </w:r>
          </w:p>
        </w:tc>
        <w:tc>
          <w:tcPr>
            <w:tcW w:type="dxa" w:w="800"/>
            <w:shd w:fill="F7F7F7" w:val="clear"/>
            <w:vAlign w:val="top"/>
          </w:tcPr>
          <w:p>
            <w:r>
              <w:rPr>
                <w:rFonts w:ascii="Calibri" w:cs="Calibri" w:eastAsia="Calibri" w:hAnsi="Calibri"/>
                <w:sz w:val="17"/>
                <w:szCs w:val="17"/>
              </w:rPr>
              <w:t xml:space="preserve">FALSE</w:t>
            </w:r>
          </w:p>
        </w:tc>
        <w:tc>
          <w:tcPr>
            <w:tcW w:type="dxa" w:w="3000"/>
            <w:shd w:fill="F7F7F7" w:val="clear"/>
            <w:vAlign w:val="top"/>
          </w:tcPr>
          <w:p>
            <w:r>
              <w:rPr>
                <w:rFonts w:ascii="Calibri" w:cs="Calibri" w:eastAsia="Calibri" w:hAnsi="Calibri"/>
                <w:sz w:val="17"/>
                <w:szCs w:val="17"/>
              </w:rPr>
              <w:t xml:space="preserve">Slide 8: "ISDA is not a regulatory body."</w:t>
            </w:r>
          </w:p>
        </w:tc>
      </w:tr>
      <w:tr>
        <w:tc>
          <w:tcPr>
            <w:tcW w:type="dxa" w:w="4000"/>
            <w:shd w:fill="FFFFFF" w:val="clear"/>
            <w:vAlign w:val="top"/>
          </w:tcPr>
          <w:p>
            <w:r>
              <w:rPr>
                <w:rFonts w:ascii="Calibri" w:cs="Calibri" w:eastAsia="Calibri" w:hAnsi="Calibri"/>
                <w:sz w:val="17"/>
                <w:szCs w:val="17"/>
              </w:rPr>
              <w:t xml:space="preserve">One of ISDA's three main goals is to reduce counterparty and credit risk.</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5: "ISDA wants to achieve three main goals: reduce counterparty/credit risk, increase market transparency and improve the industry's operational infrastructure."</w:t>
            </w:r>
          </w:p>
        </w:tc>
      </w:tr>
      <w:tr>
        <w:tc>
          <w:tcPr>
            <w:tcW w:type="dxa" w:w="4000"/>
            <w:shd w:fill="F7F7F7" w:val="clear"/>
            <w:vAlign w:val="top"/>
          </w:tcPr>
          <w:p>
            <w:r>
              <w:rPr>
                <w:rFonts w:ascii="Calibri" w:cs="Calibri" w:eastAsia="Calibri" w:hAnsi="Calibri"/>
                <w:sz w:val="17"/>
                <w:szCs w:val="17"/>
              </w:rPr>
              <w:t xml:space="preserve">The ISDA Master Agreement only applies to cleared OTC derivatives.</w:t>
            </w:r>
          </w:p>
        </w:tc>
        <w:tc>
          <w:tcPr>
            <w:tcW w:type="dxa" w:w="800"/>
            <w:shd w:fill="F7F7F7" w:val="clear"/>
            <w:vAlign w:val="top"/>
          </w:tcPr>
          <w:p>
            <w:r>
              <w:rPr>
                <w:rFonts w:ascii="Calibri" w:cs="Calibri" w:eastAsia="Calibri" w:hAnsi="Calibri"/>
                <w:sz w:val="17"/>
                <w:szCs w:val="17"/>
              </w:rPr>
              <w:t xml:space="preserve">FALSE</w:t>
            </w:r>
          </w:p>
        </w:tc>
        <w:tc>
          <w:tcPr>
            <w:tcW w:type="dxa" w:w="3000"/>
            <w:shd w:fill="F7F7F7" w:val="clear"/>
            <w:vAlign w:val="top"/>
          </w:tcPr>
          <w:p>
            <w:r>
              <w:rPr>
                <w:rFonts w:ascii="Calibri" w:cs="Calibri" w:eastAsia="Calibri" w:hAnsi="Calibri"/>
                <w:sz w:val="17"/>
                <w:szCs w:val="17"/>
              </w:rPr>
              <w:t xml:space="preserve">Slide 8: "This contract governs all over-the-counter OTC derivatives transactions, cleared or non cleared, entered into between counterparties."</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 | ISDA.1 | GAP FILL DROPDOWN</w:t>
      </w:r>
    </w:p>
    <w:p>
      <w:pPr>
        <w:spacing w:after="80" w:before="100"/>
        <w:ind w:left="200"/>
      </w:pPr>
      <w:r>
        <w:rPr>
          <w:rFonts w:ascii="Calibri" w:cs="Calibri" w:eastAsia="Calibri" w:hAnsi="Calibri"/>
          <w:b/>
          <w:bCs/>
          <w:color w:val="1A1A1A"/>
          <w:sz w:val="20"/>
          <w:szCs w:val="20"/>
        </w:rPr>
        <w:t xml:space="preserve">Complete the sentence by selecting the correct word from each dropdown:</w:t>
      </w:r>
    </w:p>
    <w:p>
      <w:pPr>
        <w:spacing w:after="80" w:before="80"/>
        <w:ind w:left="200"/>
      </w:pPr>
      <w:r>
        <w:rPr>
          <w:rFonts w:ascii="Calibri" w:cs="Calibri" w:eastAsia="Calibri" w:hAnsi="Calibri"/>
          <w:i/>
          <w:iCs/>
          <w:sz w:val="19"/>
          <w:szCs w:val="19"/>
        </w:rPr>
        <w:t xml:space="preserve">ISDA has _______ [A] parts: the CSA, the ISDA Master Agreement, the _______ [B], the Confirmation, and the Definitions.</w:t>
      </w:r>
    </w:p>
    <w:p>
      <w:pPr>
        <w:spacing w:after="40" w:before="40"/>
        <w:ind w:left="400"/>
      </w:pPr>
      <w:r>
        <w:rPr>
          <w:rFonts w:ascii="Calibri" w:cs="Calibri" w:eastAsia="Calibri" w:hAnsi="Calibri"/>
          <w:color w:val="555555"/>
          <w:sz w:val="18"/>
          <w:szCs w:val="18"/>
        </w:rPr>
        <w:t xml:space="preserve">Dropdown A options: three / four / five / six</w:t>
      </w:r>
    </w:p>
    <w:p>
      <w:pPr>
        <w:spacing w:after="40" w:before="40"/>
        <w:ind w:left="400"/>
      </w:pPr>
      <w:r>
        <w:rPr>
          <w:rFonts w:ascii="Calibri" w:cs="Calibri" w:eastAsia="Calibri" w:hAnsi="Calibri"/>
          <w:color w:val="555555"/>
          <w:sz w:val="18"/>
          <w:szCs w:val="18"/>
        </w:rPr>
        <w:t xml:space="preserve">Dropdown B options: Addendum / Schedule / Protocol / Supplement</w:t>
      </w:r>
    </w:p>
    <w:p>
      <w:pPr>
        <w:shd w:fill="E8F5E9" w:val="clear"/>
        <w:spacing w:after="100" w:before="100"/>
        <w:ind w:left="200"/>
      </w:pPr>
      <w:r>
        <w:rPr>
          <w:rFonts w:ascii="Calibri" w:cs="Calibri" w:eastAsia="Calibri" w:hAnsi="Calibri"/>
          <w:b/>
          <w:bCs/>
          <w:color w:val="1B5E20"/>
          <w:sz w:val="18"/>
          <w:szCs w:val="18"/>
        </w:rPr>
        <w:t xml:space="preserve">ANSWER: A = five | B = Schedule. Slide 9: "ISDA has five parts: CSA, IMA, Schedule, Confirmation, Definitions."</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Q4 | ISDA.1 | MATCHING PAIRS</w:t>
      </w:r>
    </w:p>
    <w:p>
      <w:pPr>
        <w:spacing w:after="80" w:before="100"/>
        <w:ind w:left="200"/>
      </w:pPr>
      <w:r>
        <w:rPr>
          <w:rFonts w:ascii="Calibri" w:cs="Calibri" w:eastAsia="Calibri" w:hAnsi="Calibri"/>
          <w:b/>
          <w:bCs/>
          <w:color w:val="1A1A1A"/>
          <w:sz w:val="20"/>
          <w:szCs w:val="20"/>
        </w:rPr>
        <w:t xml:space="preserve">Match each ISDA objective on the left with its correct description on the right: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2400"/>
            <w:shd w:fill="D4EFEF" w:val="clear"/>
          </w:tcPr>
          <w:p>
            <w:pPr>
              <w:jc w:val="center"/>
            </w:pPr>
            <w:r>
              <w:rPr>
                <w:rFonts w:ascii="Calibri" w:cs="Calibri" w:eastAsia="Calibri" w:hAnsi="Calibri"/>
                <w:b/>
                <w:bCs/>
                <w:color w:val="1E3A5F"/>
                <w:sz w:val="18"/>
                <w:szCs w:val="18"/>
              </w:rPr>
              <w:t xml:space="preserve">Objective</w:t>
            </w:r>
          </w:p>
        </w:tc>
        <w:tc>
          <w:tcPr>
            <w:tcW w:type="dxa" w:w="600"/>
            <w:shd w:fill="D4EFEF" w:val="clear"/>
          </w:tcPr>
          <w:p>
            <w:pPr>
              <w:jc w:val="center"/>
            </w:pPr>
            <w:r>
              <w:rPr>
                <w:rFonts w:ascii="Calibri" w:cs="Calibri" w:eastAsia="Calibri" w:hAnsi="Calibri"/>
                <w:b/>
                <w:bCs/>
                <w:color w:val="1E3A5F"/>
                <w:sz w:val="18"/>
                <w:szCs w:val="18"/>
              </w:rPr>
              <w:t xml:space="preserve">Match</w:t>
            </w:r>
          </w:p>
        </w:tc>
        <w:tc>
          <w:tcPr>
            <w:tcW w:type="dxa" w:w="4800"/>
            <w:shd w:fill="D4EFEF" w:val="clear"/>
          </w:tcPr>
          <w:p>
            <w:pPr>
              <w:jc w:val="center"/>
            </w:pPr>
            <w:r>
              <w:rPr>
                <w:rFonts w:ascii="Calibri" w:cs="Calibri" w:eastAsia="Calibri" w:hAnsi="Calibri"/>
                <w:b/>
                <w:bCs/>
                <w:color w:val="1E3A5F"/>
                <w:sz w:val="18"/>
                <w:szCs w:val="18"/>
              </w:rPr>
              <w:t xml:space="preserve">Description</w:t>
            </w:r>
          </w:p>
        </w:tc>
      </w:tr>
      <w:tr>
        <w:tc>
          <w:tcPr>
            <w:tcW w:type="dxa" w:w="2400"/>
            <w:shd w:fill="FFFFFF" w:val="clear"/>
            <w:vAlign w:val="top"/>
          </w:tcPr>
          <w:p>
            <w:r>
              <w:rPr>
                <w:rFonts w:ascii="Calibri" w:cs="Calibri" w:eastAsia="Calibri" w:hAnsi="Calibri"/>
                <w:sz w:val="17"/>
                <w:szCs w:val="17"/>
              </w:rPr>
              <w:t xml:space="preserve">Standardisation</w:t>
            </w:r>
          </w:p>
        </w:tc>
        <w:tc>
          <w:tcPr>
            <w:tcW w:type="dxa" w:w="600"/>
            <w:shd w:fill="FFFFFF" w:val="clear"/>
            <w:vAlign w:val="top"/>
          </w:tcPr>
          <w:p>
            <w:r>
              <w:rPr>
                <w:rFonts w:ascii="Calibri" w:cs="Calibri" w:eastAsia="Calibri" w:hAnsi="Calibri"/>
                <w:sz w:val="17"/>
                <w:szCs w:val="17"/>
              </w:rPr>
              <w:t xml:space="preserve">___</w:t>
            </w:r>
          </w:p>
        </w:tc>
        <w:tc>
          <w:tcPr>
            <w:tcW w:type="dxa" w:w="4800"/>
            <w:shd w:fill="FFFFFF" w:val="clear"/>
            <w:vAlign w:val="top"/>
          </w:tcPr>
          <w:p>
            <w:r>
              <w:rPr>
                <w:rFonts w:ascii="Calibri" w:cs="Calibri" w:eastAsia="Calibri" w:hAnsi="Calibri"/>
                <w:sz w:val="17"/>
                <w:szCs w:val="17"/>
              </w:rPr>
              <w:t xml:space="preserve">A. Collecting and publishing data for risk analysis and research</w:t>
            </w:r>
          </w:p>
        </w:tc>
      </w:tr>
      <w:tr>
        <w:tc>
          <w:tcPr>
            <w:tcW w:type="dxa" w:w="2400"/>
            <w:shd w:fill="F7F7F7" w:val="clear"/>
            <w:vAlign w:val="top"/>
          </w:tcPr>
          <w:p>
            <w:r>
              <w:rPr>
                <w:rFonts w:ascii="Calibri" w:cs="Calibri" w:eastAsia="Calibri" w:hAnsi="Calibri"/>
                <w:sz w:val="17"/>
                <w:szCs w:val="17"/>
              </w:rPr>
              <w:t xml:space="preserve">Risk Mitigation</w:t>
            </w:r>
          </w:p>
        </w:tc>
        <w:tc>
          <w:tcPr>
            <w:tcW w:type="dxa" w:w="600"/>
            <w:shd w:fill="F7F7F7" w:val="clear"/>
            <w:vAlign w:val="top"/>
          </w:tcPr>
          <w:p>
            <w:r>
              <w:rPr>
                <w:rFonts w:ascii="Calibri" w:cs="Calibri" w:eastAsia="Calibri" w:hAnsi="Calibri"/>
                <w:sz w:val="17"/>
                <w:szCs w:val="17"/>
              </w:rPr>
              <w:t xml:space="preserve">___</w:t>
            </w:r>
          </w:p>
        </w:tc>
        <w:tc>
          <w:tcPr>
            <w:tcW w:type="dxa" w:w="4800"/>
            <w:shd w:fill="F7F7F7" w:val="clear"/>
            <w:vAlign w:val="top"/>
          </w:tcPr>
          <w:p>
            <w:r>
              <w:rPr>
                <w:rFonts w:ascii="Calibri" w:cs="Calibri" w:eastAsia="Calibri" w:hAnsi="Calibri"/>
                <w:sz w:val="17"/>
                <w:szCs w:val="17"/>
              </w:rPr>
              <w:t xml:space="preserve">B. Creating standard documentation to reduce legal and operational risks</w:t>
            </w:r>
          </w:p>
        </w:tc>
      </w:tr>
      <w:tr>
        <w:tc>
          <w:tcPr>
            <w:tcW w:type="dxa" w:w="2400"/>
            <w:shd w:fill="FFFFFF" w:val="clear"/>
            <w:vAlign w:val="top"/>
          </w:tcPr>
          <w:p>
            <w:r>
              <w:rPr>
                <w:rFonts w:ascii="Calibri" w:cs="Calibri" w:eastAsia="Calibri" w:hAnsi="Calibri"/>
                <w:sz w:val="17"/>
                <w:szCs w:val="17"/>
              </w:rPr>
              <w:t xml:space="preserve">Market Infrastructure</w:t>
            </w:r>
          </w:p>
        </w:tc>
        <w:tc>
          <w:tcPr>
            <w:tcW w:type="dxa" w:w="600"/>
            <w:shd w:fill="FFFFFF" w:val="clear"/>
            <w:vAlign w:val="top"/>
          </w:tcPr>
          <w:p>
            <w:r>
              <w:rPr>
                <w:rFonts w:ascii="Calibri" w:cs="Calibri" w:eastAsia="Calibri" w:hAnsi="Calibri"/>
                <w:sz w:val="17"/>
                <w:szCs w:val="17"/>
              </w:rPr>
              <w:t xml:space="preserve">___</w:t>
            </w:r>
          </w:p>
        </w:tc>
        <w:tc>
          <w:tcPr>
            <w:tcW w:type="dxa" w:w="4800"/>
            <w:shd w:fill="FFFFFF" w:val="clear"/>
            <w:vAlign w:val="top"/>
          </w:tcPr>
          <w:p>
            <w:r>
              <w:rPr>
                <w:rFonts w:ascii="Calibri" w:cs="Calibri" w:eastAsia="Calibri" w:hAnsi="Calibri"/>
                <w:sz w:val="17"/>
                <w:szCs w:val="17"/>
              </w:rPr>
              <w:t xml:space="preserve">C. Developing practices to reduce credit, operational, and legal risk</w:t>
            </w:r>
          </w:p>
        </w:tc>
      </w:tr>
      <w:tr>
        <w:tc>
          <w:tcPr>
            <w:tcW w:type="dxa" w:w="2400"/>
            <w:shd w:fill="F7F7F7" w:val="clear"/>
            <w:vAlign w:val="top"/>
          </w:tcPr>
          <w:p>
            <w:r>
              <w:rPr>
                <w:rFonts w:ascii="Calibri" w:cs="Calibri" w:eastAsia="Calibri" w:hAnsi="Calibri"/>
                <w:sz w:val="17"/>
                <w:szCs w:val="17"/>
              </w:rPr>
              <w:t xml:space="preserve">Market Data</w:t>
            </w:r>
          </w:p>
        </w:tc>
        <w:tc>
          <w:tcPr>
            <w:tcW w:type="dxa" w:w="600"/>
            <w:shd w:fill="F7F7F7" w:val="clear"/>
            <w:vAlign w:val="top"/>
          </w:tcPr>
          <w:p>
            <w:r>
              <w:rPr>
                <w:rFonts w:ascii="Calibri" w:cs="Calibri" w:eastAsia="Calibri" w:hAnsi="Calibri"/>
                <w:sz w:val="17"/>
                <w:szCs w:val="17"/>
              </w:rPr>
              <w:t xml:space="preserve">___</w:t>
            </w:r>
          </w:p>
        </w:tc>
        <w:tc>
          <w:tcPr>
            <w:tcW w:type="dxa" w:w="4800"/>
            <w:shd w:fill="F7F7F7" w:val="clear"/>
            <w:vAlign w:val="top"/>
          </w:tcPr>
          <w:p>
            <w:r>
              <w:rPr>
                <w:rFonts w:ascii="Calibri" w:cs="Calibri" w:eastAsia="Calibri" w:hAnsi="Calibri"/>
                <w:sz w:val="17"/>
                <w:szCs w:val="17"/>
              </w:rPr>
              <w:t xml:space="preserve">D. Developing trade repositories and market standards for transparency</w:t>
            </w:r>
          </w:p>
        </w:tc>
      </w:tr>
      <w:tr>
        <w:tc>
          <w:tcPr>
            <w:tcW w:type="dxa" w:w="2400"/>
            <w:shd w:fill="FFFFFF" w:val="clear"/>
            <w:vAlign w:val="top"/>
          </w:tcPr>
          <w:p>
            <w:r>
              <w:rPr>
                <w:rFonts w:ascii="Calibri" w:cs="Calibri" w:eastAsia="Calibri" w:hAnsi="Calibri"/>
                <w:sz w:val="17"/>
                <w:szCs w:val="17"/>
              </w:rPr>
              <w:t xml:space="preserve">Dispute Resolution</w:t>
            </w:r>
          </w:p>
        </w:tc>
        <w:tc>
          <w:tcPr>
            <w:tcW w:type="dxa" w:w="600"/>
            <w:shd w:fill="FFFFFF" w:val="clear"/>
            <w:vAlign w:val="top"/>
          </w:tcPr>
          <w:p>
            <w:r>
              <w:rPr>
                <w:rFonts w:ascii="Calibri" w:cs="Calibri" w:eastAsia="Calibri" w:hAnsi="Calibri"/>
                <w:sz w:val="17"/>
                <w:szCs w:val="17"/>
              </w:rPr>
              <w:t xml:space="preserve">___</w:t>
            </w:r>
          </w:p>
        </w:tc>
        <w:tc>
          <w:tcPr>
            <w:tcW w:type="dxa" w:w="4800"/>
            <w:shd w:fill="FFFFFF" w:val="clear"/>
            <w:vAlign w:val="top"/>
          </w:tcPr>
          <w:p>
            <w:r>
              <w:rPr>
                <w:rFonts w:ascii="Calibri" w:cs="Calibri" w:eastAsia="Calibri" w:hAnsi="Calibri"/>
                <w:sz w:val="17"/>
                <w:szCs w:val="17"/>
              </w:rPr>
              <w:t xml:space="preserve">E. Establishing mechanisms so conflicts can be resolved efficiently and fairly</w:t>
            </w:r>
          </w:p>
        </w:tc>
      </w:tr>
    </w:tbl>
    <w:p>
      <w:pPr>
        <w:shd w:fill="E8F5E9" w:val="clear"/>
        <w:spacing w:after="100" w:before="100"/>
        <w:ind w:left="200"/>
      </w:pPr>
      <w:r>
        <w:rPr>
          <w:rFonts w:ascii="Calibri" w:cs="Calibri" w:eastAsia="Calibri" w:hAnsi="Calibri"/>
          <w:b/>
          <w:bCs/>
          <w:color w:val="1B5E20"/>
          <w:sz w:val="18"/>
          <w:szCs w:val="18"/>
        </w:rPr>
        <w:t xml:space="preserve">ANSWER: Standardisation=B | Risk Mitigation=C | Market Infrastructure=D | Market Data=A | Dispute Resolution=E. Source: Slides 6-7.</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ISDA.2 | ISDA Master Agreement (IMA)</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Q5 | ISDA.2 | MCQ INLINE</w:t>
      </w:r>
    </w:p>
    <w:p>
      <w:pPr>
        <w:spacing w:after="80" w:before="100"/>
        <w:ind w:left="200"/>
      </w:pPr>
      <w:r>
        <w:rPr>
          <w:rFonts w:ascii="Calibri" w:cs="Calibri" w:eastAsia="Calibri" w:hAnsi="Calibri"/>
          <w:b/>
          <w:bCs/>
          <w:color w:val="1A1A1A"/>
          <w:sz w:val="20"/>
          <w:szCs w:val="20"/>
        </w:rPr>
        <w:t xml:space="preserve">Which of the following best describes the ISDA Master Agreement (IMA)?</w:t>
      </w:r>
    </w:p>
    <w:p>
      <w:pPr>
        <w:spacing w:after="40" w:before="40"/>
        <w:ind w:left="400"/>
      </w:pPr>
      <w:r>
        <w:rPr>
          <w:rFonts w:ascii="Calibri" w:cs="Calibri" w:eastAsia="Calibri" w:hAnsi="Calibri"/>
          <w:color w:val="333333"/>
          <w:sz w:val="19"/>
          <w:szCs w:val="19"/>
        </w:rPr>
        <w:t xml:space="preserve">A. A party-specific document negotiated for each individual trade</w:t>
      </w:r>
    </w:p>
    <w:p>
      <w:pPr>
        <w:spacing w:after="40" w:before="40"/>
        <w:ind w:left="400"/>
      </w:pPr>
      <w:r>
        <w:rPr>
          <w:rFonts w:ascii="Calibri" w:cs="Calibri" w:eastAsia="Calibri" w:hAnsi="Calibri"/>
          <w:color w:val="1B5E20"/>
          <w:sz w:val="19"/>
          <w:szCs w:val="19"/>
        </w:rPr>
        <w:t xml:space="preserve">B. A pre-printed umbrella document using standard terms and conditions, not tailored to specific parties</w:t>
      </w:r>
    </w:p>
    <w:p>
      <w:pPr>
        <w:spacing w:after="40" w:before="40"/>
        <w:ind w:left="400"/>
      </w:pPr>
      <w:r>
        <w:rPr>
          <w:rFonts w:ascii="Calibri" w:cs="Calibri" w:eastAsia="Calibri" w:hAnsi="Calibri"/>
          <w:color w:val="333333"/>
          <w:sz w:val="19"/>
          <w:szCs w:val="19"/>
        </w:rPr>
        <w:t xml:space="preserve">C. A product-specific document covering only interest rate swaps</w:t>
      </w:r>
    </w:p>
    <w:p>
      <w:pPr>
        <w:spacing w:after="40" w:before="40"/>
        <w:ind w:left="400"/>
      </w:pPr>
      <w:r>
        <w:rPr>
          <w:rFonts w:ascii="Calibri" w:cs="Calibri" w:eastAsia="Calibri" w:hAnsi="Calibri"/>
          <w:color w:val="333333"/>
          <w:sz w:val="19"/>
          <w:szCs w:val="19"/>
        </w:rPr>
        <w:t xml:space="preserve">D. A supplementary document added after the Schedule is signed</w:t>
      </w:r>
    </w:p>
    <w:p>
      <w:pPr>
        <w:shd w:fill="E8F5E9" w:val="clear"/>
        <w:spacing w:after="100" w:before="100"/>
        <w:ind w:left="200"/>
      </w:pPr>
      <w:r>
        <w:rPr>
          <w:rFonts w:ascii="Calibri" w:cs="Calibri" w:eastAsia="Calibri" w:hAnsi="Calibri"/>
          <w:b/>
          <w:bCs/>
          <w:color w:val="1B5E20"/>
          <w:sz w:val="18"/>
          <w:szCs w:val="18"/>
        </w:rPr>
        <w:t xml:space="preserve">ANSWER: B. Slide 11: "IMA: a pre-printed umbrella document which includes the boilerplate provisions... NOT PARTY SPECIFIC... NOT PRODUCT SPECIFIC."</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Q6 | ISDA.2 | TRUE/FALSE MULTI</w:t>
      </w:r>
    </w:p>
    <w:p>
      <w:pPr>
        <w:spacing w:after="80" w:before="100"/>
        <w:ind w:left="200"/>
      </w:pPr>
      <w:r>
        <w:rPr>
          <w:rFonts w:ascii="Calibri" w:cs="Calibri" w:eastAsia="Calibri" w:hAnsi="Calibri"/>
          <w:b/>
          <w:bCs/>
          <w:color w:val="1A1A1A"/>
          <w:sz w:val="20"/>
          <w:szCs w:val="20"/>
        </w:rPr>
        <w:t xml:space="preserve">Mark each statement TRUE or FALSE about the five sections of the ISDA Master Agreement: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Events of Defaults and Termination Events is one of the five core sections of the IMA.</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12 lists this as section 01.</w:t>
            </w:r>
          </w:p>
        </w:tc>
      </w:tr>
      <w:tr>
        <w:tc>
          <w:tcPr>
            <w:tcW w:type="dxa" w:w="4000"/>
            <w:shd w:fill="F7F7F7" w:val="clear"/>
            <w:vAlign w:val="top"/>
          </w:tcPr>
          <w:p>
            <w:r>
              <w:rPr>
                <w:rFonts w:ascii="Calibri" w:cs="Calibri" w:eastAsia="Calibri" w:hAnsi="Calibri"/>
                <w:sz w:val="17"/>
                <w:szCs w:val="17"/>
              </w:rPr>
              <w:t xml:space="preserve">The IMA contains a section called "Close Out and Netting".</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12 lists Close Out and Netting as section 03.</w:t>
            </w:r>
          </w:p>
        </w:tc>
      </w:tr>
      <w:tr>
        <w:tc>
          <w:tcPr>
            <w:tcW w:type="dxa" w:w="4000"/>
            <w:shd w:fill="FFFFFF" w:val="clear"/>
            <w:vAlign w:val="top"/>
          </w:tcPr>
          <w:p>
            <w:r>
              <w:rPr>
                <w:rFonts w:ascii="Calibri" w:cs="Calibri" w:eastAsia="Calibri" w:hAnsi="Calibri"/>
                <w:sz w:val="17"/>
                <w:szCs w:val="17"/>
              </w:rPr>
              <w:t xml:space="preserve">The IMA contains a dedicated section for product-specific definitions.</w:t>
            </w:r>
          </w:p>
        </w:tc>
        <w:tc>
          <w:tcPr>
            <w:tcW w:type="dxa" w:w="800"/>
            <w:shd w:fill="FFFFFF" w:val="clear"/>
            <w:vAlign w:val="top"/>
          </w:tcPr>
          <w:p>
            <w:r>
              <w:rPr>
                <w:rFonts w:ascii="Calibri" w:cs="Calibri" w:eastAsia="Calibri" w:hAnsi="Calibri"/>
                <w:sz w:val="17"/>
                <w:szCs w:val="17"/>
              </w:rPr>
              <w:t xml:space="preserve">FALSE</w:t>
            </w:r>
          </w:p>
        </w:tc>
        <w:tc>
          <w:tcPr>
            <w:tcW w:type="dxa" w:w="3000"/>
            <w:shd w:fill="FFFFFF" w:val="clear"/>
            <w:vAlign w:val="top"/>
          </w:tcPr>
          <w:p>
            <w:r>
              <w:rPr>
                <w:rFonts w:ascii="Calibri" w:cs="Calibri" w:eastAsia="Calibri" w:hAnsi="Calibri"/>
                <w:sz w:val="17"/>
                <w:szCs w:val="17"/>
              </w:rPr>
              <w:t xml:space="preserve">Slide 12 does not list this. Definitions are covered separately. The IMA is NOT product-specific (Slide 11).</w:t>
            </w:r>
          </w:p>
        </w:tc>
      </w:tr>
      <w:tr>
        <w:tc>
          <w:tcPr>
            <w:tcW w:type="dxa" w:w="4000"/>
            <w:shd w:fill="F7F7F7" w:val="clear"/>
            <w:vAlign w:val="top"/>
          </w:tcPr>
          <w:p>
            <w:r>
              <w:rPr>
                <w:rFonts w:ascii="Calibri" w:cs="Calibri" w:eastAsia="Calibri" w:hAnsi="Calibri"/>
                <w:sz w:val="17"/>
                <w:szCs w:val="17"/>
              </w:rPr>
              <w:t xml:space="preserve">Contract Formation and Legal Relations is one of the five IMA sections.</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12 lists this as section 05.</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Q7 | ISDA.2 | GAP FILL DROPDOWN</w:t>
      </w:r>
    </w:p>
    <w:p>
      <w:pPr>
        <w:spacing w:after="80" w:before="100"/>
        <w:ind w:left="200"/>
      </w:pPr>
      <w:r>
        <w:rPr>
          <w:rFonts w:ascii="Calibri" w:cs="Calibri" w:eastAsia="Calibri" w:hAnsi="Calibri"/>
          <w:b/>
          <w:bCs/>
          <w:color w:val="1A1A1A"/>
          <w:sz w:val="20"/>
          <w:szCs w:val="20"/>
        </w:rPr>
        <w:t xml:space="preserve">Complete the sentence using the correct dropdown options:</w:t>
      </w:r>
    </w:p>
    <w:p>
      <w:pPr>
        <w:spacing w:after="80" w:before="80"/>
        <w:ind w:left="200"/>
      </w:pPr>
      <w:r>
        <w:rPr>
          <w:rFonts w:ascii="Calibri" w:cs="Calibri" w:eastAsia="Calibri" w:hAnsi="Calibri"/>
          <w:i/>
          <w:iCs/>
          <w:sz w:val="19"/>
          <w:szCs w:val="19"/>
        </w:rPr>
        <w:t xml:space="preserve">Netting allows parties to combine multiple payment obligations into a single _______ [A] payment, and in the event of default, _______ [B] netting prevents a defaulting party from cherry-picking which trades to honour.</w:t>
      </w:r>
    </w:p>
    <w:p>
      <w:pPr>
        <w:spacing w:after="40" w:before="40"/>
        <w:ind w:left="400"/>
      </w:pPr>
      <w:r>
        <w:rPr>
          <w:rFonts w:ascii="Calibri" w:cs="Calibri" w:eastAsia="Calibri" w:hAnsi="Calibri"/>
          <w:color w:val="555555"/>
          <w:sz w:val="18"/>
          <w:szCs w:val="18"/>
        </w:rPr>
        <w:t xml:space="preserve">Dropdown A options: gross / net / average / periodic</w:t>
      </w:r>
    </w:p>
    <w:p>
      <w:pPr>
        <w:spacing w:after="40" w:before="40"/>
        <w:ind w:left="400"/>
      </w:pPr>
      <w:r>
        <w:rPr>
          <w:rFonts w:ascii="Calibri" w:cs="Calibri" w:eastAsia="Calibri" w:hAnsi="Calibri"/>
          <w:color w:val="555555"/>
          <w:sz w:val="18"/>
          <w:szCs w:val="18"/>
        </w:rPr>
        <w:t xml:space="preserve">Dropdown B options: payment / close-out / daily / bilateral</w:t>
      </w:r>
    </w:p>
    <w:p>
      <w:pPr>
        <w:shd w:fill="E8F5E9" w:val="clear"/>
        <w:spacing w:after="100" w:before="100"/>
        <w:ind w:left="200"/>
      </w:pPr>
      <w:r>
        <w:rPr>
          <w:rFonts w:ascii="Calibri" w:cs="Calibri" w:eastAsia="Calibri" w:hAnsi="Calibri"/>
          <w:b/>
          <w:bCs/>
          <w:color w:val="1B5E20"/>
          <w:sz w:val="18"/>
          <w:szCs w:val="18"/>
        </w:rPr>
        <w:t xml:space="preserve">ANSWER: A = net | B = close-out. Source: IMA section 03, Slide 12 "Close Out and Netting", and ISDA.1 goal to reduce counterparty/credit risk (Slide 5).</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Q8 | ISDA.2 | MATCHING PAIRS</w:t>
      </w:r>
    </w:p>
    <w:p>
      <w:pPr>
        <w:spacing w:after="80" w:before="100"/>
        <w:ind w:left="200"/>
      </w:pPr>
      <w:r>
        <w:rPr>
          <w:rFonts w:ascii="Calibri" w:cs="Calibri" w:eastAsia="Calibri" w:hAnsi="Calibri"/>
          <w:b/>
          <w:bCs/>
          <w:color w:val="1A1A1A"/>
          <w:sz w:val="20"/>
          <w:szCs w:val="20"/>
        </w:rPr>
        <w:t xml:space="preserve">Match each IMA section number (from Slide 12) with its title: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1600"/>
            <w:shd w:fill="D4EFEF" w:val="clear"/>
          </w:tcPr>
          <w:p>
            <w:pPr>
              <w:jc w:val="center"/>
            </w:pPr>
            <w:r>
              <w:rPr>
                <w:rFonts w:ascii="Calibri" w:cs="Calibri" w:eastAsia="Calibri" w:hAnsi="Calibri"/>
                <w:b/>
                <w:bCs/>
                <w:color w:val="1E3A5F"/>
                <w:sz w:val="18"/>
                <w:szCs w:val="18"/>
              </w:rPr>
              <w:t xml:space="preserve">Section No.</w:t>
            </w:r>
          </w:p>
        </w:tc>
        <w:tc>
          <w:tcPr>
            <w:tcW w:type="dxa" w:w="600"/>
            <w:shd w:fill="D4EFEF" w:val="clear"/>
          </w:tcPr>
          <w:p>
            <w:pPr>
              <w:jc w:val="center"/>
            </w:pPr>
            <w:r>
              <w:rPr>
                <w:rFonts w:ascii="Calibri" w:cs="Calibri" w:eastAsia="Calibri" w:hAnsi="Calibri"/>
                <w:b/>
                <w:bCs/>
                <w:color w:val="1E3A5F"/>
                <w:sz w:val="18"/>
                <w:szCs w:val="18"/>
              </w:rPr>
              <w:t xml:space="preserve">Match</w:t>
            </w:r>
          </w:p>
        </w:tc>
        <w:tc>
          <w:tcPr>
            <w:tcW w:type="dxa" w:w="5600"/>
            <w:shd w:fill="D4EFEF" w:val="clear"/>
          </w:tcPr>
          <w:p>
            <w:pPr>
              <w:jc w:val="center"/>
            </w:pPr>
            <w:r>
              <w:rPr>
                <w:rFonts w:ascii="Calibri" w:cs="Calibri" w:eastAsia="Calibri" w:hAnsi="Calibri"/>
                <w:b/>
                <w:bCs/>
                <w:color w:val="1E3A5F"/>
                <w:sz w:val="18"/>
                <w:szCs w:val="18"/>
              </w:rPr>
              <w:t xml:space="preserve">Title</w:t>
            </w:r>
          </w:p>
        </w:tc>
      </w:tr>
      <w:tr>
        <w:tc>
          <w:tcPr>
            <w:tcW w:type="dxa" w:w="1600"/>
            <w:shd w:fill="FFFFFF" w:val="clear"/>
            <w:vAlign w:val="top"/>
          </w:tcPr>
          <w:p>
            <w:r>
              <w:rPr>
                <w:rFonts w:ascii="Calibri" w:cs="Calibri" w:eastAsia="Calibri" w:hAnsi="Calibri"/>
                <w:sz w:val="17"/>
                <w:szCs w:val="17"/>
              </w:rPr>
              <w:t xml:space="preserve">Section 01</w:t>
            </w:r>
          </w:p>
        </w:tc>
        <w:tc>
          <w:tcPr>
            <w:tcW w:type="dxa" w:w="600"/>
            <w:shd w:fill="FFFFFF" w:val="clear"/>
            <w:vAlign w:val="top"/>
          </w:tcPr>
          <w:p>
            <w:r>
              <w:rPr>
                <w:rFonts w:ascii="Calibri" w:cs="Calibri" w:eastAsia="Calibri" w:hAnsi="Calibri"/>
                <w:sz w:val="17"/>
                <w:szCs w:val="17"/>
              </w:rPr>
              <w:t xml:space="preserve">___</w:t>
            </w:r>
          </w:p>
        </w:tc>
        <w:tc>
          <w:tcPr>
            <w:tcW w:type="dxa" w:w="5600"/>
            <w:shd w:fill="FFFFFF" w:val="clear"/>
            <w:vAlign w:val="top"/>
          </w:tcPr>
          <w:p>
            <w:r>
              <w:rPr>
                <w:rFonts w:ascii="Calibri" w:cs="Calibri" w:eastAsia="Calibri" w:hAnsi="Calibri"/>
                <w:sz w:val="17"/>
                <w:szCs w:val="17"/>
              </w:rPr>
              <w:t xml:space="preserve">A. Contract Formation and Legal Relations</w:t>
            </w:r>
          </w:p>
        </w:tc>
      </w:tr>
      <w:tr>
        <w:tc>
          <w:tcPr>
            <w:tcW w:type="dxa" w:w="1600"/>
            <w:shd w:fill="F7F7F7" w:val="clear"/>
            <w:vAlign w:val="top"/>
          </w:tcPr>
          <w:p>
            <w:r>
              <w:rPr>
                <w:rFonts w:ascii="Calibri" w:cs="Calibri" w:eastAsia="Calibri" w:hAnsi="Calibri"/>
                <w:sz w:val="17"/>
                <w:szCs w:val="17"/>
              </w:rPr>
              <w:t xml:space="preserve">Section 02</w:t>
            </w:r>
          </w:p>
        </w:tc>
        <w:tc>
          <w:tcPr>
            <w:tcW w:type="dxa" w:w="600"/>
            <w:shd w:fill="F7F7F7" w:val="clear"/>
            <w:vAlign w:val="top"/>
          </w:tcPr>
          <w:p>
            <w:r>
              <w:rPr>
                <w:rFonts w:ascii="Calibri" w:cs="Calibri" w:eastAsia="Calibri" w:hAnsi="Calibri"/>
                <w:sz w:val="17"/>
                <w:szCs w:val="17"/>
              </w:rPr>
              <w:t xml:space="preserve">___</w:t>
            </w:r>
          </w:p>
        </w:tc>
        <w:tc>
          <w:tcPr>
            <w:tcW w:type="dxa" w:w="5600"/>
            <w:shd w:fill="F7F7F7" w:val="clear"/>
            <w:vAlign w:val="top"/>
          </w:tcPr>
          <w:p>
            <w:r>
              <w:rPr>
                <w:rFonts w:ascii="Calibri" w:cs="Calibri" w:eastAsia="Calibri" w:hAnsi="Calibri"/>
                <w:sz w:val="17"/>
                <w:szCs w:val="17"/>
              </w:rPr>
              <w:t xml:space="preserve">B. Close Out and Netting</w:t>
            </w:r>
          </w:p>
        </w:tc>
      </w:tr>
      <w:tr>
        <w:tc>
          <w:tcPr>
            <w:tcW w:type="dxa" w:w="1600"/>
            <w:shd w:fill="FFFFFF" w:val="clear"/>
            <w:vAlign w:val="top"/>
          </w:tcPr>
          <w:p>
            <w:r>
              <w:rPr>
                <w:rFonts w:ascii="Calibri" w:cs="Calibri" w:eastAsia="Calibri" w:hAnsi="Calibri"/>
                <w:sz w:val="17"/>
                <w:szCs w:val="17"/>
              </w:rPr>
              <w:t xml:space="preserve">Section 03</w:t>
            </w:r>
          </w:p>
        </w:tc>
        <w:tc>
          <w:tcPr>
            <w:tcW w:type="dxa" w:w="600"/>
            <w:shd w:fill="FFFFFF" w:val="clear"/>
            <w:vAlign w:val="top"/>
          </w:tcPr>
          <w:p>
            <w:r>
              <w:rPr>
                <w:rFonts w:ascii="Calibri" w:cs="Calibri" w:eastAsia="Calibri" w:hAnsi="Calibri"/>
                <w:sz w:val="17"/>
                <w:szCs w:val="17"/>
              </w:rPr>
              <w:t xml:space="preserve">___</w:t>
            </w:r>
          </w:p>
        </w:tc>
        <w:tc>
          <w:tcPr>
            <w:tcW w:type="dxa" w:w="5600"/>
            <w:shd w:fill="FFFFFF" w:val="clear"/>
            <w:vAlign w:val="top"/>
          </w:tcPr>
          <w:p>
            <w:r>
              <w:rPr>
                <w:rFonts w:ascii="Calibri" w:cs="Calibri" w:eastAsia="Calibri" w:hAnsi="Calibri"/>
                <w:sz w:val="17"/>
                <w:szCs w:val="17"/>
              </w:rPr>
              <w:t xml:space="preserve">C. Events of Defaults and Termination Events</w:t>
            </w:r>
          </w:p>
        </w:tc>
      </w:tr>
      <w:tr>
        <w:tc>
          <w:tcPr>
            <w:tcW w:type="dxa" w:w="1600"/>
            <w:shd w:fill="F7F7F7" w:val="clear"/>
            <w:vAlign w:val="top"/>
          </w:tcPr>
          <w:p>
            <w:r>
              <w:rPr>
                <w:rFonts w:ascii="Calibri" w:cs="Calibri" w:eastAsia="Calibri" w:hAnsi="Calibri"/>
                <w:sz w:val="17"/>
                <w:szCs w:val="17"/>
              </w:rPr>
              <w:t xml:space="preserve">Section 04</w:t>
            </w:r>
          </w:p>
        </w:tc>
        <w:tc>
          <w:tcPr>
            <w:tcW w:type="dxa" w:w="600"/>
            <w:shd w:fill="F7F7F7" w:val="clear"/>
            <w:vAlign w:val="top"/>
          </w:tcPr>
          <w:p>
            <w:r>
              <w:rPr>
                <w:rFonts w:ascii="Calibri" w:cs="Calibri" w:eastAsia="Calibri" w:hAnsi="Calibri"/>
                <w:sz w:val="17"/>
                <w:szCs w:val="17"/>
              </w:rPr>
              <w:t xml:space="preserve">___</w:t>
            </w:r>
          </w:p>
        </w:tc>
        <w:tc>
          <w:tcPr>
            <w:tcW w:type="dxa" w:w="5600"/>
            <w:shd w:fill="F7F7F7" w:val="clear"/>
            <w:vAlign w:val="top"/>
          </w:tcPr>
          <w:p>
            <w:r>
              <w:rPr>
                <w:rFonts w:ascii="Calibri" w:cs="Calibri" w:eastAsia="Calibri" w:hAnsi="Calibri"/>
                <w:sz w:val="17"/>
                <w:szCs w:val="17"/>
              </w:rPr>
              <w:t xml:space="preserve">D. Payment and Deliveries</w:t>
            </w:r>
          </w:p>
        </w:tc>
      </w:tr>
      <w:tr>
        <w:tc>
          <w:tcPr>
            <w:tcW w:type="dxa" w:w="1600"/>
            <w:shd w:fill="FFFFFF" w:val="clear"/>
            <w:vAlign w:val="top"/>
          </w:tcPr>
          <w:p>
            <w:r>
              <w:rPr>
                <w:rFonts w:ascii="Calibri" w:cs="Calibri" w:eastAsia="Calibri" w:hAnsi="Calibri"/>
                <w:sz w:val="17"/>
                <w:szCs w:val="17"/>
              </w:rPr>
              <w:t xml:space="preserve">Section 05</w:t>
            </w:r>
          </w:p>
        </w:tc>
        <w:tc>
          <w:tcPr>
            <w:tcW w:type="dxa" w:w="600"/>
            <w:shd w:fill="FFFFFF" w:val="clear"/>
            <w:vAlign w:val="top"/>
          </w:tcPr>
          <w:p>
            <w:r>
              <w:rPr>
                <w:rFonts w:ascii="Calibri" w:cs="Calibri" w:eastAsia="Calibri" w:hAnsi="Calibri"/>
                <w:sz w:val="17"/>
                <w:szCs w:val="17"/>
              </w:rPr>
              <w:t xml:space="preserve">___</w:t>
            </w:r>
          </w:p>
        </w:tc>
        <w:tc>
          <w:tcPr>
            <w:tcW w:type="dxa" w:w="5600"/>
            <w:shd w:fill="FFFFFF" w:val="clear"/>
            <w:vAlign w:val="top"/>
          </w:tcPr>
          <w:p>
            <w:r>
              <w:rPr>
                <w:rFonts w:ascii="Calibri" w:cs="Calibri" w:eastAsia="Calibri" w:hAnsi="Calibri"/>
                <w:sz w:val="17"/>
                <w:szCs w:val="17"/>
              </w:rPr>
              <w:t xml:space="preserve">E. Disputes</w:t>
            </w:r>
          </w:p>
        </w:tc>
      </w:tr>
    </w:tbl>
    <w:p>
      <w:pPr>
        <w:shd w:fill="E8F5E9" w:val="clear"/>
        <w:spacing w:after="100" w:before="100"/>
        <w:ind w:left="200"/>
      </w:pPr>
      <w:r>
        <w:rPr>
          <w:rFonts w:ascii="Calibri" w:cs="Calibri" w:eastAsia="Calibri" w:hAnsi="Calibri"/>
          <w:b/>
          <w:bCs/>
          <w:color w:val="1B5E20"/>
          <w:sz w:val="18"/>
          <w:szCs w:val="18"/>
        </w:rPr>
        <w:t xml:space="preserve">ANSWER: 01=C | 02=D | 03=B | 04=E | 05=A. Source: Slide 12.</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ISDA.3 | Events of Default, ISDA Schedule &amp; CSA</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Q9 | ISDA.3 | MCQ INLINE</w:t>
      </w:r>
    </w:p>
    <w:p>
      <w:pPr>
        <w:spacing w:after="80" w:before="100"/>
        <w:ind w:left="200"/>
      </w:pPr>
      <w:r>
        <w:rPr>
          <w:rFonts w:ascii="Calibri" w:cs="Calibri" w:eastAsia="Calibri" w:hAnsi="Calibri"/>
          <w:b/>
          <w:bCs/>
          <w:color w:val="1A1A1A"/>
          <w:sz w:val="20"/>
          <w:szCs w:val="20"/>
        </w:rPr>
        <w:t xml:space="preserve">According to the ISDA slides, which of the following is an Event of DEFAULT (not a Termination Event)?</w:t>
      </w:r>
    </w:p>
    <w:p>
      <w:pPr>
        <w:spacing w:after="40" w:before="40"/>
        <w:ind w:left="400"/>
      </w:pPr>
      <w:r>
        <w:rPr>
          <w:rFonts w:ascii="Calibri" w:cs="Calibri" w:eastAsia="Calibri" w:hAnsi="Calibri"/>
          <w:color w:val="333333"/>
          <w:sz w:val="19"/>
          <w:szCs w:val="19"/>
        </w:rPr>
        <w:t xml:space="preserve">A. Force Majeure</w:t>
      </w:r>
    </w:p>
    <w:p>
      <w:pPr>
        <w:spacing w:after="40" w:before="40"/>
        <w:ind w:left="400"/>
      </w:pPr>
      <w:r>
        <w:rPr>
          <w:rFonts w:ascii="Calibri" w:cs="Calibri" w:eastAsia="Calibri" w:hAnsi="Calibri"/>
          <w:color w:val="333333"/>
          <w:sz w:val="19"/>
          <w:szCs w:val="19"/>
        </w:rPr>
        <w:t xml:space="preserve">B. Tax Event</w:t>
      </w:r>
    </w:p>
    <w:p>
      <w:pPr>
        <w:spacing w:after="40" w:before="40"/>
        <w:ind w:left="400"/>
      </w:pPr>
      <w:r>
        <w:rPr>
          <w:rFonts w:ascii="Calibri" w:cs="Calibri" w:eastAsia="Calibri" w:hAnsi="Calibri"/>
          <w:color w:val="1B5E20"/>
          <w:sz w:val="19"/>
          <w:szCs w:val="19"/>
        </w:rPr>
        <w:t xml:space="preserve">C. Cross Default</w:t>
      </w:r>
    </w:p>
    <w:p>
      <w:pPr>
        <w:spacing w:after="40" w:before="40"/>
        <w:ind w:left="400"/>
      </w:pPr>
      <w:r>
        <w:rPr>
          <w:rFonts w:ascii="Calibri" w:cs="Calibri" w:eastAsia="Calibri" w:hAnsi="Calibri"/>
          <w:color w:val="333333"/>
          <w:sz w:val="19"/>
          <w:szCs w:val="19"/>
        </w:rPr>
        <w:t xml:space="preserve">D. Termination for Convenience</w:t>
      </w:r>
    </w:p>
    <w:p>
      <w:pPr>
        <w:shd w:fill="E8F5E9" w:val="clear"/>
        <w:spacing w:after="100" w:before="100"/>
        <w:ind w:left="200"/>
      </w:pPr>
      <w:r>
        <w:rPr>
          <w:rFonts w:ascii="Calibri" w:cs="Calibri" w:eastAsia="Calibri" w:hAnsi="Calibri"/>
          <w:b/>
          <w:bCs/>
          <w:color w:val="1B5E20"/>
          <w:sz w:val="18"/>
          <w:szCs w:val="18"/>
        </w:rPr>
        <w:t xml:space="preserve">ANSWER: C. Cross Default. Slide 13: "Cross Default: If a party defaults on a related financial agreement, it can trigger an Event of Default in the derivative contract." Force Majeure, Tax Event, and Termination for Convenience are Termination Events (Slide 14).</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Q10 | ISDA.3 | TRUE/FALSE MULTI</w:t>
      </w:r>
    </w:p>
    <w:p>
      <w:pPr>
        <w:spacing w:after="80" w:before="100"/>
        <w:ind w:left="200"/>
      </w:pPr>
      <w:r>
        <w:rPr>
          <w:rFonts w:ascii="Calibri" w:cs="Calibri" w:eastAsia="Calibri" w:hAnsi="Calibri"/>
          <w:b/>
          <w:bCs/>
          <w:color w:val="1A1A1A"/>
          <w:sz w:val="20"/>
          <w:szCs w:val="20"/>
        </w:rPr>
        <w:t xml:space="preserve">Mark each statement TRUE or FALSE about the ISDA Schedule: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The ISDA Schedule is party-specific.</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15: "PARTY SPECIFIC" label. "Used to record the particular arrangements desired by both organisations."</w:t>
            </w:r>
          </w:p>
        </w:tc>
      </w:tr>
      <w:tr>
        <w:tc>
          <w:tcPr>
            <w:tcW w:type="dxa" w:w="4000"/>
            <w:shd w:fill="F7F7F7" w:val="clear"/>
            <w:vAlign w:val="top"/>
          </w:tcPr>
          <w:p>
            <w:r>
              <w:rPr>
                <w:rFonts w:ascii="Calibri" w:cs="Calibri" w:eastAsia="Calibri" w:hAnsi="Calibri"/>
                <w:sz w:val="17"/>
                <w:szCs w:val="17"/>
              </w:rPr>
              <w:t xml:space="preserve">The Schedule typically takes at least three months to negotiate.</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15: "It typically takes at least 3 months to negotiate the Schedule."</w:t>
            </w:r>
          </w:p>
        </w:tc>
      </w:tr>
      <w:tr>
        <w:tc>
          <w:tcPr>
            <w:tcW w:type="dxa" w:w="4000"/>
            <w:shd w:fill="FFFFFF" w:val="clear"/>
            <w:vAlign w:val="top"/>
          </w:tcPr>
          <w:p>
            <w:r>
              <w:rPr>
                <w:rFonts w:ascii="Calibri" w:cs="Calibri" w:eastAsia="Calibri" w:hAnsi="Calibri"/>
                <w:sz w:val="17"/>
                <w:szCs w:val="17"/>
              </w:rPr>
              <w:t xml:space="preserve">The Schedule replaces the ISDA Master Agreement once signed.</w:t>
            </w:r>
          </w:p>
        </w:tc>
        <w:tc>
          <w:tcPr>
            <w:tcW w:type="dxa" w:w="800"/>
            <w:shd w:fill="FFFFFF" w:val="clear"/>
            <w:vAlign w:val="top"/>
          </w:tcPr>
          <w:p>
            <w:r>
              <w:rPr>
                <w:rFonts w:ascii="Calibri" w:cs="Calibri" w:eastAsia="Calibri" w:hAnsi="Calibri"/>
                <w:sz w:val="17"/>
                <w:szCs w:val="17"/>
              </w:rPr>
              <w:t xml:space="preserve">FALSE</w:t>
            </w:r>
          </w:p>
        </w:tc>
        <w:tc>
          <w:tcPr>
            <w:tcW w:type="dxa" w:w="3000"/>
            <w:shd w:fill="FFFFFF" w:val="clear"/>
            <w:vAlign w:val="top"/>
          </w:tcPr>
          <w:p>
            <w:r>
              <w:rPr>
                <w:rFonts w:ascii="Calibri" w:cs="Calibri" w:eastAsia="Calibri" w:hAnsi="Calibri"/>
                <w:sz w:val="17"/>
                <w:szCs w:val="17"/>
              </w:rPr>
              <w:t xml:space="preserve">Slide 15: "The ISDA Schedule is incorporated into, supplements and forms a part of the ISDA Master Agreement."</w:t>
            </w:r>
          </w:p>
        </w:tc>
      </w:tr>
      <w:tr>
        <w:tc>
          <w:tcPr>
            <w:tcW w:type="dxa" w:w="4000"/>
            <w:shd w:fill="F7F7F7" w:val="clear"/>
            <w:vAlign w:val="top"/>
          </w:tcPr>
          <w:p>
            <w:r>
              <w:rPr>
                <w:rFonts w:ascii="Calibri" w:cs="Calibri" w:eastAsia="Calibri" w:hAnsi="Calibri"/>
                <w:sz w:val="17"/>
                <w:szCs w:val="17"/>
              </w:rPr>
              <w:t xml:space="preserve">The Schedule allows parties to add to or amend standard IMA terms.</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15: "Schedule which allows parties to add to or amend the standard terms."</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Q11 | ISDA.3 | GAP FILL DROPDOWN</w:t>
      </w:r>
    </w:p>
    <w:p>
      <w:pPr>
        <w:spacing w:after="80" w:before="100"/>
        <w:ind w:left="200"/>
      </w:pPr>
      <w:r>
        <w:rPr>
          <w:rFonts w:ascii="Calibri" w:cs="Calibri" w:eastAsia="Calibri" w:hAnsi="Calibri"/>
          <w:b/>
          <w:bCs/>
          <w:color w:val="1A1A1A"/>
          <w:sz w:val="20"/>
          <w:szCs w:val="20"/>
        </w:rPr>
        <w:t xml:space="preserve">Complete the sentence about the Credit Support Annex:</w:t>
      </w:r>
    </w:p>
    <w:p>
      <w:pPr>
        <w:spacing w:after="80" w:before="80"/>
        <w:ind w:left="200"/>
      </w:pPr>
      <w:r>
        <w:rPr>
          <w:rFonts w:ascii="Calibri" w:cs="Calibri" w:eastAsia="Calibri" w:hAnsi="Calibri"/>
          <w:i/>
          <w:iCs/>
          <w:sz w:val="19"/>
          <w:szCs w:val="19"/>
        </w:rPr>
        <w:t xml:space="preserve">It is possible to have an ISDA agreement without a CSA, but normally not a _______ [A] without an _______ [B]. The CSA is an _______ [C] document used when both parties agree to use collateral to cover risk exposures.</w:t>
      </w:r>
    </w:p>
    <w:p>
      <w:pPr>
        <w:spacing w:after="40" w:before="40"/>
        <w:ind w:left="400"/>
      </w:pPr>
      <w:r>
        <w:rPr>
          <w:rFonts w:ascii="Calibri" w:cs="Calibri" w:eastAsia="Calibri" w:hAnsi="Calibri"/>
          <w:color w:val="555555"/>
          <w:sz w:val="18"/>
          <w:szCs w:val="18"/>
        </w:rPr>
        <w:t xml:space="preserve">Dropdown A options: Schedule / CSA / Confirmation / Annex</w:t>
      </w:r>
    </w:p>
    <w:p>
      <w:pPr>
        <w:spacing w:after="40" w:before="40"/>
        <w:ind w:left="400"/>
      </w:pPr>
      <w:r>
        <w:rPr>
          <w:rFonts w:ascii="Calibri" w:cs="Calibri" w:eastAsia="Calibri" w:hAnsi="Calibri"/>
          <w:color w:val="555555"/>
          <w:sz w:val="18"/>
          <w:szCs w:val="18"/>
        </w:rPr>
        <w:t xml:space="preserve">Dropdown B options: CSA / ISDA / Schedule / Regulator</w:t>
      </w:r>
    </w:p>
    <w:p>
      <w:pPr>
        <w:spacing w:after="40" w:before="40"/>
        <w:ind w:left="400"/>
      </w:pPr>
      <w:r>
        <w:rPr>
          <w:rFonts w:ascii="Calibri" w:cs="Calibri" w:eastAsia="Calibri" w:hAnsi="Calibri"/>
          <w:color w:val="555555"/>
          <w:sz w:val="18"/>
          <w:szCs w:val="18"/>
        </w:rPr>
        <w:t xml:space="preserve">Dropdown C options: mandatory / optional / annual / bilateral</w:t>
      </w:r>
    </w:p>
    <w:p>
      <w:pPr>
        <w:shd w:fill="E8F5E9" w:val="clear"/>
        <w:spacing w:after="100" w:before="100"/>
        <w:ind w:left="200"/>
      </w:pPr>
      <w:r>
        <w:rPr>
          <w:rFonts w:ascii="Calibri" w:cs="Calibri" w:eastAsia="Calibri" w:hAnsi="Calibri"/>
          <w:b/>
          <w:bCs/>
          <w:color w:val="1B5E20"/>
          <w:sz w:val="18"/>
          <w:szCs w:val="18"/>
        </w:rPr>
        <w:t xml:space="preserve">ANSWER: A = CSA | B = ISDA | C = optional. Slide 16: "It is possible to have an ISDA agreement without a CSA but normally not a CSA without an ISDA... An optional document..."</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Q12 | ISDA.3 | MATCHING PAIRS</w:t>
      </w:r>
    </w:p>
    <w:p>
      <w:pPr>
        <w:spacing w:after="80" w:before="100"/>
        <w:ind w:left="200"/>
      </w:pPr>
      <w:r>
        <w:rPr>
          <w:rFonts w:ascii="Calibri" w:cs="Calibri" w:eastAsia="Calibri" w:hAnsi="Calibri"/>
          <w:b/>
          <w:bCs/>
          <w:color w:val="1A1A1A"/>
          <w:sz w:val="20"/>
          <w:szCs w:val="20"/>
        </w:rPr>
        <w:t xml:space="preserve">Match each CSA term with its description (Source: Slide 16):</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2800"/>
            <w:shd w:fill="D4EFEF" w:val="clear"/>
          </w:tcPr>
          <w:p>
            <w:pPr>
              <w:jc w:val="center"/>
            </w:pPr>
            <w:r>
              <w:rPr>
                <w:rFonts w:ascii="Calibri" w:cs="Calibri" w:eastAsia="Calibri" w:hAnsi="Calibri"/>
                <w:b/>
                <w:bCs/>
                <w:color w:val="1E3A5F"/>
                <w:sz w:val="18"/>
                <w:szCs w:val="18"/>
              </w:rPr>
              <w:t xml:space="preserve">CSA Term</w:t>
            </w:r>
          </w:p>
        </w:tc>
        <w:tc>
          <w:tcPr>
            <w:tcW w:type="dxa" w:w="600"/>
            <w:shd w:fill="D4EFEF" w:val="clear"/>
          </w:tcPr>
          <w:p>
            <w:pPr>
              <w:jc w:val="center"/>
            </w:pPr>
            <w:r>
              <w:rPr>
                <w:rFonts w:ascii="Calibri" w:cs="Calibri" w:eastAsia="Calibri" w:hAnsi="Calibri"/>
                <w:b/>
                <w:bCs/>
                <w:color w:val="1E3A5F"/>
                <w:sz w:val="18"/>
                <w:szCs w:val="18"/>
              </w:rPr>
              <w:t xml:space="preserve">Match</w:t>
            </w:r>
          </w:p>
        </w:tc>
        <w:tc>
          <w:tcPr>
            <w:tcW w:type="dxa" w:w="4400"/>
            <w:shd w:fill="D4EFEF" w:val="clear"/>
          </w:tcPr>
          <w:p>
            <w:pPr>
              <w:jc w:val="center"/>
            </w:pPr>
            <w:r>
              <w:rPr>
                <w:rFonts w:ascii="Calibri" w:cs="Calibri" w:eastAsia="Calibri" w:hAnsi="Calibri"/>
                <w:b/>
                <w:bCs/>
                <w:color w:val="1E3A5F"/>
                <w:sz w:val="18"/>
                <w:szCs w:val="18"/>
              </w:rPr>
              <w:t xml:space="preserve">Description</w:t>
            </w:r>
          </w:p>
        </w:tc>
      </w:tr>
      <w:tr>
        <w:tc>
          <w:tcPr>
            <w:tcW w:type="dxa" w:w="2800"/>
            <w:shd w:fill="FFFFFF" w:val="clear"/>
            <w:vAlign w:val="top"/>
          </w:tcPr>
          <w:p>
            <w:r>
              <w:rPr>
                <w:rFonts w:ascii="Calibri" w:cs="Calibri" w:eastAsia="Calibri" w:hAnsi="Calibri"/>
                <w:sz w:val="17"/>
                <w:szCs w:val="17"/>
              </w:rPr>
              <w:t xml:space="preserve">Threshold Amount</w:t>
            </w:r>
          </w:p>
        </w:tc>
        <w:tc>
          <w:tcPr>
            <w:tcW w:type="dxa" w:w="600"/>
            <w:shd w:fill="FFFFFF" w:val="clear"/>
            <w:vAlign w:val="top"/>
          </w:tcPr>
          <w:p>
            <w:r>
              <w:rPr>
                <w:rFonts w:ascii="Calibri" w:cs="Calibri" w:eastAsia="Calibri" w:hAnsi="Calibri"/>
                <w:sz w:val="17"/>
                <w:szCs w:val="17"/>
              </w:rPr>
              <w:t xml:space="preserve">___</w:t>
            </w:r>
          </w:p>
        </w:tc>
        <w:tc>
          <w:tcPr>
            <w:tcW w:type="dxa" w:w="4400"/>
            <w:shd w:fill="FFFFFF" w:val="clear"/>
            <w:vAlign w:val="top"/>
          </w:tcPr>
          <w:p>
            <w:r>
              <w:rPr>
                <w:rFonts w:ascii="Calibri" w:cs="Calibri" w:eastAsia="Calibri" w:hAnsi="Calibri"/>
                <w:sz w:val="17"/>
                <w:szCs w:val="17"/>
              </w:rPr>
              <w:t xml:space="preserve">A. The frequency and source for assessing collateral values</w:t>
            </w:r>
          </w:p>
        </w:tc>
      </w:tr>
      <w:tr>
        <w:tc>
          <w:tcPr>
            <w:tcW w:type="dxa" w:w="2800"/>
            <w:shd w:fill="F7F7F7" w:val="clear"/>
            <w:vAlign w:val="top"/>
          </w:tcPr>
          <w:p>
            <w:r>
              <w:rPr>
                <w:rFonts w:ascii="Calibri" w:cs="Calibri" w:eastAsia="Calibri" w:hAnsi="Calibri"/>
                <w:sz w:val="17"/>
                <w:szCs w:val="17"/>
              </w:rPr>
              <w:t xml:space="preserve">Minimum Transfer</w:t>
            </w:r>
          </w:p>
        </w:tc>
        <w:tc>
          <w:tcPr>
            <w:tcW w:type="dxa" w:w="600"/>
            <w:shd w:fill="F7F7F7" w:val="clear"/>
            <w:vAlign w:val="top"/>
          </w:tcPr>
          <w:p>
            <w:r>
              <w:rPr>
                <w:rFonts w:ascii="Calibri" w:cs="Calibri" w:eastAsia="Calibri" w:hAnsi="Calibri"/>
                <w:sz w:val="17"/>
                <w:szCs w:val="17"/>
              </w:rPr>
              <w:t xml:space="preserve">___</w:t>
            </w:r>
          </w:p>
        </w:tc>
        <w:tc>
          <w:tcPr>
            <w:tcW w:type="dxa" w:w="4400"/>
            <w:shd w:fill="F7F7F7" w:val="clear"/>
            <w:vAlign w:val="top"/>
          </w:tcPr>
          <w:p>
            <w:r>
              <w:rPr>
                <w:rFonts w:ascii="Calibri" w:cs="Calibri" w:eastAsia="Calibri" w:hAnsi="Calibri"/>
                <w:sz w:val="17"/>
                <w:szCs w:val="17"/>
              </w:rPr>
              <w:t xml:space="preserve">B. A specified exposure level below which no collateral is required</w:t>
            </w:r>
          </w:p>
        </w:tc>
      </w:tr>
      <w:tr>
        <w:tc>
          <w:tcPr>
            <w:tcW w:type="dxa" w:w="2800"/>
            <w:shd w:fill="FFFFFF" w:val="clear"/>
            <w:vAlign w:val="top"/>
          </w:tcPr>
          <w:p>
            <w:r>
              <w:rPr>
                <w:rFonts w:ascii="Calibri" w:cs="Calibri" w:eastAsia="Calibri" w:hAnsi="Calibri"/>
                <w:sz w:val="17"/>
                <w:szCs w:val="17"/>
              </w:rPr>
              <w:t xml:space="preserve">Independent Amount</w:t>
            </w:r>
          </w:p>
        </w:tc>
        <w:tc>
          <w:tcPr>
            <w:tcW w:type="dxa" w:w="600"/>
            <w:shd w:fill="FFFFFF" w:val="clear"/>
            <w:vAlign w:val="top"/>
          </w:tcPr>
          <w:p>
            <w:r>
              <w:rPr>
                <w:rFonts w:ascii="Calibri" w:cs="Calibri" w:eastAsia="Calibri" w:hAnsi="Calibri"/>
                <w:sz w:val="17"/>
                <w:szCs w:val="17"/>
              </w:rPr>
              <w:t xml:space="preserve">___</w:t>
            </w:r>
          </w:p>
        </w:tc>
        <w:tc>
          <w:tcPr>
            <w:tcW w:type="dxa" w:w="4400"/>
            <w:shd w:fill="FFFFFF" w:val="clear"/>
            <w:vAlign w:val="top"/>
          </w:tcPr>
          <w:p>
            <w:r>
              <w:rPr>
                <w:rFonts w:ascii="Calibri" w:cs="Calibri" w:eastAsia="Calibri" w:hAnsi="Calibri"/>
                <w:sz w:val="17"/>
                <w:szCs w:val="17"/>
              </w:rPr>
              <w:t xml:space="preserve">C. The smallest amount of collateral that can be transferred</w:t>
            </w:r>
          </w:p>
        </w:tc>
      </w:tr>
      <w:tr>
        <w:tc>
          <w:tcPr>
            <w:tcW w:type="dxa" w:w="2800"/>
            <w:shd w:fill="F7F7F7" w:val="clear"/>
            <w:vAlign w:val="top"/>
          </w:tcPr>
          <w:p>
            <w:r>
              <w:rPr>
                <w:rFonts w:ascii="Calibri" w:cs="Calibri" w:eastAsia="Calibri" w:hAnsi="Calibri"/>
                <w:sz w:val="17"/>
                <w:szCs w:val="17"/>
              </w:rPr>
              <w:t xml:space="preserve">Valuation Frequency and Source</w:t>
            </w:r>
          </w:p>
        </w:tc>
        <w:tc>
          <w:tcPr>
            <w:tcW w:type="dxa" w:w="600"/>
            <w:shd w:fill="F7F7F7" w:val="clear"/>
            <w:vAlign w:val="top"/>
          </w:tcPr>
          <w:p>
            <w:r>
              <w:rPr>
                <w:rFonts w:ascii="Calibri" w:cs="Calibri" w:eastAsia="Calibri" w:hAnsi="Calibri"/>
                <w:sz w:val="17"/>
                <w:szCs w:val="17"/>
              </w:rPr>
              <w:t xml:space="preserve">___</w:t>
            </w:r>
          </w:p>
        </w:tc>
        <w:tc>
          <w:tcPr>
            <w:tcW w:type="dxa" w:w="4400"/>
            <w:shd w:fill="F7F7F7" w:val="clear"/>
            <w:vAlign w:val="top"/>
          </w:tcPr>
          <w:p>
            <w:r>
              <w:rPr>
                <w:rFonts w:ascii="Calibri" w:cs="Calibri" w:eastAsia="Calibri" w:hAnsi="Calibri"/>
                <w:sz w:val="17"/>
                <w:szCs w:val="17"/>
              </w:rPr>
              <w:t xml:space="preserve">D. An additional collateral amount posted independent of current exposure</w:t>
            </w:r>
          </w:p>
        </w:tc>
      </w:tr>
    </w:tbl>
    <w:p>
      <w:pPr>
        <w:shd w:fill="E8F5E9" w:val="clear"/>
        <w:spacing w:after="100" w:before="100"/>
        <w:ind w:left="200"/>
      </w:pPr>
      <w:r>
        <w:rPr>
          <w:rFonts w:ascii="Calibri" w:cs="Calibri" w:eastAsia="Calibri" w:hAnsi="Calibri"/>
          <w:b/>
          <w:bCs/>
          <w:color w:val="1B5E20"/>
          <w:sz w:val="18"/>
          <w:szCs w:val="18"/>
        </w:rPr>
        <w:t xml:space="preserve">ANSWER: Threshold Amount=B | Minimum Transfer=C | Independent Amount=D | Valuation Frequency and Source=A. Source: Slide 16.</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ISDA.4 | OTC Market - Definition &amp; Characteristics</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Q13 | ISDA.4 | MCQ INLINE</w:t>
      </w:r>
    </w:p>
    <w:p>
      <w:pPr>
        <w:spacing w:after="80" w:before="100"/>
        <w:ind w:left="200"/>
      </w:pPr>
      <w:r>
        <w:rPr>
          <w:rFonts w:ascii="Calibri" w:cs="Calibri" w:eastAsia="Calibri" w:hAnsi="Calibri"/>
          <w:b/>
          <w:bCs/>
          <w:color w:val="1A1A1A"/>
          <w:sz w:val="20"/>
          <w:szCs w:val="20"/>
        </w:rPr>
        <w:t xml:space="preserve">What is the largest OTC market in the world, according to the slides?</w:t>
      </w:r>
    </w:p>
    <w:p>
      <w:pPr>
        <w:spacing w:after="40" w:before="40"/>
        <w:ind w:left="400"/>
      </w:pPr>
      <w:r>
        <w:rPr>
          <w:rFonts w:ascii="Calibri" w:cs="Calibri" w:eastAsia="Calibri" w:hAnsi="Calibri"/>
          <w:color w:val="333333"/>
          <w:sz w:val="19"/>
          <w:szCs w:val="19"/>
        </w:rPr>
        <w:t xml:space="preserve">A. OTC Derivatives Market</w:t>
      </w:r>
    </w:p>
    <w:p>
      <w:pPr>
        <w:spacing w:after="40" w:before="40"/>
        <w:ind w:left="400"/>
      </w:pPr>
      <w:r>
        <w:rPr>
          <w:rFonts w:ascii="Calibri" w:cs="Calibri" w:eastAsia="Calibri" w:hAnsi="Calibri"/>
          <w:color w:val="1B5E20"/>
          <w:sz w:val="19"/>
          <w:szCs w:val="19"/>
        </w:rPr>
        <w:t xml:space="preserve">B. Forex (Foreign Exchange) Market</w:t>
      </w:r>
    </w:p>
    <w:p>
      <w:pPr>
        <w:spacing w:after="40" w:before="40"/>
        <w:ind w:left="400"/>
      </w:pPr>
      <w:r>
        <w:rPr>
          <w:rFonts w:ascii="Calibri" w:cs="Calibri" w:eastAsia="Calibri" w:hAnsi="Calibri"/>
          <w:color w:val="333333"/>
          <w:sz w:val="19"/>
          <w:szCs w:val="19"/>
        </w:rPr>
        <w:t xml:space="preserve">C. OTC Equity Market</w:t>
      </w:r>
    </w:p>
    <w:p>
      <w:pPr>
        <w:spacing w:after="40" w:before="40"/>
        <w:ind w:left="400"/>
      </w:pPr>
      <w:r>
        <w:rPr>
          <w:rFonts w:ascii="Calibri" w:cs="Calibri" w:eastAsia="Calibri" w:hAnsi="Calibri"/>
          <w:color w:val="333333"/>
          <w:sz w:val="19"/>
          <w:szCs w:val="19"/>
        </w:rPr>
        <w:t xml:space="preserve">D. Commodities OTC Market</w:t>
      </w:r>
    </w:p>
    <w:p>
      <w:pPr>
        <w:shd w:fill="E8F5E9" w:val="clear"/>
        <w:spacing w:after="100" w:before="100"/>
        <w:ind w:left="200"/>
      </w:pPr>
      <w:r>
        <w:rPr>
          <w:rFonts w:ascii="Calibri" w:cs="Calibri" w:eastAsia="Calibri" w:hAnsi="Calibri"/>
          <w:b/>
          <w:bCs/>
          <w:color w:val="1B5E20"/>
          <w:sz w:val="18"/>
          <w:szCs w:val="18"/>
        </w:rPr>
        <w:t xml:space="preserve">ANSWER: B. Forex (Foreign Exchange) Market. Slide 22: "Forex (Foreign Exchange) Market - The largest OTC market in the world, where currencies are traded in a decentralised manner."</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Q14 | ISDA.4 | TRUE/FALSE MULTI</w:t>
      </w:r>
    </w:p>
    <w:p>
      <w:pPr>
        <w:spacing w:after="80" w:before="100"/>
        <w:ind w:left="200"/>
      </w:pPr>
      <w:r>
        <w:rPr>
          <w:rFonts w:ascii="Calibri" w:cs="Calibri" w:eastAsia="Calibri" w:hAnsi="Calibri"/>
          <w:b/>
          <w:bCs/>
          <w:color w:val="1A1A1A"/>
          <w:sz w:val="20"/>
          <w:szCs w:val="20"/>
        </w:rPr>
        <w:t xml:space="preserve">Mark each statement TRUE or FALSE about OTC market characteristics (Slides 20-22):</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OTC trading occurs bilaterally between buyers and sellers with no physical location or central exchange.</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20: "Decentralization: OTC trading occurs bilaterally between buyers and sellers... no physical location or central exchange."</w:t>
            </w:r>
          </w:p>
        </w:tc>
      </w:tr>
      <w:tr>
        <w:tc>
          <w:tcPr>
            <w:tcW w:type="dxa" w:w="4000"/>
            <w:shd w:fill="F7F7F7" w:val="clear"/>
            <w:vAlign w:val="top"/>
          </w:tcPr>
          <w:p>
            <w:r>
              <w:rPr>
                <w:rFonts w:ascii="Calibri" w:cs="Calibri" w:eastAsia="Calibri" w:hAnsi="Calibri"/>
                <w:sz w:val="17"/>
                <w:szCs w:val="17"/>
              </w:rPr>
              <w:t xml:space="preserve">OTC transactions are generally more transparent than exchange-traded transactions.</w:t>
            </w:r>
          </w:p>
        </w:tc>
        <w:tc>
          <w:tcPr>
            <w:tcW w:type="dxa" w:w="800"/>
            <w:shd w:fill="F7F7F7" w:val="clear"/>
            <w:vAlign w:val="top"/>
          </w:tcPr>
          <w:p>
            <w:r>
              <w:rPr>
                <w:rFonts w:ascii="Calibri" w:cs="Calibri" w:eastAsia="Calibri" w:hAnsi="Calibri"/>
                <w:sz w:val="17"/>
                <w:szCs w:val="17"/>
              </w:rPr>
              <w:t xml:space="preserve">FALSE</w:t>
            </w:r>
          </w:p>
        </w:tc>
        <w:tc>
          <w:tcPr>
            <w:tcW w:type="dxa" w:w="3000"/>
            <w:shd w:fill="F7F7F7" w:val="clear"/>
            <w:vAlign w:val="top"/>
          </w:tcPr>
          <w:p>
            <w:r>
              <w:rPr>
                <w:rFonts w:ascii="Calibri" w:cs="Calibri" w:eastAsia="Calibri" w:hAnsi="Calibri"/>
                <w:sz w:val="17"/>
                <w:szCs w:val="17"/>
              </w:rPr>
              <w:t xml:space="preserve">Slide 21: "Lack of Transparency: OTC transactions are generally not as transparent as exchange-traded transactions."</w:t>
            </w:r>
          </w:p>
        </w:tc>
      </w:tr>
      <w:tr>
        <w:tc>
          <w:tcPr>
            <w:tcW w:type="dxa" w:w="4000"/>
            <w:shd w:fill="FFFFFF" w:val="clear"/>
            <w:vAlign w:val="top"/>
          </w:tcPr>
          <w:p>
            <w:r>
              <w:rPr>
                <w:rFonts w:ascii="Calibri" w:cs="Calibri" w:eastAsia="Calibri" w:hAnsi="Calibri"/>
                <w:sz w:val="17"/>
                <w:szCs w:val="17"/>
              </w:rPr>
              <w:t xml:space="preserve">OTC transactions involve counterparty risk where participants must assess trading partners' creditworthiness.</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21: "Counterparty Risk: OTC transactions involve counterparty risk... participants must consider the creditworthiness and financial stability of their trading partners."</w:t>
            </w:r>
          </w:p>
        </w:tc>
      </w:tr>
      <w:tr>
        <w:tc>
          <w:tcPr>
            <w:tcW w:type="dxa" w:w="4000"/>
            <w:shd w:fill="F7F7F7" w:val="clear"/>
            <w:vAlign w:val="top"/>
          </w:tcPr>
          <w:p>
            <w:r>
              <w:rPr>
                <w:rFonts w:ascii="Calibri" w:cs="Calibri" w:eastAsia="Calibri" w:hAnsi="Calibri"/>
                <w:sz w:val="17"/>
                <w:szCs w:val="17"/>
              </w:rPr>
              <w:t xml:space="preserve">OTC markets are not subject to any regulatory oversight.</w:t>
            </w:r>
          </w:p>
        </w:tc>
        <w:tc>
          <w:tcPr>
            <w:tcW w:type="dxa" w:w="800"/>
            <w:shd w:fill="F7F7F7" w:val="clear"/>
            <w:vAlign w:val="top"/>
          </w:tcPr>
          <w:p>
            <w:r>
              <w:rPr>
                <w:rFonts w:ascii="Calibri" w:cs="Calibri" w:eastAsia="Calibri" w:hAnsi="Calibri"/>
                <w:sz w:val="17"/>
                <w:szCs w:val="17"/>
              </w:rPr>
              <w:t xml:space="preserve">FALSE</w:t>
            </w:r>
          </w:p>
        </w:tc>
        <w:tc>
          <w:tcPr>
            <w:tcW w:type="dxa" w:w="3000"/>
            <w:shd w:fill="F7F7F7" w:val="clear"/>
            <w:vAlign w:val="top"/>
          </w:tcPr>
          <w:p>
            <w:r>
              <w:rPr>
                <w:rFonts w:ascii="Calibri" w:cs="Calibri" w:eastAsia="Calibri" w:hAnsi="Calibri"/>
                <w:sz w:val="17"/>
                <w:szCs w:val="17"/>
              </w:rPr>
              <w:t xml:space="preserve">Slide 22: "Regulation: OTC markets are subject to regulatory oversight, but the degree and type of regulation can vary by jurisdiction and asset class."</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Q15 | ISDA.4 | GAP FILL DROPDOWN</w:t>
      </w:r>
    </w:p>
    <w:p>
      <w:pPr>
        <w:spacing w:after="80" w:before="100"/>
        <w:ind w:left="200"/>
      </w:pPr>
      <w:r>
        <w:rPr>
          <w:rFonts w:ascii="Calibri" w:cs="Calibri" w:eastAsia="Calibri" w:hAnsi="Calibri"/>
          <w:b/>
          <w:bCs/>
          <w:color w:val="1A1A1A"/>
          <w:sz w:val="20"/>
          <w:szCs w:val="20"/>
        </w:rPr>
        <w:t xml:space="preserve">Complete the OTC market definition:</w:t>
      </w:r>
    </w:p>
    <w:p>
      <w:pPr>
        <w:spacing w:after="80" w:before="80"/>
        <w:ind w:left="200"/>
      </w:pPr>
      <w:r>
        <w:rPr>
          <w:rFonts w:ascii="Calibri" w:cs="Calibri" w:eastAsia="Calibri" w:hAnsi="Calibri"/>
          <w:i/>
          <w:iCs/>
          <w:sz w:val="19"/>
          <w:szCs w:val="19"/>
        </w:rPr>
        <w:t xml:space="preserve">The OTC market, also known as the _______ [A] market, is a _______ [B] financial market where trading takes place directly between participants, typically over electronic networks or via telephone, without a _______ [C] exchange.</w:t>
      </w:r>
    </w:p>
    <w:p>
      <w:pPr>
        <w:spacing w:after="40" w:before="40"/>
        <w:ind w:left="400"/>
      </w:pPr>
      <w:r>
        <w:rPr>
          <w:rFonts w:ascii="Calibri" w:cs="Calibri" w:eastAsia="Calibri" w:hAnsi="Calibri"/>
          <w:color w:val="555555"/>
          <w:sz w:val="18"/>
          <w:szCs w:val="18"/>
        </w:rPr>
        <w:t xml:space="preserve">Dropdown A options: off-exchange / on-exchange / wholesale / primary</w:t>
      </w:r>
    </w:p>
    <w:p>
      <w:pPr>
        <w:spacing w:after="40" w:before="40"/>
        <w:ind w:left="400"/>
      </w:pPr>
      <w:r>
        <w:rPr>
          <w:rFonts w:ascii="Calibri" w:cs="Calibri" w:eastAsia="Calibri" w:hAnsi="Calibri"/>
          <w:color w:val="555555"/>
          <w:sz w:val="18"/>
          <w:szCs w:val="18"/>
        </w:rPr>
        <w:t xml:space="preserve">Dropdown B options: centralised / decentralised / regulated / exchange-based</w:t>
      </w:r>
    </w:p>
    <w:p>
      <w:pPr>
        <w:spacing w:after="40" w:before="40"/>
        <w:ind w:left="400"/>
      </w:pPr>
      <w:r>
        <w:rPr>
          <w:rFonts w:ascii="Calibri" w:cs="Calibri" w:eastAsia="Calibri" w:hAnsi="Calibri"/>
          <w:color w:val="555555"/>
          <w:sz w:val="18"/>
          <w:szCs w:val="18"/>
        </w:rPr>
        <w:t xml:space="preserve">Dropdown C options: bilateral / centralised / secondary / primary</w:t>
      </w:r>
    </w:p>
    <w:p>
      <w:pPr>
        <w:shd w:fill="E8F5E9" w:val="clear"/>
        <w:spacing w:after="100" w:before="100"/>
        <w:ind w:left="200"/>
      </w:pPr>
      <w:r>
        <w:rPr>
          <w:rFonts w:ascii="Calibri" w:cs="Calibri" w:eastAsia="Calibri" w:hAnsi="Calibri"/>
          <w:b/>
          <w:bCs/>
          <w:color w:val="1B5E20"/>
          <w:sz w:val="18"/>
          <w:szCs w:val="18"/>
        </w:rPr>
        <w:t xml:space="preserve">ANSWER: A = off-exchange | B = decentralised | C = centralised. Slide 19: "The OTC market, also known as the off-exchange market, is a decentralised financial market... not occur on a centralised exchange."</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Q16 | ISDA.4 | TABLE SELECTION</w:t>
      </w:r>
    </w:p>
    <w:p>
      <w:pPr>
        <w:spacing w:after="80" w:before="100"/>
        <w:ind w:left="200"/>
      </w:pPr>
      <w:r>
        <w:rPr>
          <w:rFonts w:ascii="Calibri" w:cs="Calibri" w:eastAsia="Calibri" w:hAnsi="Calibri"/>
          <w:b/>
          <w:bCs/>
          <w:color w:val="1A1A1A"/>
          <w:sz w:val="20"/>
          <w:szCs w:val="20"/>
        </w:rPr>
        <w:t xml:space="preserve">From the table below, select all OTC derivative products mentioned in the slides (Slide 22). Mark each row Y (Yes - mentioned) or N (Not mentioned):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5000"/>
            <w:shd w:fill="D4EFEF" w:val="clear"/>
          </w:tcPr>
          <w:p>
            <w:pPr>
              <w:jc w:val="center"/>
            </w:pPr>
            <w:r>
              <w:rPr>
                <w:rFonts w:ascii="Calibri" w:cs="Calibri" w:eastAsia="Calibri" w:hAnsi="Calibri"/>
                <w:b/>
                <w:bCs/>
                <w:color w:val="1E3A5F"/>
                <w:sz w:val="18"/>
                <w:szCs w:val="18"/>
              </w:rPr>
              <w:t xml:space="preserve">OTC Derivative Product</w:t>
            </w:r>
          </w:p>
        </w:tc>
        <w:tc>
          <w:tcPr>
            <w:tcW w:type="dxa" w:w="2800"/>
            <w:shd w:fill="D4EFEF" w:val="clear"/>
          </w:tcPr>
          <w:p>
            <w:pPr>
              <w:jc w:val="center"/>
            </w:pPr>
            <w:r>
              <w:rPr>
                <w:rFonts w:ascii="Calibri" w:cs="Calibri" w:eastAsia="Calibri" w:hAnsi="Calibri"/>
                <w:b/>
                <w:bCs/>
                <w:color w:val="1E3A5F"/>
                <w:sz w:val="18"/>
                <w:szCs w:val="18"/>
              </w:rPr>
              <w:t xml:space="preserve">Y / N (Mentioned in Slide 22)</w:t>
            </w:r>
          </w:p>
        </w:tc>
      </w:tr>
      <w:tr>
        <w:tc>
          <w:tcPr>
            <w:tcW w:type="dxa" w:w="5000"/>
            <w:shd w:fill="FFFFFF" w:val="clear"/>
            <w:vAlign w:val="top"/>
          </w:tcPr>
          <w:p>
            <w:r>
              <w:rPr>
                <w:rFonts w:ascii="Calibri" w:cs="Calibri" w:eastAsia="Calibri" w:hAnsi="Calibri"/>
                <w:sz w:val="17"/>
                <w:szCs w:val="17"/>
              </w:rPr>
              <w:t xml:space="preserve">Interest rate swaps</w:t>
            </w:r>
          </w:p>
        </w:tc>
        <w:tc>
          <w:tcPr>
            <w:tcW w:type="dxa" w:w="2800"/>
            <w:shd w:fill="FFFFFF" w:val="clear"/>
            <w:vAlign w:val="top"/>
          </w:tcPr>
          <w:p>
            <w:r>
              <w:rPr>
                <w:rFonts w:ascii="Calibri" w:cs="Calibri" w:eastAsia="Calibri" w:hAnsi="Calibri"/>
                <w:sz w:val="17"/>
                <w:szCs w:val="17"/>
              </w:rPr>
              <w:t xml:space="preserve">___</w:t>
            </w:r>
          </w:p>
        </w:tc>
      </w:tr>
      <w:tr>
        <w:tc>
          <w:tcPr>
            <w:tcW w:type="dxa" w:w="5000"/>
            <w:shd w:fill="F7F7F7" w:val="clear"/>
            <w:vAlign w:val="top"/>
          </w:tcPr>
          <w:p>
            <w:r>
              <w:rPr>
                <w:rFonts w:ascii="Calibri" w:cs="Calibri" w:eastAsia="Calibri" w:hAnsi="Calibri"/>
                <w:sz w:val="17"/>
                <w:szCs w:val="17"/>
              </w:rPr>
              <w:t xml:space="preserve">Exchange-traded futures</w:t>
            </w:r>
          </w:p>
        </w:tc>
        <w:tc>
          <w:tcPr>
            <w:tcW w:type="dxa" w:w="2800"/>
            <w:shd w:fill="F7F7F7" w:val="clear"/>
            <w:vAlign w:val="top"/>
          </w:tcPr>
          <w:p>
            <w:r>
              <w:rPr>
                <w:rFonts w:ascii="Calibri" w:cs="Calibri" w:eastAsia="Calibri" w:hAnsi="Calibri"/>
                <w:sz w:val="17"/>
                <w:szCs w:val="17"/>
              </w:rPr>
              <w:t xml:space="preserve">___</w:t>
            </w:r>
          </w:p>
        </w:tc>
      </w:tr>
      <w:tr>
        <w:tc>
          <w:tcPr>
            <w:tcW w:type="dxa" w:w="5000"/>
            <w:shd w:fill="FFFFFF" w:val="clear"/>
            <w:vAlign w:val="top"/>
          </w:tcPr>
          <w:p>
            <w:r>
              <w:rPr>
                <w:rFonts w:ascii="Calibri" w:cs="Calibri" w:eastAsia="Calibri" w:hAnsi="Calibri"/>
                <w:sz w:val="17"/>
                <w:szCs w:val="17"/>
              </w:rPr>
              <w:t xml:space="preserve">Credit default swaps</w:t>
            </w:r>
          </w:p>
        </w:tc>
        <w:tc>
          <w:tcPr>
            <w:tcW w:type="dxa" w:w="2800"/>
            <w:shd w:fill="FFFFFF" w:val="clear"/>
            <w:vAlign w:val="top"/>
          </w:tcPr>
          <w:p>
            <w:r>
              <w:rPr>
                <w:rFonts w:ascii="Calibri" w:cs="Calibri" w:eastAsia="Calibri" w:hAnsi="Calibri"/>
                <w:sz w:val="17"/>
                <w:szCs w:val="17"/>
              </w:rPr>
              <w:t xml:space="preserve">___</w:t>
            </w:r>
          </w:p>
        </w:tc>
      </w:tr>
      <w:tr>
        <w:tc>
          <w:tcPr>
            <w:tcW w:type="dxa" w:w="5000"/>
            <w:shd w:fill="F7F7F7" w:val="clear"/>
            <w:vAlign w:val="top"/>
          </w:tcPr>
          <w:p>
            <w:r>
              <w:rPr>
                <w:rFonts w:ascii="Calibri" w:cs="Calibri" w:eastAsia="Calibri" w:hAnsi="Calibri"/>
                <w:sz w:val="17"/>
                <w:szCs w:val="17"/>
              </w:rPr>
              <w:t xml:space="preserve">Forwards</w:t>
            </w:r>
          </w:p>
        </w:tc>
        <w:tc>
          <w:tcPr>
            <w:tcW w:type="dxa" w:w="2800"/>
            <w:shd w:fill="F7F7F7" w:val="clear"/>
            <w:vAlign w:val="top"/>
          </w:tcPr>
          <w:p>
            <w:r>
              <w:rPr>
                <w:rFonts w:ascii="Calibri" w:cs="Calibri" w:eastAsia="Calibri" w:hAnsi="Calibri"/>
                <w:sz w:val="17"/>
                <w:szCs w:val="17"/>
              </w:rPr>
              <w:t xml:space="preserve">___</w:t>
            </w:r>
          </w:p>
        </w:tc>
      </w:tr>
      <w:tr>
        <w:tc>
          <w:tcPr>
            <w:tcW w:type="dxa" w:w="5000"/>
            <w:shd w:fill="FFFFFF" w:val="clear"/>
            <w:vAlign w:val="top"/>
          </w:tcPr>
          <w:p>
            <w:r>
              <w:rPr>
                <w:rFonts w:ascii="Calibri" w:cs="Calibri" w:eastAsia="Calibri" w:hAnsi="Calibri"/>
                <w:sz w:val="17"/>
                <w:szCs w:val="17"/>
              </w:rPr>
              <w:t xml:space="preserve">Listed options on equity</w:t>
            </w:r>
          </w:p>
        </w:tc>
        <w:tc>
          <w:tcPr>
            <w:tcW w:type="dxa" w:w="2800"/>
            <w:shd w:fill="FFFFFF" w:val="clear"/>
            <w:vAlign w:val="top"/>
          </w:tcPr>
          <w:p>
            <w:r>
              <w:rPr>
                <w:rFonts w:ascii="Calibri" w:cs="Calibri" w:eastAsia="Calibri" w:hAnsi="Calibri"/>
                <w:sz w:val="17"/>
                <w:szCs w:val="17"/>
              </w:rPr>
              <w:t xml:space="preserve">___</w:t>
            </w:r>
          </w:p>
        </w:tc>
      </w:tr>
      <w:tr>
        <w:tc>
          <w:tcPr>
            <w:tcW w:type="dxa" w:w="5000"/>
            <w:shd w:fill="F7F7F7" w:val="clear"/>
            <w:vAlign w:val="top"/>
          </w:tcPr>
          <w:p>
            <w:r>
              <w:rPr>
                <w:rFonts w:ascii="Calibri" w:cs="Calibri" w:eastAsia="Calibri" w:hAnsi="Calibri"/>
                <w:sz w:val="17"/>
                <w:szCs w:val="17"/>
              </w:rPr>
              <w:t xml:space="preserve">Securities Lending and Borrowing (SLB)</w:t>
            </w:r>
          </w:p>
        </w:tc>
        <w:tc>
          <w:tcPr>
            <w:tcW w:type="dxa" w:w="2800"/>
            <w:shd w:fill="F7F7F7" w:val="clear"/>
            <w:vAlign w:val="top"/>
          </w:tcPr>
          <w:p>
            <w:r>
              <w:rPr>
                <w:rFonts w:ascii="Calibri" w:cs="Calibri" w:eastAsia="Calibri" w:hAnsi="Calibri"/>
                <w:sz w:val="17"/>
                <w:szCs w:val="17"/>
              </w:rPr>
              <w:t xml:space="preserve">___</w:t>
            </w:r>
          </w:p>
        </w:tc>
      </w:tr>
      <w:tr>
        <w:tc>
          <w:tcPr>
            <w:tcW w:type="dxa" w:w="5000"/>
            <w:shd w:fill="FFFFFF" w:val="clear"/>
            <w:vAlign w:val="top"/>
          </w:tcPr>
          <w:p>
            <w:r>
              <w:rPr>
                <w:rFonts w:ascii="Calibri" w:cs="Calibri" w:eastAsia="Calibri" w:hAnsi="Calibri"/>
                <w:sz w:val="17"/>
                <w:szCs w:val="17"/>
              </w:rPr>
              <w:t xml:space="preserve">Equity index futures</w:t>
            </w:r>
          </w:p>
        </w:tc>
        <w:tc>
          <w:tcPr>
            <w:tcW w:type="dxa" w:w="2800"/>
            <w:shd w:fill="FFFFFF" w:val="clear"/>
            <w:vAlign w:val="top"/>
          </w:tcPr>
          <w:p>
            <w:r>
              <w:rPr>
                <w:rFonts w:ascii="Calibri" w:cs="Calibri" w:eastAsia="Calibri" w:hAnsi="Calibri"/>
                <w:sz w:val="17"/>
                <w:szCs w:val="17"/>
              </w:rPr>
              <w:t xml:space="preserve">___</w:t>
            </w:r>
          </w:p>
        </w:tc>
      </w:tr>
    </w:tbl>
    <w:p>
      <w:pPr>
        <w:shd w:fill="E8F5E9" w:val="clear"/>
        <w:spacing w:after="100" w:before="100"/>
        <w:ind w:left="200"/>
      </w:pPr>
      <w:r>
        <w:rPr>
          <w:rFonts w:ascii="Calibri" w:cs="Calibri" w:eastAsia="Calibri" w:hAnsi="Calibri"/>
          <w:b/>
          <w:bCs/>
          <w:color w:val="1B5E20"/>
          <w:sz w:val="18"/>
          <w:szCs w:val="18"/>
        </w:rPr>
        <w:t xml:space="preserve">ANSWER: Y: Interest rate swaps, Credit default swaps, Forwards, SLB. N: Exchange-traded futures, Listed options on equity, Equity index futures. Slide 22: "OTC Derivatives Market - Many OTC derivative products, such as interest rate swaps, credit default swaps, forwards, SLB and options, are primarily traded in OTC markets."</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ISDA.5 | Key Players in OTC Markets</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Q17 | ISDA.5 | MCQ INLINE</w:t>
      </w:r>
    </w:p>
    <w:p>
      <w:pPr>
        <w:spacing w:after="80" w:before="100"/>
        <w:ind w:left="200"/>
      </w:pPr>
      <w:r>
        <w:rPr>
          <w:rFonts w:ascii="Calibri" w:cs="Calibri" w:eastAsia="Calibri" w:hAnsi="Calibri"/>
          <w:b/>
          <w:bCs/>
          <w:color w:val="1A1A1A"/>
          <w:sz w:val="20"/>
          <w:szCs w:val="20"/>
        </w:rPr>
        <w:t xml:space="preserve">According to Slide 25, which OTC market participants "facilitate trading by continuously quoting bid and ask prices for specific securities, helping to maintain liquidity"?</w:t>
      </w:r>
    </w:p>
    <w:p>
      <w:pPr>
        <w:spacing w:after="40" w:before="40"/>
        <w:ind w:left="400"/>
      </w:pPr>
      <w:r>
        <w:rPr>
          <w:rFonts w:ascii="Calibri" w:cs="Calibri" w:eastAsia="Calibri" w:hAnsi="Calibri"/>
          <w:color w:val="333333"/>
          <w:sz w:val="19"/>
          <w:szCs w:val="19"/>
        </w:rPr>
        <w:t xml:space="preserve">A. Custodians</w:t>
      </w:r>
    </w:p>
    <w:p>
      <w:pPr>
        <w:spacing w:after="40" w:before="40"/>
        <w:ind w:left="400"/>
      </w:pPr>
      <w:r>
        <w:rPr>
          <w:rFonts w:ascii="Calibri" w:cs="Calibri" w:eastAsia="Calibri" w:hAnsi="Calibri"/>
          <w:color w:val="333333"/>
          <w:sz w:val="19"/>
          <w:szCs w:val="19"/>
        </w:rPr>
        <w:t xml:space="preserve">B. Transfer Agents</w:t>
      </w:r>
    </w:p>
    <w:p>
      <w:pPr>
        <w:spacing w:after="40" w:before="40"/>
        <w:ind w:left="400"/>
      </w:pPr>
      <w:r>
        <w:rPr>
          <w:rFonts w:ascii="Calibri" w:cs="Calibri" w:eastAsia="Calibri" w:hAnsi="Calibri"/>
          <w:color w:val="1B5E20"/>
          <w:sz w:val="19"/>
          <w:szCs w:val="19"/>
        </w:rPr>
        <w:t xml:space="preserve">C. Market Makers</w:t>
      </w:r>
    </w:p>
    <w:p>
      <w:pPr>
        <w:spacing w:after="40" w:before="40"/>
        <w:ind w:left="400"/>
      </w:pPr>
      <w:r>
        <w:rPr>
          <w:rFonts w:ascii="Calibri" w:cs="Calibri" w:eastAsia="Calibri" w:hAnsi="Calibri"/>
          <w:color w:val="333333"/>
          <w:sz w:val="19"/>
          <w:szCs w:val="19"/>
        </w:rPr>
        <w:t xml:space="preserve">D. Credit Rating Agencies</w:t>
      </w:r>
    </w:p>
    <w:p>
      <w:pPr>
        <w:shd w:fill="E8F5E9" w:val="clear"/>
        <w:spacing w:after="100" w:before="100"/>
        <w:ind w:left="200"/>
      </w:pPr>
      <w:r>
        <w:rPr>
          <w:rFonts w:ascii="Calibri" w:cs="Calibri" w:eastAsia="Calibri" w:hAnsi="Calibri"/>
          <w:b/>
          <w:bCs/>
          <w:color w:val="1B5E20"/>
          <w:sz w:val="18"/>
          <w:szCs w:val="18"/>
        </w:rPr>
        <w:t xml:space="preserve">ANSWER: C. Market Makers. Slide 25: "Market Makers: Firms or individuals that facilitate trading by continuously quoting bid and ask prices for specific securities, helping to maintain liquidity."</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Q18 | ISDA.5 | TRUE/FALSE MULTI</w:t>
      </w:r>
    </w:p>
    <w:p>
      <w:pPr>
        <w:spacing w:after="80" w:before="100"/>
        <w:ind w:left="200"/>
      </w:pPr>
      <w:r>
        <w:rPr>
          <w:rFonts w:ascii="Calibri" w:cs="Calibri" w:eastAsia="Calibri" w:hAnsi="Calibri"/>
          <w:b/>
          <w:bCs/>
          <w:color w:val="1A1A1A"/>
          <w:sz w:val="20"/>
          <w:szCs w:val="20"/>
        </w:rPr>
        <w:t xml:space="preserve">Mark each statement TRUE or FALSE about OTC market participants (Slides 24-27):</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Broker-dealers may take proprietary positions in addition to acting as intermediaries.</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25: "They may also take proprietary positions."</w:t>
            </w:r>
          </w:p>
        </w:tc>
      </w:tr>
      <w:tr>
        <w:tc>
          <w:tcPr>
            <w:tcW w:type="dxa" w:w="4000"/>
            <w:shd w:fill="F7F7F7" w:val="clear"/>
            <w:vAlign w:val="top"/>
          </w:tcPr>
          <w:p>
            <w:r>
              <w:rPr>
                <w:rFonts w:ascii="Calibri" w:cs="Calibri" w:eastAsia="Calibri" w:hAnsi="Calibri"/>
                <w:sz w:val="17"/>
                <w:szCs w:val="17"/>
              </w:rPr>
              <w:t xml:space="preserve">Clearinghouses are particularly important in the OTC derivatives market for guaranteeing financial integrity.</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26: "Clearinghouses... ensuring that transactions are completed and guaranteeing their financial integrity. Clearinghouses are particularly important in the OTC derivatives market."</w:t>
            </w:r>
          </w:p>
        </w:tc>
      </w:tr>
      <w:tr>
        <w:tc>
          <w:tcPr>
            <w:tcW w:type="dxa" w:w="4000"/>
            <w:shd w:fill="FFFFFF" w:val="clear"/>
            <w:vAlign w:val="top"/>
          </w:tcPr>
          <w:p>
            <w:r>
              <w:rPr>
                <w:rFonts w:ascii="Calibri" w:cs="Calibri" w:eastAsia="Calibri" w:hAnsi="Calibri"/>
                <w:sz w:val="17"/>
                <w:szCs w:val="17"/>
              </w:rPr>
              <w:t xml:space="preserve">Institutional investors are categorised as sell-side participants in OTC markets.</w:t>
            </w:r>
          </w:p>
        </w:tc>
        <w:tc>
          <w:tcPr>
            <w:tcW w:type="dxa" w:w="800"/>
            <w:shd w:fill="FFFFFF" w:val="clear"/>
            <w:vAlign w:val="top"/>
          </w:tcPr>
          <w:p>
            <w:r>
              <w:rPr>
                <w:rFonts w:ascii="Calibri" w:cs="Calibri" w:eastAsia="Calibri" w:hAnsi="Calibri"/>
                <w:sz w:val="17"/>
                <w:szCs w:val="17"/>
              </w:rPr>
              <w:t xml:space="preserve">FALSE</w:t>
            </w:r>
          </w:p>
        </w:tc>
        <w:tc>
          <w:tcPr>
            <w:tcW w:type="dxa" w:w="3000"/>
            <w:shd w:fill="FFFFFF" w:val="clear"/>
            <w:vAlign w:val="top"/>
          </w:tcPr>
          <w:p>
            <w:r>
              <w:rPr>
                <w:rFonts w:ascii="Calibri" w:cs="Calibri" w:eastAsia="Calibri" w:hAnsi="Calibri"/>
                <w:sz w:val="17"/>
                <w:szCs w:val="17"/>
              </w:rPr>
              <w:t xml:space="preserve">Slide 24: Institutional investors are listed under Buy-Side Participants.</w:t>
            </w:r>
          </w:p>
        </w:tc>
      </w:tr>
      <w:tr>
        <w:tc>
          <w:tcPr>
            <w:tcW w:type="dxa" w:w="4000"/>
            <w:shd w:fill="F7F7F7" w:val="clear"/>
            <w:vAlign w:val="top"/>
          </w:tcPr>
          <w:p>
            <w:r>
              <w:rPr>
                <w:rFonts w:ascii="Calibri" w:cs="Calibri" w:eastAsia="Calibri" w:hAnsi="Calibri"/>
                <w:sz w:val="17"/>
                <w:szCs w:val="17"/>
              </w:rPr>
              <w:t xml:space="preserve">Credit rating agencies assess the creditworthiness of issuers and their securities.</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27: "Credit Rating Agencies: Entities that assess the creditworthiness of issuers and their securities."</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Q19 | ISDA.5 | MATCHING PAIRS</w:t>
      </w:r>
    </w:p>
    <w:p>
      <w:pPr>
        <w:spacing w:after="80" w:before="100"/>
        <w:ind w:left="200"/>
      </w:pPr>
      <w:r>
        <w:rPr>
          <w:rFonts w:ascii="Calibri" w:cs="Calibri" w:eastAsia="Calibri" w:hAnsi="Calibri"/>
          <w:b/>
          <w:bCs/>
          <w:color w:val="1A1A1A"/>
          <w:sz w:val="20"/>
          <w:szCs w:val="20"/>
        </w:rPr>
        <w:t xml:space="preserve">Match each OTC market participant category with its correct examples (Slides 24-27):</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1800"/>
            <w:shd w:fill="D4EFEF" w:val="clear"/>
          </w:tcPr>
          <w:p>
            <w:pPr>
              <w:jc w:val="center"/>
            </w:pPr>
            <w:r>
              <w:rPr>
                <w:rFonts w:ascii="Calibri" w:cs="Calibri" w:eastAsia="Calibri" w:hAnsi="Calibri"/>
                <w:b/>
                <w:bCs/>
                <w:color w:val="1E3A5F"/>
                <w:sz w:val="18"/>
                <w:szCs w:val="18"/>
              </w:rPr>
              <w:t xml:space="preserve">Category</w:t>
            </w:r>
          </w:p>
        </w:tc>
        <w:tc>
          <w:tcPr>
            <w:tcW w:type="dxa" w:w="600"/>
            <w:shd w:fill="D4EFEF" w:val="clear"/>
          </w:tcPr>
          <w:p>
            <w:pPr>
              <w:jc w:val="center"/>
            </w:pPr>
            <w:r>
              <w:rPr>
                <w:rFonts w:ascii="Calibri" w:cs="Calibri" w:eastAsia="Calibri" w:hAnsi="Calibri"/>
                <w:b/>
                <w:bCs/>
                <w:color w:val="1E3A5F"/>
                <w:sz w:val="18"/>
                <w:szCs w:val="18"/>
              </w:rPr>
              <w:t xml:space="preserve">Match</w:t>
            </w:r>
          </w:p>
        </w:tc>
        <w:tc>
          <w:tcPr>
            <w:tcW w:type="dxa" w:w="5400"/>
            <w:shd w:fill="D4EFEF" w:val="clear"/>
          </w:tcPr>
          <w:p>
            <w:pPr>
              <w:jc w:val="center"/>
            </w:pPr>
            <w:r>
              <w:rPr>
                <w:rFonts w:ascii="Calibri" w:cs="Calibri" w:eastAsia="Calibri" w:hAnsi="Calibri"/>
                <w:b/>
                <w:bCs/>
                <w:color w:val="1E3A5F"/>
                <w:sz w:val="18"/>
                <w:szCs w:val="18"/>
              </w:rPr>
              <w:t xml:space="preserve">Examples</w:t>
            </w:r>
          </w:p>
        </w:tc>
      </w:tr>
      <w:tr>
        <w:tc>
          <w:tcPr>
            <w:tcW w:type="dxa" w:w="1800"/>
            <w:shd w:fill="FFFFFF" w:val="clear"/>
            <w:vAlign w:val="top"/>
          </w:tcPr>
          <w:p>
            <w:r>
              <w:rPr>
                <w:rFonts w:ascii="Calibri" w:cs="Calibri" w:eastAsia="Calibri" w:hAnsi="Calibri"/>
                <w:sz w:val="17"/>
                <w:szCs w:val="17"/>
              </w:rPr>
              <w:t xml:space="preserve">Buy-Side</w:t>
            </w:r>
          </w:p>
        </w:tc>
        <w:tc>
          <w:tcPr>
            <w:tcW w:type="dxa" w:w="600"/>
            <w:shd w:fill="FFFFFF" w:val="clear"/>
            <w:vAlign w:val="top"/>
          </w:tcPr>
          <w:p>
            <w:r>
              <w:rPr>
                <w:rFonts w:ascii="Calibri" w:cs="Calibri" w:eastAsia="Calibri" w:hAnsi="Calibri"/>
                <w:sz w:val="17"/>
                <w:szCs w:val="17"/>
              </w:rPr>
              <w:t xml:space="preserve">___</w:t>
            </w:r>
          </w:p>
        </w:tc>
        <w:tc>
          <w:tcPr>
            <w:tcW w:type="dxa" w:w="5400"/>
            <w:shd w:fill="FFFFFF" w:val="clear"/>
            <w:vAlign w:val="top"/>
          </w:tcPr>
          <w:p>
            <w:r>
              <w:rPr>
                <w:rFonts w:ascii="Calibri" w:cs="Calibri" w:eastAsia="Calibri" w:hAnsi="Calibri"/>
                <w:sz w:val="17"/>
                <w:szCs w:val="17"/>
              </w:rPr>
              <w:t xml:space="preserve">A. Clearinghouses, Custodians, Transfer Agents</w:t>
            </w:r>
          </w:p>
        </w:tc>
      </w:tr>
      <w:tr>
        <w:tc>
          <w:tcPr>
            <w:tcW w:type="dxa" w:w="1800"/>
            <w:shd w:fill="F7F7F7" w:val="clear"/>
            <w:vAlign w:val="top"/>
          </w:tcPr>
          <w:p>
            <w:r>
              <w:rPr>
                <w:rFonts w:ascii="Calibri" w:cs="Calibri" w:eastAsia="Calibri" w:hAnsi="Calibri"/>
                <w:sz w:val="17"/>
                <w:szCs w:val="17"/>
              </w:rPr>
              <w:t xml:space="preserve">Sell-Side</w:t>
            </w:r>
          </w:p>
        </w:tc>
        <w:tc>
          <w:tcPr>
            <w:tcW w:type="dxa" w:w="600"/>
            <w:shd w:fill="F7F7F7" w:val="clear"/>
            <w:vAlign w:val="top"/>
          </w:tcPr>
          <w:p>
            <w:r>
              <w:rPr>
                <w:rFonts w:ascii="Calibri" w:cs="Calibri" w:eastAsia="Calibri" w:hAnsi="Calibri"/>
                <w:sz w:val="17"/>
                <w:szCs w:val="17"/>
              </w:rPr>
              <w:t xml:space="preserve">___</w:t>
            </w:r>
          </w:p>
        </w:tc>
        <w:tc>
          <w:tcPr>
            <w:tcW w:type="dxa" w:w="5400"/>
            <w:shd w:fill="F7F7F7" w:val="clear"/>
            <w:vAlign w:val="top"/>
          </w:tcPr>
          <w:p>
            <w:r>
              <w:rPr>
                <w:rFonts w:ascii="Calibri" w:cs="Calibri" w:eastAsia="Calibri" w:hAnsi="Calibri"/>
                <w:sz w:val="17"/>
                <w:szCs w:val="17"/>
              </w:rPr>
              <w:t xml:space="preserve">B. Mutual funds, pension funds, insurance companies, retail investors</w:t>
            </w:r>
          </w:p>
        </w:tc>
      </w:tr>
      <w:tr>
        <w:tc>
          <w:tcPr>
            <w:tcW w:type="dxa" w:w="1800"/>
            <w:shd w:fill="FFFFFF" w:val="clear"/>
            <w:vAlign w:val="top"/>
          </w:tcPr>
          <w:p>
            <w:r>
              <w:rPr>
                <w:rFonts w:ascii="Calibri" w:cs="Calibri" w:eastAsia="Calibri" w:hAnsi="Calibri"/>
                <w:sz w:val="17"/>
                <w:szCs w:val="17"/>
              </w:rPr>
              <w:t xml:space="preserve">Intermediaries</w:t>
            </w:r>
          </w:p>
        </w:tc>
        <w:tc>
          <w:tcPr>
            <w:tcW w:type="dxa" w:w="600"/>
            <w:shd w:fill="FFFFFF" w:val="clear"/>
            <w:vAlign w:val="top"/>
          </w:tcPr>
          <w:p>
            <w:r>
              <w:rPr>
                <w:rFonts w:ascii="Calibri" w:cs="Calibri" w:eastAsia="Calibri" w:hAnsi="Calibri"/>
                <w:sz w:val="17"/>
                <w:szCs w:val="17"/>
              </w:rPr>
              <w:t xml:space="preserve">___</w:t>
            </w:r>
          </w:p>
        </w:tc>
        <w:tc>
          <w:tcPr>
            <w:tcW w:type="dxa" w:w="5400"/>
            <w:shd w:fill="FFFFFF" w:val="clear"/>
            <w:vAlign w:val="top"/>
          </w:tcPr>
          <w:p>
            <w:r>
              <w:rPr>
                <w:rFonts w:ascii="Calibri" w:cs="Calibri" w:eastAsia="Calibri" w:hAnsi="Calibri"/>
                <w:sz w:val="17"/>
                <w:szCs w:val="17"/>
              </w:rPr>
              <w:t xml:space="preserve">C. Hedge funds and asset managers trading to implement investment strategies</w:t>
            </w:r>
          </w:p>
        </w:tc>
      </w:tr>
      <w:tr>
        <w:tc>
          <w:tcPr>
            <w:tcW w:type="dxa" w:w="1800"/>
            <w:shd w:fill="F7F7F7" w:val="clear"/>
            <w:vAlign w:val="top"/>
          </w:tcPr>
          <w:p>
            <w:r>
              <w:rPr>
                <w:rFonts w:ascii="Calibri" w:cs="Calibri" w:eastAsia="Calibri" w:hAnsi="Calibri"/>
                <w:sz w:val="17"/>
                <w:szCs w:val="17"/>
              </w:rPr>
              <w:t xml:space="preserve">Other Specialists</w:t>
            </w:r>
          </w:p>
        </w:tc>
        <w:tc>
          <w:tcPr>
            <w:tcW w:type="dxa" w:w="600"/>
            <w:shd w:fill="F7F7F7" w:val="clear"/>
            <w:vAlign w:val="top"/>
          </w:tcPr>
          <w:p>
            <w:r>
              <w:rPr>
                <w:rFonts w:ascii="Calibri" w:cs="Calibri" w:eastAsia="Calibri" w:hAnsi="Calibri"/>
                <w:sz w:val="17"/>
                <w:szCs w:val="17"/>
              </w:rPr>
              <w:t xml:space="preserve">___</w:t>
            </w:r>
          </w:p>
        </w:tc>
        <w:tc>
          <w:tcPr>
            <w:tcW w:type="dxa" w:w="5400"/>
            <w:shd w:fill="F7F7F7" w:val="clear"/>
            <w:vAlign w:val="top"/>
          </w:tcPr>
          <w:p>
            <w:r>
              <w:rPr>
                <w:rFonts w:ascii="Calibri" w:cs="Calibri" w:eastAsia="Calibri" w:hAnsi="Calibri"/>
                <w:sz w:val="17"/>
                <w:szCs w:val="17"/>
              </w:rPr>
              <w:t xml:space="preserve">D. Broker-dealers, Market Makers, Investment Banks, Trading Desks, OTC Trading Platforms</w:t>
            </w:r>
          </w:p>
        </w:tc>
      </w:tr>
    </w:tbl>
    <w:p>
      <w:pPr>
        <w:shd w:fill="E8F5E9" w:val="clear"/>
        <w:spacing w:after="100" w:before="100"/>
        <w:ind w:left="200"/>
      </w:pPr>
      <w:r>
        <w:rPr>
          <w:rFonts w:ascii="Calibri" w:cs="Calibri" w:eastAsia="Calibri" w:hAnsi="Calibri"/>
          <w:b/>
          <w:bCs/>
          <w:color w:val="1B5E20"/>
          <w:sz w:val="18"/>
          <w:szCs w:val="18"/>
        </w:rPr>
        <w:t xml:space="preserve">ANSWER: Buy-Side=B | Sell-Side=D | Intermediaries=A | Other Specialists=C. Source: Slides 24-27.</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Q20 | ISDA.5 | GAP FILL DROPDOWN</w:t>
      </w:r>
    </w:p>
    <w:p>
      <w:pPr>
        <w:spacing w:after="80" w:before="100"/>
        <w:ind w:left="200"/>
      </w:pPr>
      <w:r>
        <w:rPr>
          <w:rFonts w:ascii="Calibri" w:cs="Calibri" w:eastAsia="Calibri" w:hAnsi="Calibri"/>
          <w:b/>
          <w:bCs/>
          <w:color w:val="1A1A1A"/>
          <w:sz w:val="20"/>
          <w:szCs w:val="20"/>
        </w:rPr>
        <w:t xml:space="preserve">Complete the sentence about custodians:</w:t>
      </w:r>
    </w:p>
    <w:p>
      <w:pPr>
        <w:spacing w:after="80" w:before="80"/>
        <w:ind w:left="200"/>
      </w:pPr>
      <w:r>
        <w:rPr>
          <w:rFonts w:ascii="Calibri" w:cs="Calibri" w:eastAsia="Calibri" w:hAnsi="Calibri"/>
          <w:i/>
          <w:iCs/>
          <w:sz w:val="19"/>
          <w:szCs w:val="19"/>
        </w:rPr>
        <w:t xml:space="preserve">Custodians are institutions that _______ [A] and _______ [B] financial assets for clients. They may also provide services related to _______ [C] and record-keeping.</w:t>
      </w:r>
    </w:p>
    <w:p>
      <w:pPr>
        <w:spacing w:after="40" w:before="40"/>
        <w:ind w:left="400"/>
      </w:pPr>
      <w:r>
        <w:rPr>
          <w:rFonts w:ascii="Calibri" w:cs="Calibri" w:eastAsia="Calibri" w:hAnsi="Calibri"/>
          <w:color w:val="555555"/>
          <w:sz w:val="18"/>
          <w:szCs w:val="18"/>
        </w:rPr>
        <w:t xml:space="preserve">Dropdown A options: trade / hold / issue / value</w:t>
      </w:r>
    </w:p>
    <w:p>
      <w:pPr>
        <w:spacing w:after="40" w:before="40"/>
        <w:ind w:left="400"/>
      </w:pPr>
      <w:r>
        <w:rPr>
          <w:rFonts w:ascii="Calibri" w:cs="Calibri" w:eastAsia="Calibri" w:hAnsi="Calibri"/>
          <w:color w:val="555555"/>
          <w:sz w:val="18"/>
          <w:szCs w:val="18"/>
        </w:rPr>
        <w:t xml:space="preserve">Dropdown B options: safeguard / trade / price / report</w:t>
      </w:r>
    </w:p>
    <w:p>
      <w:pPr>
        <w:spacing w:after="40" w:before="40"/>
        <w:ind w:left="400"/>
      </w:pPr>
      <w:r>
        <w:rPr>
          <w:rFonts w:ascii="Calibri" w:cs="Calibri" w:eastAsia="Calibri" w:hAnsi="Calibri"/>
          <w:color w:val="555555"/>
          <w:sz w:val="18"/>
          <w:szCs w:val="18"/>
        </w:rPr>
        <w:t xml:space="preserve">Dropdown C options: execution / settlement / negotiation / origination</w:t>
      </w:r>
    </w:p>
    <w:p>
      <w:pPr>
        <w:shd w:fill="E8F5E9" w:val="clear"/>
        <w:spacing w:after="100" w:before="100"/>
        <w:ind w:left="200"/>
      </w:pPr>
      <w:r>
        <w:rPr>
          <w:rFonts w:ascii="Calibri" w:cs="Calibri" w:eastAsia="Calibri" w:hAnsi="Calibri"/>
          <w:b/>
          <w:bCs/>
          <w:color w:val="1B5E20"/>
          <w:sz w:val="18"/>
          <w:szCs w:val="18"/>
        </w:rPr>
        <w:t xml:space="preserve">ANSWER: A = hold | B = safeguard | C = settlement. Slide 26: "Custodians: Institutions that hold and safeguard financial assets for clients. They may also provide services related to settlement and record-keeping."</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ISDA.6 | OTC Trade Life Cycle - Overview &amp; Initiation</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Q21 | ISDA.6 | MCQ INLINE</w:t>
      </w:r>
    </w:p>
    <w:p>
      <w:pPr>
        <w:spacing w:after="80" w:before="100"/>
        <w:ind w:left="200"/>
      </w:pPr>
      <w:r>
        <w:rPr>
          <w:rFonts w:ascii="Calibri" w:cs="Calibri" w:eastAsia="Calibri" w:hAnsi="Calibri"/>
          <w:b/>
          <w:bCs/>
          <w:color w:val="1A1A1A"/>
          <w:sz w:val="20"/>
          <w:szCs w:val="20"/>
        </w:rPr>
        <w:t xml:space="preserve">According to Slide 29, which of the following is a Middle Office activity in the OTC Trade Life Cycle?</w:t>
      </w:r>
    </w:p>
    <w:p>
      <w:pPr>
        <w:spacing w:after="40" w:before="40"/>
        <w:ind w:left="400"/>
      </w:pPr>
      <w:r>
        <w:rPr>
          <w:rFonts w:ascii="Calibri" w:cs="Calibri" w:eastAsia="Calibri" w:hAnsi="Calibri"/>
          <w:color w:val="333333"/>
          <w:sz w:val="19"/>
          <w:szCs w:val="19"/>
        </w:rPr>
        <w:t xml:space="preserve">A. Trade Execution</w:t>
      </w:r>
    </w:p>
    <w:p>
      <w:pPr>
        <w:spacing w:after="40" w:before="40"/>
        <w:ind w:left="400"/>
      </w:pPr>
      <w:r>
        <w:rPr>
          <w:rFonts w:ascii="Calibri" w:cs="Calibri" w:eastAsia="Calibri" w:hAnsi="Calibri"/>
          <w:color w:val="333333"/>
          <w:sz w:val="19"/>
          <w:szCs w:val="19"/>
        </w:rPr>
        <w:t xml:space="preserve">B. Trade Enrichment</w:t>
      </w:r>
    </w:p>
    <w:p>
      <w:pPr>
        <w:spacing w:after="40" w:before="40"/>
        <w:ind w:left="400"/>
      </w:pPr>
      <w:r>
        <w:rPr>
          <w:rFonts w:ascii="Calibri" w:cs="Calibri" w:eastAsia="Calibri" w:hAnsi="Calibri"/>
          <w:color w:val="1B5E20"/>
          <w:sz w:val="19"/>
          <w:szCs w:val="19"/>
        </w:rPr>
        <w:t xml:space="preserve">C. Trade Verification</w:t>
      </w:r>
    </w:p>
    <w:p>
      <w:pPr>
        <w:spacing w:after="40" w:before="40"/>
        <w:ind w:left="400"/>
      </w:pPr>
      <w:r>
        <w:rPr>
          <w:rFonts w:ascii="Calibri" w:cs="Calibri" w:eastAsia="Calibri" w:hAnsi="Calibri"/>
          <w:color w:val="333333"/>
          <w:sz w:val="19"/>
          <w:szCs w:val="19"/>
        </w:rPr>
        <w:t xml:space="preserve">D. Trade Settlement</w:t>
      </w:r>
    </w:p>
    <w:p>
      <w:pPr>
        <w:shd w:fill="E8F5E9" w:val="clear"/>
        <w:spacing w:after="100" w:before="100"/>
        <w:ind w:left="200"/>
      </w:pPr>
      <w:r>
        <w:rPr>
          <w:rFonts w:ascii="Calibri" w:cs="Calibri" w:eastAsia="Calibri" w:hAnsi="Calibri"/>
          <w:b/>
          <w:bCs/>
          <w:color w:val="1B5E20"/>
          <w:sz w:val="18"/>
          <w:szCs w:val="18"/>
        </w:rPr>
        <w:t xml:space="preserve">ANSWER: C. Trade Verification. Slide 29: Middle Office includes "Trade Validation, Trade Verification, Trade Affirmation/Confirmation." Trade Execution and Enrichment are Front Office; Trade Settlement is Operations.</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Q22 | ISDA.6 | TRUE/FALSE MULTI</w:t>
      </w:r>
    </w:p>
    <w:p>
      <w:pPr>
        <w:spacing w:after="80" w:before="100"/>
        <w:ind w:left="200"/>
      </w:pPr>
      <w:r>
        <w:rPr>
          <w:rFonts w:ascii="Calibri" w:cs="Calibri" w:eastAsia="Calibri" w:hAnsi="Calibri"/>
          <w:b/>
          <w:bCs/>
          <w:color w:val="1A1A1A"/>
          <w:sz w:val="20"/>
          <w:szCs w:val="20"/>
        </w:rPr>
        <w:t xml:space="preserve">Mark each statement TRUE or FALSE about Trade Initiation in OTC derivatives (Slide 30):</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Trade initiation in OTC is highly customised and involves a discussion about client requirements and trade structure.</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30: "it is highly customized. A discussion about the client requirement and trade structure takes place."</w:t>
            </w:r>
          </w:p>
        </w:tc>
      </w:tr>
      <w:tr>
        <w:tc>
          <w:tcPr>
            <w:tcW w:type="dxa" w:w="4000"/>
            <w:shd w:fill="F7F7F7" w:val="clear"/>
            <w:vAlign w:val="top"/>
          </w:tcPr>
          <w:p>
            <w:r>
              <w:rPr>
                <w:rFonts w:ascii="Calibri" w:cs="Calibri" w:eastAsia="Calibri" w:hAnsi="Calibri"/>
                <w:sz w:val="17"/>
                <w:szCs w:val="17"/>
              </w:rPr>
              <w:t xml:space="preserve">The KYC Team is involved in trade initiation to onboard the client.</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30: "KYC Team - to onboard the client."</w:t>
            </w:r>
          </w:p>
        </w:tc>
      </w:tr>
      <w:tr>
        <w:tc>
          <w:tcPr>
            <w:tcW w:type="dxa" w:w="4000"/>
            <w:shd w:fill="FFFFFF" w:val="clear"/>
            <w:vAlign w:val="top"/>
          </w:tcPr>
          <w:p>
            <w:r>
              <w:rPr>
                <w:rFonts w:ascii="Calibri" w:cs="Calibri" w:eastAsia="Calibri" w:hAnsi="Calibri"/>
                <w:sz w:val="17"/>
                <w:szCs w:val="17"/>
              </w:rPr>
              <w:t xml:space="preserve">Trade initiation only involves the Front Office trader; no other teams are required.</w:t>
            </w:r>
          </w:p>
        </w:tc>
        <w:tc>
          <w:tcPr>
            <w:tcW w:type="dxa" w:w="800"/>
            <w:shd w:fill="FFFFFF" w:val="clear"/>
            <w:vAlign w:val="top"/>
          </w:tcPr>
          <w:p>
            <w:r>
              <w:rPr>
                <w:rFonts w:ascii="Calibri" w:cs="Calibri" w:eastAsia="Calibri" w:hAnsi="Calibri"/>
                <w:sz w:val="17"/>
                <w:szCs w:val="17"/>
              </w:rPr>
              <w:t xml:space="preserve">FALSE</w:t>
            </w:r>
          </w:p>
        </w:tc>
        <w:tc>
          <w:tcPr>
            <w:tcW w:type="dxa" w:w="3000"/>
            <w:shd w:fill="FFFFFF" w:val="clear"/>
            <w:vAlign w:val="top"/>
          </w:tcPr>
          <w:p>
            <w:r>
              <w:rPr>
                <w:rFonts w:ascii="Calibri" w:cs="Calibri" w:eastAsia="Calibri" w:hAnsi="Calibri"/>
                <w:sz w:val="17"/>
                <w:szCs w:val="17"/>
              </w:rPr>
              <w:t xml:space="preserve">Slide 30 lists Legal and Compliance, Operations, KYC, RDM, and Risk Management teams as all involved in trade initiation.</w:t>
            </w:r>
          </w:p>
        </w:tc>
      </w:tr>
      <w:tr>
        <w:tc>
          <w:tcPr>
            <w:tcW w:type="dxa" w:w="4000"/>
            <w:shd w:fill="F7F7F7" w:val="clear"/>
            <w:vAlign w:val="top"/>
          </w:tcPr>
          <w:p>
            <w:r>
              <w:rPr>
                <w:rFonts w:ascii="Calibri" w:cs="Calibri" w:eastAsia="Calibri" w:hAnsi="Calibri"/>
                <w:sz w:val="17"/>
                <w:szCs w:val="17"/>
              </w:rPr>
              <w:t xml:space="preserve">The Risk Management Team identifies market risk and credit risk in the deal during initiation.</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30: "Risk Management Team - to identify the market risk, and credit risk involved in such deals."</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Q23 | ISDA.6 | MATCHING PAIRS</w:t>
      </w:r>
    </w:p>
    <w:p>
      <w:pPr>
        <w:spacing w:after="80" w:before="100"/>
        <w:ind w:left="200"/>
      </w:pPr>
      <w:r>
        <w:rPr>
          <w:rFonts w:ascii="Calibri" w:cs="Calibri" w:eastAsia="Calibri" w:hAnsi="Calibri"/>
          <w:b/>
          <w:bCs/>
          <w:color w:val="1A1A1A"/>
          <w:sz w:val="20"/>
          <w:szCs w:val="20"/>
        </w:rPr>
        <w:t xml:space="preserve">Match each OTC Trade Life Cycle stage with its correct office layer (Slide 29):</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3000"/>
            <w:shd w:fill="D4EFEF" w:val="clear"/>
          </w:tcPr>
          <w:p>
            <w:pPr>
              <w:jc w:val="center"/>
            </w:pPr>
            <w:r>
              <w:rPr>
                <w:rFonts w:ascii="Calibri" w:cs="Calibri" w:eastAsia="Calibri" w:hAnsi="Calibri"/>
                <w:b/>
                <w:bCs/>
                <w:color w:val="1E3A5F"/>
                <w:sz w:val="18"/>
                <w:szCs w:val="18"/>
              </w:rPr>
              <w:t xml:space="preserve">TLC Stage</w:t>
            </w:r>
          </w:p>
        </w:tc>
        <w:tc>
          <w:tcPr>
            <w:tcW w:type="dxa" w:w="1200"/>
            <w:shd w:fill="D4EFEF" w:val="clear"/>
          </w:tcPr>
          <w:p>
            <w:pPr>
              <w:jc w:val="center"/>
            </w:pPr>
            <w:r>
              <w:rPr>
                <w:rFonts w:ascii="Calibri" w:cs="Calibri" w:eastAsia="Calibri" w:hAnsi="Calibri"/>
                <w:b/>
                <w:bCs/>
                <w:color w:val="1E3A5F"/>
                <w:sz w:val="18"/>
                <w:szCs w:val="18"/>
              </w:rPr>
              <w:t xml:space="preserve">Match (A/B/C)</w:t>
            </w:r>
          </w:p>
        </w:tc>
        <w:tc>
          <w:tcPr>
            <w:tcW w:type="dxa" w:w="3600"/>
            <w:shd w:fill="D4EFEF" w:val="clear"/>
          </w:tcPr>
          <w:p>
            <w:pPr>
              <w:jc w:val="center"/>
            </w:pPr>
            <w:r>
              <w:rPr>
                <w:rFonts w:ascii="Calibri" w:cs="Calibri" w:eastAsia="Calibri" w:hAnsi="Calibri"/>
                <w:b/>
                <w:bCs/>
                <w:color w:val="1E3A5F"/>
                <w:sz w:val="18"/>
                <w:szCs w:val="18"/>
              </w:rPr>
              <w:t xml:space="preserve">Office Layer</w:t>
            </w:r>
          </w:p>
        </w:tc>
      </w:tr>
      <w:tr>
        <w:tc>
          <w:tcPr>
            <w:tcW w:type="dxa" w:w="3000"/>
            <w:shd w:fill="FFFFFF" w:val="clear"/>
            <w:vAlign w:val="top"/>
          </w:tcPr>
          <w:p>
            <w:r>
              <w:rPr>
                <w:rFonts w:ascii="Calibri" w:cs="Calibri" w:eastAsia="Calibri" w:hAnsi="Calibri"/>
                <w:sz w:val="17"/>
                <w:szCs w:val="17"/>
              </w:rPr>
              <w:t xml:space="preserve">Trade Initiation</w:t>
            </w:r>
          </w:p>
        </w:tc>
        <w:tc>
          <w:tcPr>
            <w:tcW w:type="dxa" w:w="1200"/>
            <w:shd w:fill="FFFFFF" w:val="clear"/>
            <w:vAlign w:val="top"/>
          </w:tcPr>
          <w:p>
            <w:r>
              <w:rPr>
                <w:rFonts w:ascii="Calibri" w:cs="Calibri" w:eastAsia="Calibri" w:hAnsi="Calibri"/>
                <w:sz w:val="17"/>
                <w:szCs w:val="17"/>
              </w:rPr>
              <w:t xml:space="preserve">___</w:t>
            </w:r>
          </w:p>
        </w:tc>
        <w:tc>
          <w:tcPr>
            <w:tcW w:type="dxa" w:w="3600"/>
            <w:shd w:fill="FFFFFF" w:val="clear"/>
            <w:vAlign w:val="top"/>
          </w:tcPr>
          <w:p>
            <w:r>
              <w:rPr>
                <w:rFonts w:ascii="Calibri" w:cs="Calibri" w:eastAsia="Calibri" w:hAnsi="Calibri"/>
                <w:sz w:val="17"/>
                <w:szCs w:val="17"/>
              </w:rPr>
              <w:t xml:space="preserve">A. Operations</w:t>
            </w:r>
          </w:p>
        </w:tc>
      </w:tr>
      <w:tr>
        <w:tc>
          <w:tcPr>
            <w:tcW w:type="dxa" w:w="3000"/>
            <w:shd w:fill="F7F7F7" w:val="clear"/>
            <w:vAlign w:val="top"/>
          </w:tcPr>
          <w:p>
            <w:r>
              <w:rPr>
                <w:rFonts w:ascii="Calibri" w:cs="Calibri" w:eastAsia="Calibri" w:hAnsi="Calibri"/>
                <w:sz w:val="17"/>
                <w:szCs w:val="17"/>
              </w:rPr>
              <w:t xml:space="preserve">Trade Validation</w:t>
            </w:r>
          </w:p>
        </w:tc>
        <w:tc>
          <w:tcPr>
            <w:tcW w:type="dxa" w:w="1200"/>
            <w:shd w:fill="F7F7F7" w:val="clear"/>
            <w:vAlign w:val="top"/>
          </w:tcPr>
          <w:p>
            <w:r>
              <w:rPr>
                <w:rFonts w:ascii="Calibri" w:cs="Calibri" w:eastAsia="Calibri" w:hAnsi="Calibri"/>
                <w:sz w:val="17"/>
                <w:szCs w:val="17"/>
              </w:rPr>
              <w:t xml:space="preserve">___</w:t>
            </w:r>
          </w:p>
        </w:tc>
        <w:tc>
          <w:tcPr>
            <w:tcW w:type="dxa" w:w="3600"/>
            <w:shd w:fill="F7F7F7" w:val="clear"/>
            <w:vAlign w:val="top"/>
          </w:tcPr>
          <w:p>
            <w:r>
              <w:rPr>
                <w:rFonts w:ascii="Calibri" w:cs="Calibri" w:eastAsia="Calibri" w:hAnsi="Calibri"/>
                <w:sz w:val="17"/>
                <w:szCs w:val="17"/>
              </w:rPr>
              <w:t xml:space="preserve">B. Front Office</w:t>
            </w:r>
          </w:p>
        </w:tc>
      </w:tr>
      <w:tr>
        <w:tc>
          <w:tcPr>
            <w:tcW w:type="dxa" w:w="3000"/>
            <w:shd w:fill="FFFFFF" w:val="clear"/>
            <w:vAlign w:val="top"/>
          </w:tcPr>
          <w:p>
            <w:r>
              <w:rPr>
                <w:rFonts w:ascii="Calibri" w:cs="Calibri" w:eastAsia="Calibri" w:hAnsi="Calibri"/>
                <w:sz w:val="17"/>
                <w:szCs w:val="17"/>
              </w:rPr>
              <w:t xml:space="preserve">Trade Settlement</w:t>
            </w:r>
          </w:p>
        </w:tc>
        <w:tc>
          <w:tcPr>
            <w:tcW w:type="dxa" w:w="1200"/>
            <w:shd w:fill="FFFFFF" w:val="clear"/>
            <w:vAlign w:val="top"/>
          </w:tcPr>
          <w:p>
            <w:r>
              <w:rPr>
                <w:rFonts w:ascii="Calibri" w:cs="Calibri" w:eastAsia="Calibri" w:hAnsi="Calibri"/>
                <w:sz w:val="17"/>
                <w:szCs w:val="17"/>
              </w:rPr>
              <w:t xml:space="preserve">___</w:t>
            </w:r>
          </w:p>
        </w:tc>
        <w:tc>
          <w:tcPr>
            <w:tcW w:type="dxa" w:w="3600"/>
            <w:shd w:fill="FFFFFF" w:val="clear"/>
            <w:vAlign w:val="top"/>
          </w:tcPr>
          <w:p>
            <w:r>
              <w:rPr>
                <w:rFonts w:ascii="Calibri" w:cs="Calibri" w:eastAsia="Calibri" w:hAnsi="Calibri"/>
                <w:sz w:val="17"/>
                <w:szCs w:val="17"/>
              </w:rPr>
              <w:t xml:space="preserve">C. Middle Office</w:t>
            </w:r>
          </w:p>
        </w:tc>
      </w:tr>
      <w:tr>
        <w:tc>
          <w:tcPr>
            <w:tcW w:type="dxa" w:w="3000"/>
            <w:shd w:fill="F7F7F7" w:val="clear"/>
            <w:vAlign w:val="top"/>
          </w:tcPr>
          <w:p>
            <w:r>
              <w:rPr>
                <w:rFonts w:ascii="Calibri" w:cs="Calibri" w:eastAsia="Calibri" w:hAnsi="Calibri"/>
                <w:sz w:val="17"/>
                <w:szCs w:val="17"/>
              </w:rPr>
              <w:t xml:space="preserve">Trade Enrichment</w:t>
            </w:r>
          </w:p>
        </w:tc>
        <w:tc>
          <w:tcPr>
            <w:tcW w:type="dxa" w:w="1200"/>
            <w:shd w:fill="F7F7F7" w:val="clear"/>
            <w:vAlign w:val="top"/>
          </w:tcPr>
          <w:p>
            <w:r>
              <w:rPr>
                <w:rFonts w:ascii="Calibri" w:cs="Calibri" w:eastAsia="Calibri" w:hAnsi="Calibri"/>
                <w:sz w:val="17"/>
                <w:szCs w:val="17"/>
              </w:rPr>
              <w:t xml:space="preserve">___</w:t>
            </w:r>
          </w:p>
        </w:tc>
        <w:tc>
          <w:tcPr>
            <w:tcW w:type="dxa" w:w="3600"/>
            <w:shd w:fill="F7F7F7" w:val="clear"/>
            <w:vAlign w:val="top"/>
          </w:tcPr>
          <w:p>
            <w:r>
              <w:rPr>
                <w:rFonts w:ascii="Calibri" w:cs="Calibri" w:eastAsia="Calibri" w:hAnsi="Calibri"/>
                <w:sz w:val="17"/>
                <w:szCs w:val="17"/>
              </w:rPr>
              <w:t xml:space="preserve"/>
            </w:r>
          </w:p>
        </w:tc>
      </w:tr>
      <w:tr>
        <w:tc>
          <w:tcPr>
            <w:tcW w:type="dxa" w:w="3000"/>
            <w:shd w:fill="FFFFFF" w:val="clear"/>
            <w:vAlign w:val="top"/>
          </w:tcPr>
          <w:p>
            <w:r>
              <w:rPr>
                <w:rFonts w:ascii="Calibri" w:cs="Calibri" w:eastAsia="Calibri" w:hAnsi="Calibri"/>
                <w:sz w:val="17"/>
                <w:szCs w:val="17"/>
              </w:rPr>
              <w:t xml:space="preserve">Trade Affirmation / Confirmation</w:t>
            </w:r>
          </w:p>
        </w:tc>
        <w:tc>
          <w:tcPr>
            <w:tcW w:type="dxa" w:w="1200"/>
            <w:shd w:fill="FFFFFF" w:val="clear"/>
            <w:vAlign w:val="top"/>
          </w:tcPr>
          <w:p>
            <w:r>
              <w:rPr>
                <w:rFonts w:ascii="Calibri" w:cs="Calibri" w:eastAsia="Calibri" w:hAnsi="Calibri"/>
                <w:sz w:val="17"/>
                <w:szCs w:val="17"/>
              </w:rPr>
              <w:t xml:space="preserve">___</w:t>
            </w:r>
          </w:p>
        </w:tc>
        <w:tc>
          <w:tcPr>
            <w:tcW w:type="dxa" w:w="3600"/>
            <w:shd w:fill="FFFFFF" w:val="clear"/>
            <w:vAlign w:val="top"/>
          </w:tcPr>
          <w:p>
            <w:r>
              <w:rPr>
                <w:rFonts w:ascii="Calibri" w:cs="Calibri" w:eastAsia="Calibri" w:hAnsi="Calibri"/>
                <w:sz w:val="17"/>
                <w:szCs w:val="17"/>
              </w:rPr>
              <w:t xml:space="preserve"/>
            </w:r>
          </w:p>
        </w:tc>
      </w:tr>
    </w:tbl>
    <w:p>
      <w:pPr>
        <w:shd w:fill="E8F5E9" w:val="clear"/>
        <w:spacing w:after="100" w:before="100"/>
        <w:ind w:left="200"/>
      </w:pPr>
      <w:r>
        <w:rPr>
          <w:rFonts w:ascii="Calibri" w:cs="Calibri" w:eastAsia="Calibri" w:hAnsi="Calibri"/>
          <w:b/>
          <w:bCs/>
          <w:color w:val="1B5E20"/>
          <w:sz w:val="18"/>
          <w:szCs w:val="18"/>
        </w:rPr>
        <w:t xml:space="preserve">ANSWER: Trade Initiation=B | Trade Validation=C | Trade Settlement=A | Trade Enrichment=B | Trade Affirmation/Confirmation=C. Source: Slide 29.</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Q24 | ISDA.6 | GAP FILL DROPDOWN</w:t>
      </w:r>
    </w:p>
    <w:p>
      <w:pPr>
        <w:spacing w:after="80" w:before="100"/>
        <w:ind w:left="200"/>
      </w:pPr>
      <w:r>
        <w:rPr>
          <w:rFonts w:ascii="Calibri" w:cs="Calibri" w:eastAsia="Calibri" w:hAnsi="Calibri"/>
          <w:b/>
          <w:bCs/>
          <w:color w:val="1A1A1A"/>
          <w:sz w:val="20"/>
          <w:szCs w:val="20"/>
        </w:rPr>
        <w:t xml:space="preserve">Complete the sentence about Trade Execution (Slide 31-32):</w:t>
      </w:r>
    </w:p>
    <w:p>
      <w:pPr>
        <w:spacing w:after="80" w:before="80"/>
        <w:ind w:left="200"/>
      </w:pPr>
      <w:r>
        <w:rPr>
          <w:rFonts w:ascii="Calibri" w:cs="Calibri" w:eastAsia="Calibri" w:hAnsi="Calibri"/>
          <w:i/>
          <w:iCs/>
          <w:sz w:val="19"/>
          <w:szCs w:val="19"/>
        </w:rPr>
        <w:t xml:space="preserve">Trade execution occurs when two counterparties agree to a transaction. In OTC derivatives trading, this traditionally takes place over the _______ [A] directly between two parties or through a _______ [B]. More recently, _______ [C] trading systems have become available for more standardised OTC derivative products.</w:t>
      </w:r>
    </w:p>
    <w:p>
      <w:pPr>
        <w:spacing w:after="40" w:before="40"/>
        <w:ind w:left="400"/>
      </w:pPr>
      <w:r>
        <w:rPr>
          <w:rFonts w:ascii="Calibri" w:cs="Calibri" w:eastAsia="Calibri" w:hAnsi="Calibri"/>
          <w:color w:val="555555"/>
          <w:sz w:val="18"/>
          <w:szCs w:val="18"/>
        </w:rPr>
        <w:t xml:space="preserve">Dropdown A options: telephone / exchange / clearing system / network</w:t>
      </w:r>
    </w:p>
    <w:p>
      <w:pPr>
        <w:spacing w:after="40" w:before="40"/>
        <w:ind w:left="400"/>
      </w:pPr>
      <w:r>
        <w:rPr>
          <w:rFonts w:ascii="Calibri" w:cs="Calibri" w:eastAsia="Calibri" w:hAnsi="Calibri"/>
          <w:color w:val="555555"/>
          <w:sz w:val="18"/>
          <w:szCs w:val="18"/>
        </w:rPr>
        <w:t xml:space="preserve">Dropdown B options: regulator / broker / clearing house / central bank</w:t>
      </w:r>
    </w:p>
    <w:p>
      <w:pPr>
        <w:spacing w:after="40" w:before="40"/>
        <w:ind w:left="400"/>
      </w:pPr>
      <w:r>
        <w:rPr>
          <w:rFonts w:ascii="Calibri" w:cs="Calibri" w:eastAsia="Calibri" w:hAnsi="Calibri"/>
          <w:color w:val="555555"/>
          <w:sz w:val="18"/>
          <w:szCs w:val="18"/>
        </w:rPr>
        <w:t xml:space="preserve">Dropdown C options: manual / electronic / voice / overnight</w:t>
      </w:r>
    </w:p>
    <w:p>
      <w:pPr>
        <w:shd w:fill="E8F5E9" w:val="clear"/>
        <w:spacing w:after="100" w:before="100"/>
        <w:ind w:left="200"/>
      </w:pPr>
      <w:r>
        <w:rPr>
          <w:rFonts w:ascii="Calibri" w:cs="Calibri" w:eastAsia="Calibri" w:hAnsi="Calibri"/>
          <w:b/>
          <w:bCs/>
          <w:color w:val="1B5E20"/>
          <w:sz w:val="18"/>
          <w:szCs w:val="18"/>
        </w:rPr>
        <w:t xml:space="preserve">ANSWER: A = telephone | B = broker | C = electronic. Slide 32: "trade execution... traditionally takes place over the telephone directly between two parties or through a broker. More recently, electronic trading systems have become available."</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ISDA.7 | OTC Trade Life Cycle - Validation &amp; Matching</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Q25 | ISDA.7 | MCQ INLINE</w:t>
      </w:r>
    </w:p>
    <w:p>
      <w:pPr>
        <w:spacing w:after="80" w:before="100"/>
        <w:ind w:left="200"/>
      </w:pPr>
      <w:r>
        <w:rPr>
          <w:rFonts w:ascii="Calibri" w:cs="Calibri" w:eastAsia="Calibri" w:hAnsi="Calibri"/>
          <w:b/>
          <w:bCs/>
          <w:color w:val="1A1A1A"/>
          <w:sz w:val="20"/>
          <w:szCs w:val="20"/>
        </w:rPr>
        <w:t xml:space="preserve">According to Slide 37, which platform is cited as an example of the affirmation model, providing trade affirmation services between sell-side firms and their buy-side clients?</w:t>
      </w:r>
    </w:p>
    <w:p>
      <w:pPr>
        <w:spacing w:after="40" w:before="40"/>
        <w:ind w:left="400"/>
      </w:pPr>
      <w:r>
        <w:rPr>
          <w:rFonts w:ascii="Calibri" w:cs="Calibri" w:eastAsia="Calibri" w:hAnsi="Calibri"/>
          <w:color w:val="333333"/>
          <w:sz w:val="19"/>
          <w:szCs w:val="19"/>
        </w:rPr>
        <w:t xml:space="preserve">A. MarkitSERV</w:t>
      </w:r>
    </w:p>
    <w:p>
      <w:pPr>
        <w:spacing w:after="40" w:before="40"/>
        <w:ind w:left="400"/>
      </w:pPr>
      <w:r>
        <w:rPr>
          <w:rFonts w:ascii="Calibri" w:cs="Calibri" w:eastAsia="Calibri" w:hAnsi="Calibri"/>
          <w:color w:val="333333"/>
          <w:sz w:val="19"/>
          <w:szCs w:val="19"/>
        </w:rPr>
        <w:t xml:space="preserve">B. SwapsWire</w:t>
      </w:r>
    </w:p>
    <w:p>
      <w:pPr>
        <w:spacing w:after="40" w:before="40"/>
        <w:ind w:left="400"/>
      </w:pPr>
      <w:r>
        <w:rPr>
          <w:rFonts w:ascii="Calibri" w:cs="Calibri" w:eastAsia="Calibri" w:hAnsi="Calibri"/>
          <w:color w:val="1B5E20"/>
          <w:sz w:val="19"/>
          <w:szCs w:val="19"/>
        </w:rPr>
        <w:t xml:space="preserve">C. ICE Link</w:t>
      </w:r>
    </w:p>
    <w:p>
      <w:pPr>
        <w:spacing w:after="40" w:before="40"/>
        <w:ind w:left="400"/>
      </w:pPr>
      <w:r>
        <w:rPr>
          <w:rFonts w:ascii="Calibri" w:cs="Calibri" w:eastAsia="Calibri" w:hAnsi="Calibri"/>
          <w:color w:val="333333"/>
          <w:sz w:val="19"/>
          <w:szCs w:val="19"/>
        </w:rPr>
        <w:t xml:space="preserve">D. Reuters/EBS</w:t>
      </w:r>
    </w:p>
    <w:p>
      <w:pPr>
        <w:shd w:fill="E8F5E9" w:val="clear"/>
        <w:spacing w:after="100" w:before="100"/>
        <w:ind w:left="200"/>
      </w:pPr>
      <w:r>
        <w:rPr>
          <w:rFonts w:ascii="Calibri" w:cs="Calibri" w:eastAsia="Calibri" w:hAnsi="Calibri"/>
          <w:b/>
          <w:bCs/>
          <w:color w:val="1B5E20"/>
          <w:sz w:val="18"/>
          <w:szCs w:val="18"/>
        </w:rPr>
        <w:t xml:space="preserve">ANSWER: C. ICE Link. Slide 37: "ICE Link platform is an example of the affirmation model - trade affirmation services between sell-side firms and their buy-side clients."</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Q26 | ISDA.7 | TRUE/FALSE MULTI</w:t>
      </w:r>
    </w:p>
    <w:p>
      <w:pPr>
        <w:spacing w:after="80" w:before="100"/>
        <w:ind w:left="200"/>
      </w:pPr>
      <w:r>
        <w:rPr>
          <w:rFonts w:ascii="Calibri" w:cs="Calibri" w:eastAsia="Calibri" w:hAnsi="Calibri"/>
          <w:b/>
          <w:bCs/>
          <w:color w:val="1A1A1A"/>
          <w:sz w:val="20"/>
          <w:szCs w:val="20"/>
        </w:rPr>
        <w:t xml:space="preserve">Mark each statement TRUE or FALSE about the OTC confirmation process (Slides 37-40):</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A trade confirmation is a legal document, in addition to the ISDA documents signed prior to the first trade.</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37: "A trade confirmation is also a legal document and is in addition to the set of documents signed prior to the first trade being executed."</w:t>
            </w:r>
          </w:p>
        </w:tc>
      </w:tr>
      <w:tr>
        <w:tc>
          <w:tcPr>
            <w:tcW w:type="dxa" w:w="4000"/>
            <w:shd w:fill="F7F7F7" w:val="clear"/>
            <w:vAlign w:val="top"/>
          </w:tcPr>
          <w:p>
            <w:r>
              <w:rPr>
                <w:rFonts w:ascii="Calibri" w:cs="Calibri" w:eastAsia="Calibri" w:hAnsi="Calibri"/>
                <w:sz w:val="17"/>
                <w:szCs w:val="17"/>
              </w:rPr>
              <w:t xml:space="preserve">Dealers generally send out confirmations between one and five days after the trade date, usually by fax or telex.</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37: "Dealers generally send out confirmations between one and five days after the trade date, usually by fax or telex."</w:t>
            </w:r>
          </w:p>
        </w:tc>
      </w:tr>
      <w:tr>
        <w:tc>
          <w:tcPr>
            <w:tcW w:type="dxa" w:w="4000"/>
            <w:shd w:fill="FFFFFF" w:val="clear"/>
            <w:vAlign w:val="top"/>
          </w:tcPr>
          <w:p>
            <w:r>
              <w:rPr>
                <w:rFonts w:ascii="Calibri" w:cs="Calibri" w:eastAsia="Calibri" w:hAnsi="Calibri"/>
                <w:sz w:val="17"/>
                <w:szCs w:val="17"/>
              </w:rPr>
              <w:t xml:space="preserve">MarkitSERV is used for affirmation between sell-side firms and buy-side clients.</w:t>
            </w:r>
          </w:p>
        </w:tc>
        <w:tc>
          <w:tcPr>
            <w:tcW w:type="dxa" w:w="800"/>
            <w:shd w:fill="FFFFFF" w:val="clear"/>
            <w:vAlign w:val="top"/>
          </w:tcPr>
          <w:p>
            <w:r>
              <w:rPr>
                <w:rFonts w:ascii="Calibri" w:cs="Calibri" w:eastAsia="Calibri" w:hAnsi="Calibri"/>
                <w:sz w:val="17"/>
                <w:szCs w:val="17"/>
              </w:rPr>
              <w:t xml:space="preserve">FALSE</w:t>
            </w:r>
          </w:p>
        </w:tc>
        <w:tc>
          <w:tcPr>
            <w:tcW w:type="dxa" w:w="3000"/>
            <w:shd w:fill="FFFFFF" w:val="clear"/>
            <w:vAlign w:val="top"/>
          </w:tcPr>
          <w:p>
            <w:r>
              <w:rPr>
                <w:rFonts w:ascii="Calibri" w:cs="Calibri" w:eastAsia="Calibri" w:hAnsi="Calibri"/>
                <w:sz w:val="17"/>
                <w:szCs w:val="17"/>
              </w:rPr>
              <w:t xml:space="preserve">Slide 38: "MarkitSERV is an example of the confirmation matching model - two sell-side firms trade with one another." ICE Link is used for sell-side/buy-side affirmation.</w:t>
            </w:r>
          </w:p>
        </w:tc>
      </w:tr>
      <w:tr>
        <w:tc>
          <w:tcPr>
            <w:tcW w:type="dxa" w:w="4000"/>
            <w:shd w:fill="F7F7F7" w:val="clear"/>
            <w:vAlign w:val="top"/>
          </w:tcPr>
          <w:p>
            <w:r>
              <w:rPr>
                <w:rFonts w:ascii="Calibri" w:cs="Calibri" w:eastAsia="Calibri" w:hAnsi="Calibri"/>
                <w:sz w:val="17"/>
                <w:szCs w:val="17"/>
              </w:rPr>
              <w:t xml:space="preserve">A Long Form confirmation is required when executing a product not covered by existing legal documentation between parties.</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40: "if the firm executed a trade... in an OTC derivative product not covered by the existing legal documentation... a long form confirmation should be issued."</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Q27 | ISDA.7 | MATCHING PAIRS</w:t>
      </w:r>
    </w:p>
    <w:p>
      <w:pPr>
        <w:spacing w:after="80" w:before="100"/>
        <w:ind w:left="200"/>
      </w:pPr>
      <w:r>
        <w:rPr>
          <w:rFonts w:ascii="Calibri" w:cs="Calibri" w:eastAsia="Calibri" w:hAnsi="Calibri"/>
          <w:b/>
          <w:bCs/>
          <w:color w:val="1A1A1A"/>
          <w:sz w:val="20"/>
          <w:szCs w:val="20"/>
        </w:rPr>
        <w:t xml:space="preserve">Match each OTC validation category (from the Additional Rules, Slide 36) with its description: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3000"/>
            <w:shd w:fill="D4EFEF" w:val="clear"/>
          </w:tcPr>
          <w:p>
            <w:pPr>
              <w:jc w:val="center"/>
            </w:pPr>
            <w:r>
              <w:rPr>
                <w:rFonts w:ascii="Calibri" w:cs="Calibri" w:eastAsia="Calibri" w:hAnsi="Calibri"/>
                <w:b/>
                <w:bCs/>
                <w:color w:val="1E3A5F"/>
                <w:sz w:val="18"/>
                <w:szCs w:val="18"/>
              </w:rPr>
              <w:t xml:space="preserve">Validation Category</w:t>
            </w:r>
          </w:p>
        </w:tc>
        <w:tc>
          <w:tcPr>
            <w:tcW w:type="dxa" w:w="600"/>
            <w:shd w:fill="D4EFEF" w:val="clear"/>
          </w:tcPr>
          <w:p>
            <w:pPr>
              <w:jc w:val="center"/>
            </w:pPr>
            <w:r>
              <w:rPr>
                <w:rFonts w:ascii="Calibri" w:cs="Calibri" w:eastAsia="Calibri" w:hAnsi="Calibri"/>
                <w:b/>
                <w:bCs/>
                <w:color w:val="1E3A5F"/>
                <w:sz w:val="18"/>
                <w:szCs w:val="18"/>
              </w:rPr>
              <w:t xml:space="preserve">Match</w:t>
            </w:r>
          </w:p>
        </w:tc>
        <w:tc>
          <w:tcPr>
            <w:tcW w:type="dxa" w:w="4200"/>
            <w:shd w:fill="D4EFEF" w:val="clear"/>
          </w:tcPr>
          <w:p>
            <w:pPr>
              <w:jc w:val="center"/>
            </w:pPr>
            <w:r>
              <w:rPr>
                <w:rFonts w:ascii="Calibri" w:cs="Calibri" w:eastAsia="Calibri" w:hAnsi="Calibri"/>
                <w:b/>
                <w:bCs/>
                <w:color w:val="1E3A5F"/>
                <w:sz w:val="18"/>
                <w:szCs w:val="18"/>
              </w:rPr>
              <w:t xml:space="preserve">Description</w:t>
            </w:r>
          </w:p>
        </w:tc>
      </w:tr>
      <w:tr>
        <w:tc>
          <w:tcPr>
            <w:tcW w:type="dxa" w:w="3000"/>
            <w:shd w:fill="FFFFFF" w:val="clear"/>
            <w:vAlign w:val="top"/>
          </w:tcPr>
          <w:p>
            <w:r>
              <w:rPr>
                <w:rFonts w:ascii="Calibri" w:cs="Calibri" w:eastAsia="Calibri" w:hAnsi="Calibri"/>
                <w:sz w:val="17"/>
                <w:szCs w:val="17"/>
              </w:rPr>
              <w:t xml:space="preserve">Trades Due to Settle on an FOP</w:t>
            </w:r>
          </w:p>
        </w:tc>
        <w:tc>
          <w:tcPr>
            <w:tcW w:type="dxa" w:w="600"/>
            <w:shd w:fill="FFFFFF" w:val="clear"/>
            <w:vAlign w:val="top"/>
          </w:tcPr>
          <w:p>
            <w:r>
              <w:rPr>
                <w:rFonts w:ascii="Calibri" w:cs="Calibri" w:eastAsia="Calibri" w:hAnsi="Calibri"/>
                <w:sz w:val="17"/>
                <w:szCs w:val="17"/>
              </w:rPr>
              <w:t xml:space="preserve">___</w:t>
            </w:r>
          </w:p>
        </w:tc>
        <w:tc>
          <w:tcPr>
            <w:tcW w:type="dxa" w:w="4200"/>
            <w:shd w:fill="FFFFFF" w:val="clear"/>
            <w:vAlign w:val="top"/>
          </w:tcPr>
          <w:p>
            <w:r>
              <w:rPr>
                <w:rFonts w:ascii="Calibri" w:cs="Calibri" w:eastAsia="Calibri" w:hAnsi="Calibri"/>
                <w:sz w:val="17"/>
                <w:szCs w:val="17"/>
              </w:rPr>
              <w:t xml:space="preserve">A. Trades where the counterparty is specifically designated for extra review</w:t>
            </w:r>
          </w:p>
        </w:tc>
      </w:tr>
      <w:tr>
        <w:tc>
          <w:tcPr>
            <w:tcW w:type="dxa" w:w="3000"/>
            <w:shd w:fill="F7F7F7" w:val="clear"/>
            <w:vAlign w:val="top"/>
          </w:tcPr>
          <w:p>
            <w:r>
              <w:rPr>
                <w:rFonts w:ascii="Calibri" w:cs="Calibri" w:eastAsia="Calibri" w:hAnsi="Calibri"/>
                <w:sz w:val="17"/>
                <w:szCs w:val="17"/>
              </w:rPr>
              <w:t xml:space="preserve">Trades with Cash Value At or Above a Certain Figure</w:t>
            </w:r>
          </w:p>
        </w:tc>
        <w:tc>
          <w:tcPr>
            <w:tcW w:type="dxa" w:w="600"/>
            <w:shd w:fill="F7F7F7" w:val="clear"/>
            <w:vAlign w:val="top"/>
          </w:tcPr>
          <w:p>
            <w:r>
              <w:rPr>
                <w:rFonts w:ascii="Calibri" w:cs="Calibri" w:eastAsia="Calibri" w:hAnsi="Calibri"/>
                <w:sz w:val="17"/>
                <w:szCs w:val="17"/>
              </w:rPr>
              <w:t xml:space="preserve">___</w:t>
            </w:r>
          </w:p>
        </w:tc>
        <w:tc>
          <w:tcPr>
            <w:tcW w:type="dxa" w:w="4200"/>
            <w:shd w:fill="F7F7F7" w:val="clear"/>
            <w:vAlign w:val="top"/>
          </w:tcPr>
          <w:p>
            <w:r>
              <w:rPr>
                <w:rFonts w:ascii="Calibri" w:cs="Calibri" w:eastAsia="Calibri" w:hAnsi="Calibri"/>
                <w:sz w:val="17"/>
                <w:szCs w:val="17"/>
              </w:rPr>
              <w:t xml:space="preserve">B. Free of Payment trades that require additional validation</w:t>
            </w:r>
          </w:p>
        </w:tc>
      </w:tr>
      <w:tr>
        <w:tc>
          <w:tcPr>
            <w:tcW w:type="dxa" w:w="3000"/>
            <w:shd w:fill="FFFFFF" w:val="clear"/>
            <w:vAlign w:val="top"/>
          </w:tcPr>
          <w:p>
            <w:r>
              <w:rPr>
                <w:rFonts w:ascii="Calibri" w:cs="Calibri" w:eastAsia="Calibri" w:hAnsi="Calibri"/>
                <w:sz w:val="17"/>
                <w:szCs w:val="17"/>
              </w:rPr>
              <w:t xml:space="preserve">Trades with a Specific Counterparty</w:t>
            </w:r>
          </w:p>
        </w:tc>
        <w:tc>
          <w:tcPr>
            <w:tcW w:type="dxa" w:w="600"/>
            <w:shd w:fill="FFFFFF" w:val="clear"/>
            <w:vAlign w:val="top"/>
          </w:tcPr>
          <w:p>
            <w:r>
              <w:rPr>
                <w:rFonts w:ascii="Calibri" w:cs="Calibri" w:eastAsia="Calibri" w:hAnsi="Calibri"/>
                <w:sz w:val="17"/>
                <w:szCs w:val="17"/>
              </w:rPr>
              <w:t xml:space="preserve">___</w:t>
            </w:r>
          </w:p>
        </w:tc>
        <w:tc>
          <w:tcPr>
            <w:tcW w:type="dxa" w:w="4200"/>
            <w:shd w:fill="FFFFFF" w:val="clear"/>
            <w:vAlign w:val="top"/>
          </w:tcPr>
          <w:p>
            <w:r>
              <w:rPr>
                <w:rFonts w:ascii="Calibri" w:cs="Calibri" w:eastAsia="Calibri" w:hAnsi="Calibri"/>
                <w:sz w:val="17"/>
                <w:szCs w:val="17"/>
              </w:rPr>
              <w:t xml:space="preserve">C. Trades that have been changed after initial capture</w:t>
            </w:r>
          </w:p>
        </w:tc>
      </w:tr>
      <w:tr>
        <w:tc>
          <w:tcPr>
            <w:tcW w:type="dxa" w:w="3000"/>
            <w:shd w:fill="F7F7F7" w:val="clear"/>
            <w:vAlign w:val="top"/>
          </w:tcPr>
          <w:p>
            <w:r>
              <w:rPr>
                <w:rFonts w:ascii="Calibri" w:cs="Calibri" w:eastAsia="Calibri" w:hAnsi="Calibri"/>
                <w:sz w:val="17"/>
                <w:szCs w:val="17"/>
              </w:rPr>
              <w:t xml:space="preserve">All Amended Trades</w:t>
            </w:r>
          </w:p>
        </w:tc>
        <w:tc>
          <w:tcPr>
            <w:tcW w:type="dxa" w:w="600"/>
            <w:shd w:fill="F7F7F7" w:val="clear"/>
            <w:vAlign w:val="top"/>
          </w:tcPr>
          <w:p>
            <w:r>
              <w:rPr>
                <w:rFonts w:ascii="Calibri" w:cs="Calibri" w:eastAsia="Calibri" w:hAnsi="Calibri"/>
                <w:sz w:val="17"/>
                <w:szCs w:val="17"/>
              </w:rPr>
              <w:t xml:space="preserve">___</w:t>
            </w:r>
          </w:p>
        </w:tc>
        <w:tc>
          <w:tcPr>
            <w:tcW w:type="dxa" w:w="4200"/>
            <w:shd w:fill="F7F7F7" w:val="clear"/>
            <w:vAlign w:val="top"/>
          </w:tcPr>
          <w:p>
            <w:r>
              <w:rPr>
                <w:rFonts w:ascii="Calibri" w:cs="Calibri" w:eastAsia="Calibri" w:hAnsi="Calibri"/>
                <w:sz w:val="17"/>
                <w:szCs w:val="17"/>
              </w:rPr>
              <w:t xml:space="preserve">D. High-value trades requiring extra scrutiny</w:t>
            </w:r>
          </w:p>
        </w:tc>
      </w:tr>
      <w:tr>
        <w:tc>
          <w:tcPr>
            <w:tcW w:type="dxa" w:w="3000"/>
            <w:shd w:fill="FFFFFF" w:val="clear"/>
            <w:vAlign w:val="top"/>
          </w:tcPr>
          <w:p>
            <w:r>
              <w:rPr>
                <w:rFonts w:ascii="Calibri" w:cs="Calibri" w:eastAsia="Calibri" w:hAnsi="Calibri"/>
                <w:sz w:val="17"/>
                <w:szCs w:val="17"/>
              </w:rPr>
              <w:t xml:space="preserve">Trades with Value Date in the Past</w:t>
            </w:r>
          </w:p>
        </w:tc>
        <w:tc>
          <w:tcPr>
            <w:tcW w:type="dxa" w:w="600"/>
            <w:shd w:fill="FFFFFF" w:val="clear"/>
            <w:vAlign w:val="top"/>
          </w:tcPr>
          <w:p>
            <w:r>
              <w:rPr>
                <w:rFonts w:ascii="Calibri" w:cs="Calibri" w:eastAsia="Calibri" w:hAnsi="Calibri"/>
                <w:sz w:val="17"/>
                <w:szCs w:val="17"/>
              </w:rPr>
              <w:t xml:space="preserve">___</w:t>
            </w:r>
          </w:p>
        </w:tc>
        <w:tc>
          <w:tcPr>
            <w:tcW w:type="dxa" w:w="4200"/>
            <w:shd w:fill="FFFFFF" w:val="clear"/>
            <w:vAlign w:val="top"/>
          </w:tcPr>
          <w:p>
            <w:r>
              <w:rPr>
                <w:rFonts w:ascii="Calibri" w:cs="Calibri" w:eastAsia="Calibri" w:hAnsi="Calibri"/>
                <w:sz w:val="17"/>
                <w:szCs w:val="17"/>
              </w:rPr>
              <w:t xml:space="preserve">E. Trades where the settlement date has already passed</w:t>
            </w:r>
          </w:p>
        </w:tc>
      </w:tr>
    </w:tbl>
    <w:p>
      <w:pPr>
        <w:shd w:fill="E8F5E9" w:val="clear"/>
        <w:spacing w:after="100" w:before="100"/>
        <w:ind w:left="200"/>
      </w:pPr>
      <w:r>
        <w:rPr>
          <w:rFonts w:ascii="Calibri" w:cs="Calibri" w:eastAsia="Calibri" w:hAnsi="Calibri"/>
          <w:b/>
          <w:bCs/>
          <w:color w:val="1B5E20"/>
          <w:sz w:val="18"/>
          <w:szCs w:val="18"/>
        </w:rPr>
        <w:t xml:space="preserve">ANSWER: FOP=B | High-value=D | Specific Counterparty=A | Amended Trades=C | Past Value Date=E. Source: Slide 36.</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Q28 | ISDA.7 | TABLE SELECTION</w:t>
      </w:r>
    </w:p>
    <w:p>
      <w:pPr>
        <w:spacing w:after="80" w:before="100"/>
        <w:ind w:left="200"/>
      </w:pPr>
      <w:r>
        <w:rPr>
          <w:rFonts w:ascii="Calibri" w:cs="Calibri" w:eastAsia="Calibri" w:hAnsi="Calibri"/>
          <w:b/>
          <w:bCs/>
          <w:color w:val="1A1A1A"/>
          <w:sz w:val="20"/>
          <w:szCs w:val="20"/>
        </w:rPr>
        <w:t xml:space="preserve">From Slide 39, which of the following are listed as constituent elements of a Confirmation? Mark Y (Yes) or N (No):</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5200"/>
            <w:shd w:fill="D4EFEF" w:val="clear"/>
          </w:tcPr>
          <w:p>
            <w:pPr>
              <w:jc w:val="center"/>
            </w:pPr>
            <w:r>
              <w:rPr>
                <w:rFonts w:ascii="Calibri" w:cs="Calibri" w:eastAsia="Calibri" w:hAnsi="Calibri"/>
                <w:b/>
                <w:bCs/>
                <w:color w:val="1E3A5F"/>
                <w:sz w:val="18"/>
                <w:szCs w:val="18"/>
              </w:rPr>
              <w:t xml:space="preserve">Constituent Element</w:t>
            </w:r>
          </w:p>
        </w:tc>
        <w:tc>
          <w:tcPr>
            <w:tcW w:type="dxa" w:w="2600"/>
            <w:shd w:fill="D4EFEF" w:val="clear"/>
          </w:tcPr>
          <w:p>
            <w:pPr>
              <w:jc w:val="center"/>
            </w:pPr>
            <w:r>
              <w:rPr>
                <w:rFonts w:ascii="Calibri" w:cs="Calibri" w:eastAsia="Calibri" w:hAnsi="Calibri"/>
                <w:b/>
                <w:bCs/>
                <w:color w:val="1E3A5F"/>
                <w:sz w:val="18"/>
                <w:szCs w:val="18"/>
              </w:rPr>
              <w:t xml:space="preserve">Y / N (Listed in Slide 39)</w:t>
            </w:r>
          </w:p>
        </w:tc>
      </w:tr>
      <w:tr>
        <w:tc>
          <w:tcPr>
            <w:tcW w:type="dxa" w:w="5200"/>
            <w:shd w:fill="FFFFFF" w:val="clear"/>
            <w:vAlign w:val="top"/>
          </w:tcPr>
          <w:p>
            <w:r>
              <w:rPr>
                <w:rFonts w:ascii="Calibri" w:cs="Calibri" w:eastAsia="Calibri" w:hAnsi="Calibri"/>
                <w:sz w:val="17"/>
                <w:szCs w:val="17"/>
              </w:rPr>
              <w:t xml:space="preserve">Economic Terms</w:t>
            </w:r>
          </w:p>
        </w:tc>
        <w:tc>
          <w:tcPr>
            <w:tcW w:type="dxa" w:w="2600"/>
            <w:shd w:fill="FFFFFF" w:val="clear"/>
            <w:vAlign w:val="top"/>
          </w:tcPr>
          <w:p>
            <w:r>
              <w:rPr>
                <w:rFonts w:ascii="Calibri" w:cs="Calibri" w:eastAsia="Calibri" w:hAnsi="Calibri"/>
                <w:sz w:val="17"/>
                <w:szCs w:val="17"/>
              </w:rPr>
              <w:t xml:space="preserve">___</w:t>
            </w:r>
          </w:p>
        </w:tc>
      </w:tr>
      <w:tr>
        <w:tc>
          <w:tcPr>
            <w:tcW w:type="dxa" w:w="5200"/>
            <w:shd w:fill="F7F7F7" w:val="clear"/>
            <w:vAlign w:val="top"/>
          </w:tcPr>
          <w:p>
            <w:r>
              <w:rPr>
                <w:rFonts w:ascii="Calibri" w:cs="Calibri" w:eastAsia="Calibri" w:hAnsi="Calibri"/>
                <w:sz w:val="17"/>
                <w:szCs w:val="17"/>
              </w:rPr>
              <w:t xml:space="preserve">Counterparty Credit Rating</w:t>
            </w:r>
          </w:p>
        </w:tc>
        <w:tc>
          <w:tcPr>
            <w:tcW w:type="dxa" w:w="2600"/>
            <w:shd w:fill="F7F7F7" w:val="clear"/>
            <w:vAlign w:val="top"/>
          </w:tcPr>
          <w:p>
            <w:r>
              <w:rPr>
                <w:rFonts w:ascii="Calibri" w:cs="Calibri" w:eastAsia="Calibri" w:hAnsi="Calibri"/>
                <w:sz w:val="17"/>
                <w:szCs w:val="17"/>
              </w:rPr>
              <w:t xml:space="preserve">___</w:t>
            </w:r>
          </w:p>
        </w:tc>
      </w:tr>
      <w:tr>
        <w:tc>
          <w:tcPr>
            <w:tcW w:type="dxa" w:w="5200"/>
            <w:shd w:fill="FFFFFF" w:val="clear"/>
            <w:vAlign w:val="top"/>
          </w:tcPr>
          <w:p>
            <w:r>
              <w:rPr>
                <w:rFonts w:ascii="Calibri" w:cs="Calibri" w:eastAsia="Calibri" w:hAnsi="Calibri"/>
                <w:sz w:val="17"/>
                <w:szCs w:val="17"/>
              </w:rPr>
              <w:t xml:space="preserve">Payment / Obligations</w:t>
            </w:r>
          </w:p>
        </w:tc>
        <w:tc>
          <w:tcPr>
            <w:tcW w:type="dxa" w:w="2600"/>
            <w:shd w:fill="FFFFFF" w:val="clear"/>
            <w:vAlign w:val="top"/>
          </w:tcPr>
          <w:p>
            <w:r>
              <w:rPr>
                <w:rFonts w:ascii="Calibri" w:cs="Calibri" w:eastAsia="Calibri" w:hAnsi="Calibri"/>
                <w:sz w:val="17"/>
                <w:szCs w:val="17"/>
              </w:rPr>
              <w:t xml:space="preserve">___</w:t>
            </w:r>
          </w:p>
        </w:tc>
      </w:tr>
      <w:tr>
        <w:tc>
          <w:tcPr>
            <w:tcW w:type="dxa" w:w="5200"/>
            <w:shd w:fill="F7F7F7" w:val="clear"/>
            <w:vAlign w:val="top"/>
          </w:tcPr>
          <w:p>
            <w:r>
              <w:rPr>
                <w:rFonts w:ascii="Calibri" w:cs="Calibri" w:eastAsia="Calibri" w:hAnsi="Calibri"/>
                <w:sz w:val="17"/>
                <w:szCs w:val="17"/>
              </w:rPr>
              <w:t xml:space="preserve">Timing and Method of Payment / Deliveries</w:t>
            </w:r>
          </w:p>
        </w:tc>
        <w:tc>
          <w:tcPr>
            <w:tcW w:type="dxa" w:w="2600"/>
            <w:shd w:fill="F7F7F7" w:val="clear"/>
            <w:vAlign w:val="top"/>
          </w:tcPr>
          <w:p>
            <w:r>
              <w:rPr>
                <w:rFonts w:ascii="Calibri" w:cs="Calibri" w:eastAsia="Calibri" w:hAnsi="Calibri"/>
                <w:sz w:val="17"/>
                <w:szCs w:val="17"/>
              </w:rPr>
              <w:t xml:space="preserve">___</w:t>
            </w:r>
          </w:p>
        </w:tc>
      </w:tr>
      <w:tr>
        <w:tc>
          <w:tcPr>
            <w:tcW w:type="dxa" w:w="5200"/>
            <w:shd w:fill="FFFFFF" w:val="clear"/>
            <w:vAlign w:val="top"/>
          </w:tcPr>
          <w:p>
            <w:r>
              <w:rPr>
                <w:rFonts w:ascii="Calibri" w:cs="Calibri" w:eastAsia="Calibri" w:hAnsi="Calibri"/>
                <w:sz w:val="17"/>
                <w:szCs w:val="17"/>
              </w:rPr>
              <w:t xml:space="preserve">Regulatory Capital Requirement</w:t>
            </w:r>
          </w:p>
        </w:tc>
        <w:tc>
          <w:tcPr>
            <w:tcW w:type="dxa" w:w="2600"/>
            <w:shd w:fill="FFFFFF" w:val="clear"/>
            <w:vAlign w:val="top"/>
          </w:tcPr>
          <w:p>
            <w:r>
              <w:rPr>
                <w:rFonts w:ascii="Calibri" w:cs="Calibri" w:eastAsia="Calibri" w:hAnsi="Calibri"/>
                <w:sz w:val="17"/>
                <w:szCs w:val="17"/>
              </w:rPr>
              <w:t xml:space="preserve">___</w:t>
            </w:r>
          </w:p>
        </w:tc>
      </w:tr>
      <w:tr>
        <w:tc>
          <w:tcPr>
            <w:tcW w:type="dxa" w:w="5200"/>
            <w:shd w:fill="F7F7F7" w:val="clear"/>
            <w:vAlign w:val="top"/>
          </w:tcPr>
          <w:p>
            <w:r>
              <w:rPr>
                <w:rFonts w:ascii="Calibri" w:cs="Calibri" w:eastAsia="Calibri" w:hAnsi="Calibri"/>
                <w:sz w:val="17"/>
                <w:szCs w:val="17"/>
              </w:rPr>
              <w:t xml:space="preserve">Account Details</w:t>
            </w:r>
          </w:p>
        </w:tc>
        <w:tc>
          <w:tcPr>
            <w:tcW w:type="dxa" w:w="2600"/>
            <w:shd w:fill="F7F7F7" w:val="clear"/>
            <w:vAlign w:val="top"/>
          </w:tcPr>
          <w:p>
            <w:r>
              <w:rPr>
                <w:rFonts w:ascii="Calibri" w:cs="Calibri" w:eastAsia="Calibri" w:hAnsi="Calibri"/>
                <w:sz w:val="17"/>
                <w:szCs w:val="17"/>
              </w:rPr>
              <w:t xml:space="preserve">___</w:t>
            </w:r>
          </w:p>
        </w:tc>
      </w:tr>
    </w:tbl>
    <w:p>
      <w:pPr>
        <w:shd w:fill="E8F5E9" w:val="clear"/>
        <w:spacing w:after="100" w:before="100"/>
        <w:ind w:left="200"/>
      </w:pPr>
      <w:r>
        <w:rPr>
          <w:rFonts w:ascii="Calibri" w:cs="Calibri" w:eastAsia="Calibri" w:hAnsi="Calibri"/>
          <w:b/>
          <w:bCs/>
          <w:color w:val="1B5E20"/>
          <w:sz w:val="18"/>
          <w:szCs w:val="18"/>
        </w:rPr>
        <w:t xml:space="preserve">ANSWER: Y: Economic Terms, Payment/Obligations, Timing and Method of Payment/Deliveries, Account Details. N: Counterparty Credit Rating, Regulatory Capital Requirement. Slide 39 lists: "Economic Terms, Payment/Obligations, Timing And Method of Payment/Deliveries, Account Details."</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ISDA.8 | OTC Trade Life Cycle - Confirmation &amp; Settlement</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Q29 | ISDA.8 | MCQ INLINE</w:t>
      </w:r>
    </w:p>
    <w:p>
      <w:pPr>
        <w:spacing w:after="80" w:before="100"/>
        <w:ind w:left="200"/>
      </w:pPr>
      <w:r>
        <w:rPr>
          <w:rFonts w:ascii="Calibri" w:cs="Calibri" w:eastAsia="Calibri" w:hAnsi="Calibri"/>
          <w:b/>
          <w:bCs/>
          <w:color w:val="1A1A1A"/>
          <w:sz w:val="20"/>
          <w:szCs w:val="20"/>
        </w:rPr>
        <w:t xml:space="preserve">According to Slide 48, Swap Execution Facilities (SEFs) are mandated under which legislation?</w:t>
      </w:r>
    </w:p>
    <w:p>
      <w:pPr>
        <w:spacing w:after="40" w:before="40"/>
        <w:ind w:left="400"/>
      </w:pPr>
      <w:r>
        <w:rPr>
          <w:rFonts w:ascii="Calibri" w:cs="Calibri" w:eastAsia="Calibri" w:hAnsi="Calibri"/>
          <w:color w:val="333333"/>
          <w:sz w:val="19"/>
          <w:szCs w:val="19"/>
        </w:rPr>
        <w:t xml:space="preserve">A. The European Market Infrastructure Regulation (EMIR)</w:t>
      </w:r>
    </w:p>
    <w:p>
      <w:pPr>
        <w:spacing w:after="40" w:before="40"/>
        <w:ind w:left="400"/>
      </w:pPr>
      <w:r>
        <w:rPr>
          <w:rFonts w:ascii="Calibri" w:cs="Calibri" w:eastAsia="Calibri" w:hAnsi="Calibri"/>
          <w:color w:val="333333"/>
          <w:sz w:val="19"/>
          <w:szCs w:val="19"/>
        </w:rPr>
        <w:t xml:space="preserve">B. The Markets in Financial Instruments Directive (MiFID II)</w:t>
      </w:r>
    </w:p>
    <w:p>
      <w:pPr>
        <w:spacing w:after="40" w:before="40"/>
        <w:ind w:left="400"/>
      </w:pPr>
      <w:r>
        <w:rPr>
          <w:rFonts w:ascii="Calibri" w:cs="Calibri" w:eastAsia="Calibri" w:hAnsi="Calibri"/>
          <w:color w:val="1B5E20"/>
          <w:sz w:val="19"/>
          <w:szCs w:val="19"/>
        </w:rPr>
        <w:t xml:space="preserve">C. The Dodd-Frank Wall Street Reform Act of 2010</w:t>
      </w:r>
    </w:p>
    <w:p>
      <w:pPr>
        <w:spacing w:after="40" w:before="40"/>
        <w:ind w:left="400"/>
      </w:pPr>
      <w:r>
        <w:rPr>
          <w:rFonts w:ascii="Calibri" w:cs="Calibri" w:eastAsia="Calibri" w:hAnsi="Calibri"/>
          <w:color w:val="333333"/>
          <w:sz w:val="19"/>
          <w:szCs w:val="19"/>
        </w:rPr>
        <w:t xml:space="preserve">D. The Securities Exchange Act of 1934</w:t>
      </w:r>
    </w:p>
    <w:p>
      <w:pPr>
        <w:shd w:fill="E8F5E9" w:val="clear"/>
        <w:spacing w:after="100" w:before="100"/>
        <w:ind w:left="200"/>
      </w:pPr>
      <w:r>
        <w:rPr>
          <w:rFonts w:ascii="Calibri" w:cs="Calibri" w:eastAsia="Calibri" w:hAnsi="Calibri"/>
          <w:b/>
          <w:bCs/>
          <w:color w:val="1B5E20"/>
          <w:sz w:val="18"/>
          <w:szCs w:val="18"/>
        </w:rPr>
        <w:t xml:space="preserve">ANSWER: C. The Dodd-Frank Wall Street Reform Act of 2010. Slide 48: "They are mandated under the Dodd-Frank Wall Street Reform Act of 2010."</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Q30 | ISDA.8 | TRUE/FALSE MULTI</w:t>
      </w:r>
    </w:p>
    <w:p>
      <w:pPr>
        <w:spacing w:after="80" w:before="100"/>
        <w:ind w:left="200"/>
      </w:pPr>
      <w:r>
        <w:rPr>
          <w:rFonts w:ascii="Calibri" w:cs="Calibri" w:eastAsia="Calibri" w:hAnsi="Calibri"/>
          <w:b/>
          <w:bCs/>
          <w:color w:val="1A1A1A"/>
          <w:sz w:val="20"/>
          <w:szCs w:val="20"/>
        </w:rPr>
        <w:t xml:space="preserve">Mark each statement TRUE or FALSE about OTC clearing models and settlement (Slides 47-48):</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In non-cleared OTC derivatives, payments and deliveries are made directly between the two parties.</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47: "Traditionally, OTC derivative contracts are non-cleared and generally settled by the parties themselves. Payments and deliveries are made directly to one another."</w:t>
            </w:r>
          </w:p>
        </w:tc>
      </w:tr>
      <w:tr>
        <w:tc>
          <w:tcPr>
            <w:tcW w:type="dxa" w:w="4000"/>
            <w:shd w:fill="F7F7F7" w:val="clear"/>
            <w:vAlign w:val="top"/>
          </w:tcPr>
          <w:p>
            <w:r>
              <w:rPr>
                <w:rFonts w:ascii="Calibri" w:cs="Calibri" w:eastAsia="Calibri" w:hAnsi="Calibri"/>
                <w:sz w:val="17"/>
                <w:szCs w:val="17"/>
              </w:rPr>
              <w:t xml:space="preserve">Cleared OTC derivatives are traded on licensed trading venues known as SEFs or MTFs and settled via CCP platforms.</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48: "OTC Cleared: traded on licensed trading venues known as swap execution facilities (SEFs) or multilateral trading facilities... settled through via CCP platforms."</w:t>
            </w:r>
          </w:p>
        </w:tc>
      </w:tr>
      <w:tr>
        <w:tc>
          <w:tcPr>
            <w:tcW w:type="dxa" w:w="4000"/>
            <w:shd w:fill="FFFFFF" w:val="clear"/>
            <w:vAlign w:val="top"/>
          </w:tcPr>
          <w:p>
            <w:r>
              <w:rPr>
                <w:rFonts w:ascii="Calibri" w:cs="Calibri" w:eastAsia="Calibri" w:hAnsi="Calibri"/>
                <w:sz w:val="17"/>
                <w:szCs w:val="17"/>
              </w:rPr>
              <w:t xml:space="preserve">SEFs function exactly like a traditional stock exchange.</w:t>
            </w:r>
          </w:p>
        </w:tc>
        <w:tc>
          <w:tcPr>
            <w:tcW w:type="dxa" w:w="800"/>
            <w:shd w:fill="FFFFFF" w:val="clear"/>
            <w:vAlign w:val="top"/>
          </w:tcPr>
          <w:p>
            <w:r>
              <w:rPr>
                <w:rFonts w:ascii="Calibri" w:cs="Calibri" w:eastAsia="Calibri" w:hAnsi="Calibri"/>
                <w:sz w:val="17"/>
                <w:szCs w:val="17"/>
              </w:rPr>
              <w:t xml:space="preserve">FALSE</w:t>
            </w:r>
          </w:p>
        </w:tc>
        <w:tc>
          <w:tcPr>
            <w:tcW w:type="dxa" w:w="3000"/>
            <w:shd w:fill="FFFFFF" w:val="clear"/>
            <w:vAlign w:val="top"/>
          </w:tcPr>
          <w:p>
            <w:r>
              <w:rPr>
                <w:rFonts w:ascii="Calibri" w:cs="Calibri" w:eastAsia="Calibri" w:hAnsi="Calibri"/>
                <w:sz w:val="17"/>
                <w:szCs w:val="17"/>
              </w:rPr>
              <w:t xml:space="preserve">Slide 48: "these platforms are not exchanges per se but they do function as a counterparty matching service."</w:t>
            </w:r>
          </w:p>
        </w:tc>
      </w:tr>
      <w:tr>
        <w:tc>
          <w:tcPr>
            <w:tcW w:type="dxa" w:w="4000"/>
            <w:shd w:fill="F7F7F7" w:val="clear"/>
            <w:vAlign w:val="top"/>
          </w:tcPr>
          <w:p>
            <w:r>
              <w:rPr>
                <w:rFonts w:ascii="Calibri" w:cs="Calibri" w:eastAsia="Calibri" w:hAnsi="Calibri"/>
                <w:sz w:val="17"/>
                <w:szCs w:val="17"/>
              </w:rPr>
              <w:t xml:space="preserve">Swaps traded on SEFs fall under the oversight of both the SEC and CFTC.</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48: "Swaps traded on SEFs fall under the oversight of both the SEC and CFTC."</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Q31 | ISDA.8 | GAP FILL DROPDOWN</w:t>
      </w:r>
    </w:p>
    <w:p>
      <w:pPr>
        <w:spacing w:after="80" w:before="100"/>
        <w:ind w:left="200"/>
      </w:pPr>
      <w:r>
        <w:rPr>
          <w:rFonts w:ascii="Calibri" w:cs="Calibri" w:eastAsia="Calibri" w:hAnsi="Calibri"/>
          <w:b/>
          <w:bCs/>
          <w:color w:val="1A1A1A"/>
          <w:sz w:val="20"/>
          <w:szCs w:val="20"/>
        </w:rPr>
        <w:t xml:space="preserve">Complete the sentence about wrong SSIs (Source: SSI Consequences PDF):</w:t>
      </w:r>
    </w:p>
    <w:p>
      <w:pPr>
        <w:spacing w:after="80" w:before="80"/>
        <w:ind w:left="200"/>
      </w:pPr>
      <w:r>
        <w:rPr>
          <w:rFonts w:ascii="Calibri" w:cs="Calibri" w:eastAsia="Calibri" w:hAnsi="Calibri"/>
          <w:i/>
          <w:iCs/>
          <w:sz w:val="19"/>
          <w:szCs w:val="19"/>
        </w:rPr>
        <w:t xml:space="preserve">Wrong SSIs are a major cause of settlement failures, second only to _______ [A]. When settlement instructions are incorrect, trades may fail to settle on time, and settlement failures can trigger _______ [B] or sell-out notices, leading to direct _______ [C] losses.</w:t>
      </w:r>
    </w:p>
    <w:p>
      <w:pPr>
        <w:spacing w:after="40" w:before="40"/>
        <w:ind w:left="400"/>
      </w:pPr>
      <w:r>
        <w:rPr>
          <w:rFonts w:ascii="Calibri" w:cs="Calibri" w:eastAsia="Calibri" w:hAnsi="Calibri"/>
          <w:color w:val="555555"/>
          <w:sz w:val="18"/>
          <w:szCs w:val="18"/>
        </w:rPr>
        <w:t xml:space="preserve">Dropdown A options: market volatility / lack of inventory / counterparty default / regulatory failure</w:t>
      </w:r>
    </w:p>
    <w:p>
      <w:pPr>
        <w:spacing w:after="40" w:before="40"/>
        <w:ind w:left="400"/>
      </w:pPr>
      <w:r>
        <w:rPr>
          <w:rFonts w:ascii="Calibri" w:cs="Calibri" w:eastAsia="Calibri" w:hAnsi="Calibri"/>
          <w:color w:val="555555"/>
          <w:sz w:val="18"/>
          <w:szCs w:val="18"/>
        </w:rPr>
        <w:t xml:space="preserve">Dropdown B options: buy-in / margin / early termination / novation</w:t>
      </w:r>
    </w:p>
    <w:p>
      <w:pPr>
        <w:spacing w:after="40" w:before="40"/>
        <w:ind w:left="400"/>
      </w:pPr>
      <w:r>
        <w:rPr>
          <w:rFonts w:ascii="Calibri" w:cs="Calibri" w:eastAsia="Calibri" w:hAnsi="Calibri"/>
          <w:color w:val="555555"/>
          <w:sz w:val="18"/>
          <w:szCs w:val="18"/>
        </w:rPr>
        <w:t xml:space="preserve">Dropdown C options: reputational / regulatory / financial / operational</w:t>
      </w:r>
    </w:p>
    <w:p>
      <w:pPr>
        <w:shd w:fill="E8F5E9" w:val="clear"/>
        <w:spacing w:after="100" w:before="100"/>
        <w:ind w:left="200"/>
      </w:pPr>
      <w:r>
        <w:rPr>
          <w:rFonts w:ascii="Calibri" w:cs="Calibri" w:eastAsia="Calibri" w:hAnsi="Calibri"/>
          <w:b/>
          <w:bCs/>
          <w:color w:val="1B5E20"/>
          <w:sz w:val="18"/>
          <w:szCs w:val="18"/>
        </w:rPr>
        <w:t xml:space="preserve">ANSWER: A = lack of inventory | B = buy-in | C = financial. SSI PDF: "Wrong SSIs are a major cause of settlement failures, second only to lack of inventory... settlement failures can trigger buy-in or sell-out notices... leading to direct financial losses."</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Q32 | ISDA.8 | MATCHING PAIRS</w:t>
      </w:r>
    </w:p>
    <w:p>
      <w:pPr>
        <w:spacing w:after="80" w:before="100"/>
        <w:ind w:left="200"/>
      </w:pPr>
      <w:r>
        <w:rPr>
          <w:rFonts w:ascii="Calibri" w:cs="Calibri" w:eastAsia="Calibri" w:hAnsi="Calibri"/>
          <w:b/>
          <w:bCs/>
          <w:color w:val="1A1A1A"/>
          <w:sz w:val="20"/>
          <w:szCs w:val="20"/>
        </w:rPr>
        <w:t xml:space="preserve">Match each consequence of wrong SSIs with its category (Source: SSI Consequences PDF):</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3400"/>
            <w:shd w:fill="D4EFEF" w:val="clear"/>
          </w:tcPr>
          <w:p>
            <w:pPr>
              <w:jc w:val="center"/>
            </w:pPr>
            <w:r>
              <w:rPr>
                <w:rFonts w:ascii="Calibri" w:cs="Calibri" w:eastAsia="Calibri" w:hAnsi="Calibri"/>
                <w:b/>
                <w:bCs/>
                <w:color w:val="1E3A5F"/>
                <w:sz w:val="18"/>
                <w:szCs w:val="18"/>
              </w:rPr>
              <w:t xml:space="preserve">Consequence</w:t>
            </w:r>
          </w:p>
        </w:tc>
        <w:tc>
          <w:tcPr>
            <w:tcW w:type="dxa" w:w="600"/>
            <w:shd w:fill="D4EFEF" w:val="clear"/>
          </w:tcPr>
          <w:p>
            <w:pPr>
              <w:jc w:val="center"/>
            </w:pPr>
            <w:r>
              <w:rPr>
                <w:rFonts w:ascii="Calibri" w:cs="Calibri" w:eastAsia="Calibri" w:hAnsi="Calibri"/>
                <w:b/>
                <w:bCs/>
                <w:color w:val="1E3A5F"/>
                <w:sz w:val="18"/>
                <w:szCs w:val="18"/>
              </w:rPr>
              <w:t xml:space="preserve">Match</w:t>
            </w:r>
          </w:p>
        </w:tc>
        <w:tc>
          <w:tcPr>
            <w:tcW w:type="dxa" w:w="3800"/>
            <w:shd w:fill="D4EFEF" w:val="clear"/>
          </w:tcPr>
          <w:p>
            <w:pPr>
              <w:jc w:val="center"/>
            </w:pPr>
            <w:r>
              <w:rPr>
                <w:rFonts w:ascii="Calibri" w:cs="Calibri" w:eastAsia="Calibri" w:hAnsi="Calibri"/>
                <w:b/>
                <w:bCs/>
                <w:color w:val="1E3A5F"/>
                <w:sz w:val="18"/>
                <w:szCs w:val="18"/>
              </w:rPr>
              <w:t xml:space="preserve">Category</w:t>
            </w:r>
          </w:p>
        </w:tc>
      </w:tr>
      <w:tr>
        <w:tc>
          <w:tcPr>
            <w:tcW w:type="dxa" w:w="3400"/>
            <w:shd w:fill="FFFFFF" w:val="clear"/>
            <w:vAlign w:val="top"/>
          </w:tcPr>
          <w:p>
            <w:r>
              <w:rPr>
                <w:rFonts w:ascii="Calibri" w:cs="Calibri" w:eastAsia="Calibri" w:hAnsi="Calibri"/>
                <w:sz w:val="17"/>
                <w:szCs w:val="17"/>
              </w:rPr>
              <w:t xml:space="preserve">Settlement failures and trade disruptions</w:t>
            </w:r>
          </w:p>
        </w:tc>
        <w:tc>
          <w:tcPr>
            <w:tcW w:type="dxa" w:w="600"/>
            <w:shd w:fill="FFFFFF" w:val="clear"/>
            <w:vAlign w:val="top"/>
          </w:tcPr>
          <w:p>
            <w:r>
              <w:rPr>
                <w:rFonts w:ascii="Calibri" w:cs="Calibri" w:eastAsia="Calibri" w:hAnsi="Calibri"/>
                <w:sz w:val="17"/>
                <w:szCs w:val="17"/>
              </w:rPr>
              <w:t xml:space="preserve">___</w:t>
            </w:r>
          </w:p>
        </w:tc>
        <w:tc>
          <w:tcPr>
            <w:tcW w:type="dxa" w:w="3800"/>
            <w:shd w:fill="FFFFFF" w:val="clear"/>
            <w:vAlign w:val="top"/>
          </w:tcPr>
          <w:p>
            <w:r>
              <w:rPr>
                <w:rFonts w:ascii="Calibri" w:cs="Calibri" w:eastAsia="Calibri" w:hAnsi="Calibri"/>
                <w:sz w:val="17"/>
                <w:szCs w:val="17"/>
              </w:rPr>
              <w:t xml:space="preserve">A. Reputational Impact</w:t>
            </w:r>
          </w:p>
        </w:tc>
      </w:tr>
      <w:tr>
        <w:tc>
          <w:tcPr>
            <w:tcW w:type="dxa" w:w="3400"/>
            <w:shd w:fill="F7F7F7" w:val="clear"/>
            <w:vAlign w:val="top"/>
          </w:tcPr>
          <w:p>
            <w:r>
              <w:rPr>
                <w:rFonts w:ascii="Calibri" w:cs="Calibri" w:eastAsia="Calibri" w:hAnsi="Calibri"/>
                <w:sz w:val="17"/>
                <w:szCs w:val="17"/>
              </w:rPr>
              <w:t xml:space="preserve">Increased credit and liquidity risks</w:t>
            </w:r>
          </w:p>
        </w:tc>
        <w:tc>
          <w:tcPr>
            <w:tcW w:type="dxa" w:w="600"/>
            <w:shd w:fill="F7F7F7" w:val="clear"/>
            <w:vAlign w:val="top"/>
          </w:tcPr>
          <w:p>
            <w:r>
              <w:rPr>
                <w:rFonts w:ascii="Calibri" w:cs="Calibri" w:eastAsia="Calibri" w:hAnsi="Calibri"/>
                <w:sz w:val="17"/>
                <w:szCs w:val="17"/>
              </w:rPr>
              <w:t xml:space="preserve">___</w:t>
            </w:r>
          </w:p>
        </w:tc>
        <w:tc>
          <w:tcPr>
            <w:tcW w:type="dxa" w:w="3800"/>
            <w:shd w:fill="F7F7F7" w:val="clear"/>
            <w:vAlign w:val="top"/>
          </w:tcPr>
          <w:p>
            <w:r>
              <w:rPr>
                <w:rFonts w:ascii="Calibri" w:cs="Calibri" w:eastAsia="Calibri" w:hAnsi="Calibri"/>
                <w:sz w:val="17"/>
                <w:szCs w:val="17"/>
              </w:rPr>
              <w:t xml:space="preserve">B. Financial and Operational Consequences</w:t>
            </w:r>
          </w:p>
        </w:tc>
      </w:tr>
      <w:tr>
        <w:tc>
          <w:tcPr>
            <w:tcW w:type="dxa" w:w="3400"/>
            <w:shd w:fill="FFFFFF" w:val="clear"/>
            <w:vAlign w:val="top"/>
          </w:tcPr>
          <w:p>
            <w:r>
              <w:rPr>
                <w:rFonts w:ascii="Calibri" w:cs="Calibri" w:eastAsia="Calibri" w:hAnsi="Calibri"/>
                <w:sz w:val="17"/>
                <w:szCs w:val="17"/>
              </w:rPr>
              <w:t xml:space="preserve">Regulatory non-compliance and potential legal penalties</w:t>
            </w:r>
          </w:p>
        </w:tc>
        <w:tc>
          <w:tcPr>
            <w:tcW w:type="dxa" w:w="600"/>
            <w:shd w:fill="FFFFFF" w:val="clear"/>
            <w:vAlign w:val="top"/>
          </w:tcPr>
          <w:p>
            <w:r>
              <w:rPr>
                <w:rFonts w:ascii="Calibri" w:cs="Calibri" w:eastAsia="Calibri" w:hAnsi="Calibri"/>
                <w:sz w:val="17"/>
                <w:szCs w:val="17"/>
              </w:rPr>
              <w:t xml:space="preserve">___</w:t>
            </w:r>
          </w:p>
        </w:tc>
        <w:tc>
          <w:tcPr>
            <w:tcW w:type="dxa" w:w="3800"/>
            <w:shd w:fill="FFFFFF" w:val="clear"/>
            <w:vAlign w:val="top"/>
          </w:tcPr>
          <w:p>
            <w:r>
              <w:rPr>
                <w:rFonts w:ascii="Calibri" w:cs="Calibri" w:eastAsia="Calibri" w:hAnsi="Calibri"/>
                <w:sz w:val="17"/>
                <w:szCs w:val="17"/>
              </w:rPr>
              <w:t xml:space="preserve">C. Risk Exposure</w:t>
            </w:r>
          </w:p>
        </w:tc>
      </w:tr>
      <w:tr>
        <w:tc>
          <w:tcPr>
            <w:tcW w:type="dxa" w:w="3400"/>
            <w:shd w:fill="F7F7F7" w:val="clear"/>
            <w:vAlign w:val="top"/>
          </w:tcPr>
          <w:p>
            <w:r>
              <w:rPr>
                <w:rFonts w:ascii="Calibri" w:cs="Calibri" w:eastAsia="Calibri" w:hAnsi="Calibri"/>
                <w:sz w:val="17"/>
                <w:szCs w:val="17"/>
              </w:rPr>
              <w:t xml:space="preserve">Loss of business and reduced market confidence</w:t>
            </w:r>
          </w:p>
        </w:tc>
        <w:tc>
          <w:tcPr>
            <w:tcW w:type="dxa" w:w="600"/>
            <w:shd w:fill="F7F7F7" w:val="clear"/>
            <w:vAlign w:val="top"/>
          </w:tcPr>
          <w:p>
            <w:r>
              <w:rPr>
                <w:rFonts w:ascii="Calibri" w:cs="Calibri" w:eastAsia="Calibri" w:hAnsi="Calibri"/>
                <w:sz w:val="17"/>
                <w:szCs w:val="17"/>
              </w:rPr>
              <w:t xml:space="preserve">___</w:t>
            </w:r>
          </w:p>
        </w:tc>
        <w:tc>
          <w:tcPr>
            <w:tcW w:type="dxa" w:w="3800"/>
            <w:shd w:fill="F7F7F7" w:val="clear"/>
            <w:vAlign w:val="top"/>
          </w:tcPr>
          <w:p>
            <w:r>
              <w:rPr>
                <w:rFonts w:ascii="Calibri" w:cs="Calibri" w:eastAsia="Calibri" w:hAnsi="Calibri"/>
                <w:sz w:val="17"/>
                <w:szCs w:val="17"/>
              </w:rPr>
              <w:t xml:space="preserve">D. Compliance and Regulatory Implications</w:t>
            </w:r>
          </w:p>
        </w:tc>
      </w:tr>
      <w:tr>
        <w:tc>
          <w:tcPr>
            <w:tcW w:type="dxa" w:w="3400"/>
            <w:shd w:fill="FFFFFF" w:val="clear"/>
            <w:vAlign w:val="top"/>
          </w:tcPr>
          <w:p>
            <w:r>
              <w:rPr>
                <w:rFonts w:ascii="Calibri" w:cs="Calibri" w:eastAsia="Calibri" w:hAnsi="Calibri"/>
                <w:sz w:val="17"/>
                <w:szCs w:val="17"/>
              </w:rPr>
              <w:t xml:space="preserve">Manual intervention and operational bottlenecks</w:t>
            </w:r>
          </w:p>
        </w:tc>
        <w:tc>
          <w:tcPr>
            <w:tcW w:type="dxa" w:w="600"/>
            <w:shd w:fill="FFFFFF" w:val="clear"/>
            <w:vAlign w:val="top"/>
          </w:tcPr>
          <w:p>
            <w:r>
              <w:rPr>
                <w:rFonts w:ascii="Calibri" w:cs="Calibri" w:eastAsia="Calibri" w:hAnsi="Calibri"/>
                <w:sz w:val="17"/>
                <w:szCs w:val="17"/>
              </w:rPr>
              <w:t xml:space="preserve">___</w:t>
            </w:r>
          </w:p>
        </w:tc>
        <w:tc>
          <w:tcPr>
            <w:tcW w:type="dxa" w:w="3800"/>
            <w:shd w:fill="FFFFFF" w:val="clear"/>
            <w:vAlign w:val="top"/>
          </w:tcPr>
          <w:p>
            <w:r>
              <w:rPr>
                <w:rFonts w:ascii="Calibri" w:cs="Calibri" w:eastAsia="Calibri" w:hAnsi="Calibri"/>
                <w:sz w:val="17"/>
                <w:szCs w:val="17"/>
              </w:rPr>
              <w:t xml:space="preserve">E. Efficiency and Automation Challenges</w:t>
            </w:r>
          </w:p>
        </w:tc>
      </w:tr>
    </w:tbl>
    <w:p>
      <w:pPr>
        <w:shd w:fill="E8F5E9" w:val="clear"/>
        <w:spacing w:after="100" w:before="100"/>
        <w:ind w:left="200"/>
      </w:pPr>
      <w:r>
        <w:rPr>
          <w:rFonts w:ascii="Calibri" w:cs="Calibri" w:eastAsia="Calibri" w:hAnsi="Calibri"/>
          <w:b/>
          <w:bCs/>
          <w:color w:val="1B5E20"/>
          <w:sz w:val="18"/>
          <w:szCs w:val="18"/>
        </w:rPr>
        <w:t xml:space="preserve">ANSWER: Settlement failures=B | Credit/liquidity risks=C | Regulatory non-compliance=D | Loss of business=A | Manual intervention=E. Source: SSI Consequences PDF.</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ISDA.9 | OTC Trade Life Cycle with ISDA - Worked Example</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Q33 | ISDA.9 | MCQ INLINE</w:t>
      </w:r>
    </w:p>
    <w:p>
      <w:pPr>
        <w:spacing w:after="80" w:before="100"/>
        <w:ind w:left="200"/>
      </w:pPr>
      <w:r>
        <w:rPr>
          <w:rFonts w:ascii="Calibri" w:cs="Calibri" w:eastAsia="Calibri" w:hAnsi="Calibri"/>
          <w:b/>
          <w:bCs/>
          <w:color w:val="1A1A1A"/>
          <w:sz w:val="20"/>
          <w:szCs w:val="20"/>
        </w:rPr>
        <w:t xml:space="preserve">In the Bank A and Bank B interest rate swap scenario (Slide 54), what does Bank A have, and what does Bank B have?</w:t>
      </w:r>
    </w:p>
    <w:p>
      <w:pPr>
        <w:spacing w:after="40" w:before="40"/>
        <w:ind w:left="400"/>
      </w:pPr>
      <w:r>
        <w:rPr>
          <w:rFonts w:ascii="Calibri" w:cs="Calibri" w:eastAsia="Calibri" w:hAnsi="Calibri"/>
          <w:color w:val="333333"/>
          <w:sz w:val="19"/>
          <w:szCs w:val="19"/>
        </w:rPr>
        <w:t xml:space="preserve">A. Bank A has a fixed-rate loan; Bank B has a variable-rate loan</w:t>
      </w:r>
    </w:p>
    <w:p>
      <w:pPr>
        <w:spacing w:after="40" w:before="40"/>
        <w:ind w:left="400"/>
      </w:pPr>
      <w:r>
        <w:rPr>
          <w:rFonts w:ascii="Calibri" w:cs="Calibri" w:eastAsia="Calibri" w:hAnsi="Calibri"/>
          <w:color w:val="1B5E20"/>
          <w:sz w:val="19"/>
          <w:szCs w:val="19"/>
        </w:rPr>
        <w:t xml:space="preserve">B. Bank A has a variable-rate loan; Bank B has a fixed-rate loan</w:t>
      </w:r>
    </w:p>
    <w:p>
      <w:pPr>
        <w:spacing w:after="40" w:before="40"/>
        <w:ind w:left="400"/>
      </w:pPr>
      <w:r>
        <w:rPr>
          <w:rFonts w:ascii="Calibri" w:cs="Calibri" w:eastAsia="Calibri" w:hAnsi="Calibri"/>
          <w:color w:val="333333"/>
          <w:sz w:val="19"/>
          <w:szCs w:val="19"/>
        </w:rPr>
        <w:t xml:space="preserve">C. Both Bank A and Bank B have variable-rate loans</w:t>
      </w:r>
    </w:p>
    <w:p>
      <w:pPr>
        <w:spacing w:after="40" w:before="40"/>
        <w:ind w:left="400"/>
      </w:pPr>
      <w:r>
        <w:rPr>
          <w:rFonts w:ascii="Calibri" w:cs="Calibri" w:eastAsia="Calibri" w:hAnsi="Calibri"/>
          <w:color w:val="333333"/>
          <w:sz w:val="19"/>
          <w:szCs w:val="19"/>
        </w:rPr>
        <w:t xml:space="preserve">D. Bank A has a bond portfolio; Bank B has a credit facility</w:t>
      </w:r>
    </w:p>
    <w:p>
      <w:pPr>
        <w:shd w:fill="E8F5E9" w:val="clear"/>
        <w:spacing w:after="100" w:before="100"/>
        <w:ind w:left="200"/>
      </w:pPr>
      <w:r>
        <w:rPr>
          <w:rFonts w:ascii="Calibri" w:cs="Calibri" w:eastAsia="Calibri" w:hAnsi="Calibri"/>
          <w:b/>
          <w:bCs/>
          <w:color w:val="1B5E20"/>
          <w:sz w:val="18"/>
          <w:szCs w:val="18"/>
        </w:rPr>
        <w:t xml:space="preserve">ANSWER: B. Bank A has a variable-rate loan; Bank B has a fixed-rate loan. Slide 54: "Bank A has a variable-rate loan, while Bank B has a fixed-rate loan."</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Q34 | ISDA.9 | TRUE/FALSE MULTI</w:t>
      </w:r>
    </w:p>
    <w:p>
      <w:pPr>
        <w:spacing w:after="80" w:before="100"/>
        <w:ind w:left="200"/>
      </w:pPr>
      <w:r>
        <w:rPr>
          <w:rFonts w:ascii="Calibri" w:cs="Calibri" w:eastAsia="Calibri" w:hAnsi="Calibri"/>
          <w:b/>
          <w:bCs/>
          <w:color w:val="1A1A1A"/>
          <w:sz w:val="20"/>
          <w:szCs w:val="20"/>
        </w:rPr>
        <w:t xml:space="preserve">Mark each statement TRUE or FALSE about the ISDA worked example (Slides 53-56):</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The parties use a short form confirmation or term sheet that references the ISDA Master Agreement for full legal terms.</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54: "the parties use a short form confirmation or term sheet that summarizes the key details... This document references the ISDA Master Agreement for the full legal terms and conditions."</w:t>
            </w:r>
          </w:p>
        </w:tc>
      </w:tr>
      <w:tr>
        <w:tc>
          <w:tcPr>
            <w:tcW w:type="dxa" w:w="4000"/>
            <w:shd w:fill="F7F7F7" w:val="clear"/>
            <w:vAlign w:val="top"/>
          </w:tcPr>
          <w:p>
            <w:r>
              <w:rPr>
                <w:rFonts w:ascii="Calibri" w:cs="Calibri" w:eastAsia="Calibri" w:hAnsi="Calibri"/>
                <w:sz w:val="17"/>
                <w:szCs w:val="17"/>
              </w:rPr>
              <w:t xml:space="preserve">Legal teams review the short form to ensure it aligns with the ISDA Master Agreement, reducing need for extensive negotiations.</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55: "Legal teams from both banks review the short form confirmation and ensure that it aligns with the terms and conditions outlined in the ISDA Master Agreement. The ISDA Master Agreement provides a standardized legal framework, reducing the need for extensive negotiations for each transaction."</w:t>
            </w:r>
          </w:p>
        </w:tc>
      </w:tr>
      <w:tr>
        <w:tc>
          <w:tcPr>
            <w:tcW w:type="dxa" w:w="4000"/>
            <w:shd w:fill="FFFFFF" w:val="clear"/>
            <w:vAlign w:val="top"/>
          </w:tcPr>
          <w:p>
            <w:r>
              <w:rPr>
                <w:rFonts w:ascii="Calibri" w:cs="Calibri" w:eastAsia="Calibri" w:hAnsi="Calibri"/>
                <w:sz w:val="17"/>
                <w:szCs w:val="17"/>
              </w:rPr>
              <w:t xml:space="preserve">The ISDA Master Agreement does not include dispute resolution provisions.</w:t>
            </w:r>
          </w:p>
        </w:tc>
        <w:tc>
          <w:tcPr>
            <w:tcW w:type="dxa" w:w="800"/>
            <w:shd w:fill="FFFFFF" w:val="clear"/>
            <w:vAlign w:val="top"/>
          </w:tcPr>
          <w:p>
            <w:r>
              <w:rPr>
                <w:rFonts w:ascii="Calibri" w:cs="Calibri" w:eastAsia="Calibri" w:hAnsi="Calibri"/>
                <w:sz w:val="17"/>
                <w:szCs w:val="17"/>
              </w:rPr>
              <w:t xml:space="preserve">FALSE</w:t>
            </w:r>
          </w:p>
        </w:tc>
        <w:tc>
          <w:tcPr>
            <w:tcW w:type="dxa" w:w="3000"/>
            <w:shd w:fill="FFFFFF" w:val="clear"/>
            <w:vAlign w:val="top"/>
          </w:tcPr>
          <w:p>
            <w:r>
              <w:rPr>
                <w:rFonts w:ascii="Calibri" w:cs="Calibri" w:eastAsia="Calibri" w:hAnsi="Calibri"/>
                <w:sz w:val="17"/>
                <w:szCs w:val="17"/>
              </w:rPr>
              <w:t xml:space="preserve">Slide 56: "In case of disputes or disagreements, the ISDA Master Agreement outlines a dispute resolution process, including provisions for mediation and arbitration."</w:t>
            </w:r>
          </w:p>
        </w:tc>
      </w:tr>
      <w:tr>
        <w:tc>
          <w:tcPr>
            <w:tcW w:type="dxa" w:w="4000"/>
            <w:shd w:fill="F7F7F7" w:val="clear"/>
            <w:vAlign w:val="top"/>
          </w:tcPr>
          <w:p>
            <w:r>
              <w:rPr>
                <w:rFonts w:ascii="Calibri" w:cs="Calibri" w:eastAsia="Calibri" w:hAnsi="Calibri"/>
                <w:sz w:val="17"/>
                <w:szCs w:val="17"/>
              </w:rPr>
              <w:t xml:space="preserve">Executing the short form confirmation incorporates the terms of the ISDA Master Agreement by reference.</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55: "The parties execute the short form confirmation, and by doing so, they incorporate the terms of the ISDA Master Agreement by reference."</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Q35 | ISDA.9 | MATCHING PAIRS</w:t>
      </w:r>
    </w:p>
    <w:p>
      <w:pPr>
        <w:spacing w:after="80" w:before="100"/>
        <w:ind w:left="200"/>
      </w:pPr>
      <w:r>
        <w:rPr>
          <w:rFonts w:ascii="Calibri" w:cs="Calibri" w:eastAsia="Calibri" w:hAnsi="Calibri"/>
          <w:b/>
          <w:bCs/>
          <w:color w:val="1A1A1A"/>
          <w:sz w:val="20"/>
          <w:szCs w:val="20"/>
        </w:rPr>
        <w:t xml:space="preserve">In the ISDA worked example, match each phase with its description (Slides 54-56):</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2400"/>
            <w:shd w:fill="D4EFEF" w:val="clear"/>
          </w:tcPr>
          <w:p>
            <w:pPr>
              <w:jc w:val="center"/>
            </w:pPr>
            <w:r>
              <w:rPr>
                <w:rFonts w:ascii="Calibri" w:cs="Calibri" w:eastAsia="Calibri" w:hAnsi="Calibri"/>
                <w:b/>
                <w:bCs/>
                <w:color w:val="1E3A5F"/>
                <w:sz w:val="18"/>
                <w:szCs w:val="18"/>
              </w:rPr>
              <w:t xml:space="preserve">Phase</w:t>
            </w:r>
          </w:p>
        </w:tc>
        <w:tc>
          <w:tcPr>
            <w:tcW w:type="dxa" w:w="600"/>
            <w:shd w:fill="D4EFEF" w:val="clear"/>
          </w:tcPr>
          <w:p>
            <w:pPr>
              <w:jc w:val="center"/>
            </w:pPr>
            <w:r>
              <w:rPr>
                <w:rFonts w:ascii="Calibri" w:cs="Calibri" w:eastAsia="Calibri" w:hAnsi="Calibri"/>
                <w:b/>
                <w:bCs/>
                <w:color w:val="1E3A5F"/>
                <w:sz w:val="18"/>
                <w:szCs w:val="18"/>
              </w:rPr>
              <w:t xml:space="preserve">Match</w:t>
            </w:r>
          </w:p>
        </w:tc>
        <w:tc>
          <w:tcPr>
            <w:tcW w:type="dxa" w:w="4800"/>
            <w:shd w:fill="D4EFEF" w:val="clear"/>
          </w:tcPr>
          <w:p>
            <w:pPr>
              <w:jc w:val="center"/>
            </w:pPr>
            <w:r>
              <w:rPr>
                <w:rFonts w:ascii="Calibri" w:cs="Calibri" w:eastAsia="Calibri" w:hAnsi="Calibri"/>
                <w:b/>
                <w:bCs/>
                <w:color w:val="1E3A5F"/>
                <w:sz w:val="18"/>
                <w:szCs w:val="18"/>
              </w:rPr>
              <w:t xml:space="preserve">Description</w:t>
            </w:r>
          </w:p>
        </w:tc>
      </w:tr>
      <w:tr>
        <w:tc>
          <w:tcPr>
            <w:tcW w:type="dxa" w:w="2400"/>
            <w:shd w:fill="FFFFFF" w:val="clear"/>
            <w:vAlign w:val="top"/>
          </w:tcPr>
          <w:p>
            <w:r>
              <w:rPr>
                <w:rFonts w:ascii="Calibri" w:cs="Calibri" w:eastAsia="Calibri" w:hAnsi="Calibri"/>
                <w:sz w:val="17"/>
                <w:szCs w:val="17"/>
              </w:rPr>
              <w:t xml:space="preserve">Initial Contact</w:t>
            </w:r>
          </w:p>
        </w:tc>
        <w:tc>
          <w:tcPr>
            <w:tcW w:type="dxa" w:w="600"/>
            <w:shd w:fill="FFFFFF" w:val="clear"/>
            <w:vAlign w:val="top"/>
          </w:tcPr>
          <w:p>
            <w:r>
              <w:rPr>
                <w:rFonts w:ascii="Calibri" w:cs="Calibri" w:eastAsia="Calibri" w:hAnsi="Calibri"/>
                <w:sz w:val="17"/>
                <w:szCs w:val="17"/>
              </w:rPr>
              <w:t xml:space="preserve">___</w:t>
            </w:r>
          </w:p>
        </w:tc>
        <w:tc>
          <w:tcPr>
            <w:tcW w:type="dxa" w:w="4800"/>
            <w:shd w:fill="FFFFFF" w:val="clear"/>
            <w:vAlign w:val="top"/>
          </w:tcPr>
          <w:p>
            <w:r>
              <w:rPr>
                <w:rFonts w:ascii="Calibri" w:cs="Calibri" w:eastAsia="Calibri" w:hAnsi="Calibri"/>
                <w:sz w:val="17"/>
                <w:szCs w:val="17"/>
              </w:rPr>
              <w:t xml:space="preserve">A. ISDA MA includes reporting obligations for transparency between parties</w:t>
            </w:r>
          </w:p>
        </w:tc>
      </w:tr>
      <w:tr>
        <w:tc>
          <w:tcPr>
            <w:tcW w:type="dxa" w:w="2400"/>
            <w:shd w:fill="F7F7F7" w:val="clear"/>
            <w:vAlign w:val="top"/>
          </w:tcPr>
          <w:p>
            <w:r>
              <w:rPr>
                <w:rFonts w:ascii="Calibri" w:cs="Calibri" w:eastAsia="Calibri" w:hAnsi="Calibri"/>
                <w:sz w:val="17"/>
                <w:szCs w:val="17"/>
              </w:rPr>
              <w:t xml:space="preserve">Negotiation Phase</w:t>
            </w:r>
          </w:p>
        </w:tc>
        <w:tc>
          <w:tcPr>
            <w:tcW w:type="dxa" w:w="600"/>
            <w:shd w:fill="F7F7F7" w:val="clear"/>
            <w:vAlign w:val="top"/>
          </w:tcPr>
          <w:p>
            <w:r>
              <w:rPr>
                <w:rFonts w:ascii="Calibri" w:cs="Calibri" w:eastAsia="Calibri" w:hAnsi="Calibri"/>
                <w:sz w:val="17"/>
                <w:szCs w:val="17"/>
              </w:rPr>
              <w:t xml:space="preserve">___</w:t>
            </w:r>
          </w:p>
        </w:tc>
        <w:tc>
          <w:tcPr>
            <w:tcW w:type="dxa" w:w="4800"/>
            <w:shd w:fill="F7F7F7" w:val="clear"/>
            <w:vAlign w:val="top"/>
          </w:tcPr>
          <w:p>
            <w:r>
              <w:rPr>
                <w:rFonts w:ascii="Calibri" w:cs="Calibri" w:eastAsia="Calibri" w:hAnsi="Calibri"/>
                <w:sz w:val="17"/>
                <w:szCs w:val="17"/>
              </w:rPr>
              <w:t xml:space="preserve">B. Two institutions decide to enter an interest rate swap to manage rate exposure</w:t>
            </w:r>
          </w:p>
        </w:tc>
      </w:tr>
      <w:tr>
        <w:tc>
          <w:tcPr>
            <w:tcW w:type="dxa" w:w="2400"/>
            <w:shd w:fill="FFFFFF" w:val="clear"/>
            <w:vAlign w:val="top"/>
          </w:tcPr>
          <w:p>
            <w:r>
              <w:rPr>
                <w:rFonts w:ascii="Calibri" w:cs="Calibri" w:eastAsia="Calibri" w:hAnsi="Calibri"/>
                <w:sz w:val="17"/>
                <w:szCs w:val="17"/>
              </w:rPr>
              <w:t xml:space="preserve">Confirmation of Terms</w:t>
            </w:r>
          </w:p>
        </w:tc>
        <w:tc>
          <w:tcPr>
            <w:tcW w:type="dxa" w:w="600"/>
            <w:shd w:fill="FFFFFF" w:val="clear"/>
            <w:vAlign w:val="top"/>
          </w:tcPr>
          <w:p>
            <w:r>
              <w:rPr>
                <w:rFonts w:ascii="Calibri" w:cs="Calibri" w:eastAsia="Calibri" w:hAnsi="Calibri"/>
                <w:sz w:val="17"/>
                <w:szCs w:val="17"/>
              </w:rPr>
              <w:t xml:space="preserve">___</w:t>
            </w:r>
          </w:p>
        </w:tc>
        <w:tc>
          <w:tcPr>
            <w:tcW w:type="dxa" w:w="4800"/>
            <w:shd w:fill="FFFFFF" w:val="clear"/>
            <w:vAlign w:val="top"/>
          </w:tcPr>
          <w:p>
            <w:r>
              <w:rPr>
                <w:rFonts w:ascii="Calibri" w:cs="Calibri" w:eastAsia="Calibri" w:hAnsi="Calibri"/>
                <w:sz w:val="17"/>
                <w:szCs w:val="17"/>
              </w:rPr>
              <w:t xml:space="preserve">C. Key terms agreed: notional amount, fixed/floating rates, payment frequency, maturity date</w:t>
            </w:r>
          </w:p>
        </w:tc>
      </w:tr>
      <w:tr>
        <w:tc>
          <w:tcPr>
            <w:tcW w:type="dxa" w:w="2400"/>
            <w:shd w:fill="F7F7F7" w:val="clear"/>
            <w:vAlign w:val="top"/>
          </w:tcPr>
          <w:p>
            <w:r>
              <w:rPr>
                <w:rFonts w:ascii="Calibri" w:cs="Calibri" w:eastAsia="Calibri" w:hAnsi="Calibri"/>
                <w:sz w:val="17"/>
                <w:szCs w:val="17"/>
              </w:rPr>
              <w:t xml:space="preserve">Risk Management and Reporting</w:t>
            </w:r>
          </w:p>
        </w:tc>
        <w:tc>
          <w:tcPr>
            <w:tcW w:type="dxa" w:w="600"/>
            <w:shd w:fill="F7F7F7" w:val="clear"/>
            <w:vAlign w:val="top"/>
          </w:tcPr>
          <w:p>
            <w:r>
              <w:rPr>
                <w:rFonts w:ascii="Calibri" w:cs="Calibri" w:eastAsia="Calibri" w:hAnsi="Calibri"/>
                <w:sz w:val="17"/>
                <w:szCs w:val="17"/>
              </w:rPr>
              <w:t xml:space="preserve">___</w:t>
            </w:r>
          </w:p>
        </w:tc>
        <w:tc>
          <w:tcPr>
            <w:tcW w:type="dxa" w:w="4800"/>
            <w:shd w:fill="F7F7F7" w:val="clear"/>
            <w:vAlign w:val="top"/>
          </w:tcPr>
          <w:p>
            <w:r>
              <w:rPr>
                <w:rFonts w:ascii="Calibri" w:cs="Calibri" w:eastAsia="Calibri" w:hAnsi="Calibri"/>
                <w:sz w:val="17"/>
                <w:szCs w:val="17"/>
              </w:rPr>
              <w:t xml:space="preserve">D. Short form confirmation or term sheet issued, referencing the ISDA Master Agreement</w:t>
            </w:r>
          </w:p>
        </w:tc>
      </w:tr>
      <w:tr>
        <w:tc>
          <w:tcPr>
            <w:tcW w:type="dxa" w:w="2400"/>
            <w:shd w:fill="FFFFFF" w:val="clear"/>
            <w:vAlign w:val="top"/>
          </w:tcPr>
          <w:p>
            <w:r>
              <w:rPr>
                <w:rFonts w:ascii="Calibri" w:cs="Calibri" w:eastAsia="Calibri" w:hAnsi="Calibri"/>
                <w:sz w:val="17"/>
                <w:szCs w:val="17"/>
              </w:rPr>
              <w:t xml:space="preserve">Dispute Resolution</w:t>
            </w:r>
          </w:p>
        </w:tc>
        <w:tc>
          <w:tcPr>
            <w:tcW w:type="dxa" w:w="600"/>
            <w:shd w:fill="FFFFFF" w:val="clear"/>
            <w:vAlign w:val="top"/>
          </w:tcPr>
          <w:p>
            <w:r>
              <w:rPr>
                <w:rFonts w:ascii="Calibri" w:cs="Calibri" w:eastAsia="Calibri" w:hAnsi="Calibri"/>
                <w:sz w:val="17"/>
                <w:szCs w:val="17"/>
              </w:rPr>
              <w:t xml:space="preserve">___</w:t>
            </w:r>
          </w:p>
        </w:tc>
        <w:tc>
          <w:tcPr>
            <w:tcW w:type="dxa" w:w="4800"/>
            <w:shd w:fill="FFFFFF" w:val="clear"/>
            <w:vAlign w:val="top"/>
          </w:tcPr>
          <w:p>
            <w:r>
              <w:rPr>
                <w:rFonts w:ascii="Calibri" w:cs="Calibri" w:eastAsia="Calibri" w:hAnsi="Calibri"/>
                <w:sz w:val="17"/>
                <w:szCs w:val="17"/>
              </w:rPr>
              <w:t xml:space="preserve">E. ISDA MA provides mediation and arbitration provisions</w:t>
            </w:r>
          </w:p>
        </w:tc>
      </w:tr>
    </w:tbl>
    <w:p>
      <w:pPr>
        <w:shd w:fill="E8F5E9" w:val="clear"/>
        <w:spacing w:after="100" w:before="100"/>
        <w:ind w:left="200"/>
      </w:pPr>
      <w:r>
        <w:rPr>
          <w:rFonts w:ascii="Calibri" w:cs="Calibri" w:eastAsia="Calibri" w:hAnsi="Calibri"/>
          <w:b/>
          <w:bCs/>
          <w:color w:val="1B5E20"/>
          <w:sz w:val="18"/>
          <w:szCs w:val="18"/>
        </w:rPr>
        <w:t xml:space="preserve">ANSWER: Initial Contact=B | Negotiation Phase=C | Confirmation of Terms=D | Risk Management and Reporting=A | Dispute Resolution=E. Source: Slides 54-56.</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Q36 | ISDA.9 | GAP FILL DROPDOWN</w:t>
      </w:r>
    </w:p>
    <w:p>
      <w:pPr>
        <w:spacing w:after="80" w:before="100"/>
        <w:ind w:left="200"/>
      </w:pPr>
      <w:r>
        <w:rPr>
          <w:rFonts w:ascii="Calibri" w:cs="Calibri" w:eastAsia="Calibri" w:hAnsi="Calibri"/>
          <w:b/>
          <w:bCs/>
          <w:color w:val="1A1A1A"/>
          <w:sz w:val="20"/>
          <w:szCs w:val="20"/>
        </w:rPr>
        <w:t xml:space="preserve">Complete the sentence about the ISDA worked example (Slide 56):</w:t>
      </w:r>
    </w:p>
    <w:p>
      <w:pPr>
        <w:spacing w:after="80" w:before="80"/>
        <w:ind w:left="200"/>
      </w:pPr>
      <w:r>
        <w:rPr>
          <w:rFonts w:ascii="Calibri" w:cs="Calibri" w:eastAsia="Calibri" w:hAnsi="Calibri"/>
          <w:i/>
          <w:iCs/>
          <w:sz w:val="19"/>
          <w:szCs w:val="19"/>
        </w:rPr>
        <w:t xml:space="preserve">The ISDA Master Agreement includes provisions related to events of _______ [A], termination events, and _______ [B] management. Additionally, the agreement includes _______ [C] obligations to ensure transparency between the parties.</w:t>
      </w:r>
    </w:p>
    <w:p>
      <w:pPr>
        <w:spacing w:after="40" w:before="40"/>
        <w:ind w:left="400"/>
      </w:pPr>
      <w:r>
        <w:rPr>
          <w:rFonts w:ascii="Calibri" w:cs="Calibri" w:eastAsia="Calibri" w:hAnsi="Calibri"/>
          <w:color w:val="555555"/>
          <w:sz w:val="18"/>
          <w:szCs w:val="18"/>
        </w:rPr>
        <w:t xml:space="preserve">Dropdown A options: settlement / default / trading / execution</w:t>
      </w:r>
    </w:p>
    <w:p>
      <w:pPr>
        <w:spacing w:after="40" w:before="40"/>
        <w:ind w:left="400"/>
      </w:pPr>
      <w:r>
        <w:rPr>
          <w:rFonts w:ascii="Calibri" w:cs="Calibri" w:eastAsia="Calibri" w:hAnsi="Calibri"/>
          <w:color w:val="555555"/>
          <w:sz w:val="18"/>
          <w:szCs w:val="18"/>
        </w:rPr>
        <w:t xml:space="preserve">Dropdown B options: portfolio / collateral / risk / credit</w:t>
      </w:r>
    </w:p>
    <w:p>
      <w:pPr>
        <w:spacing w:after="40" w:before="40"/>
        <w:ind w:left="400"/>
      </w:pPr>
      <w:r>
        <w:rPr>
          <w:rFonts w:ascii="Calibri" w:cs="Calibri" w:eastAsia="Calibri" w:hAnsi="Calibri"/>
          <w:color w:val="555555"/>
          <w:sz w:val="18"/>
          <w:szCs w:val="18"/>
        </w:rPr>
        <w:t xml:space="preserve">Dropdown C options: payment / reporting / settlement / audit</w:t>
      </w:r>
    </w:p>
    <w:p>
      <w:pPr>
        <w:shd w:fill="E8F5E9" w:val="clear"/>
        <w:spacing w:after="100" w:before="100"/>
        <w:ind w:left="200"/>
      </w:pPr>
      <w:r>
        <w:rPr>
          <w:rFonts w:ascii="Calibri" w:cs="Calibri" w:eastAsia="Calibri" w:hAnsi="Calibri"/>
          <w:b/>
          <w:bCs/>
          <w:color w:val="1B5E20"/>
          <w:sz w:val="18"/>
          <w:szCs w:val="18"/>
        </w:rPr>
        <w:t xml:space="preserve">ANSWER: A = default | B = collateral | C = reporting. Slide 56: "The ISDA Master Agreement includes provisions related to events of default, termination events, and collateral management... the agreement includes reporting obligations to ensure transparency between the parties."</w:t>
      </w:r>
    </w:p>
    <w:p>
      <w:pPr>
        <w:spacing w:after="80" w:before="80"/>
      </w:pPr>
      <w:r>
        <w:t xml:space="preserve"/>
      </w:r>
    </w:p>
    <w:p>
      <w:r>
        <w:br w:type="page"/>
      </w:r>
    </w:p>
    <w:p>
      <w:pPr>
        <w:shd w:fill="1E3A5F" w:val="clear"/>
        <w:spacing w:after="200" w:before="200"/>
        <w:ind w:left="200"/>
      </w:pPr>
      <w:r>
        <w:rPr>
          <w:rFonts w:ascii="Calibri" w:cs="Calibri" w:eastAsia="Calibri" w:hAnsi="Calibri"/>
          <w:b/>
          <w:bCs/>
          <w:color w:val="FFFFFF"/>
          <w:sz w:val="26"/>
          <w:szCs w:val="26"/>
        </w:rPr>
        <w:t xml:space="preserve">ISDA.10 | Real World OTC &amp; ISDA Examples</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Q37 | ISDA.10 | MCQ INLINE</w:t>
      </w:r>
    </w:p>
    <w:p>
      <w:pPr>
        <w:spacing w:after="80" w:before="100"/>
        <w:ind w:left="200"/>
      </w:pPr>
      <w:r>
        <w:rPr>
          <w:rFonts w:ascii="Calibri" w:cs="Calibri" w:eastAsia="Calibri" w:hAnsi="Calibri"/>
          <w:b/>
          <w:bCs/>
          <w:color w:val="1A1A1A"/>
          <w:sz w:val="20"/>
          <w:szCs w:val="20"/>
        </w:rPr>
        <w:t xml:space="preserve">According to Slide 58, what type of derivatives was Long-Term Capital Management (LTCM) particularly involved in that led to its crisis in 1998?</w:t>
      </w:r>
    </w:p>
    <w:p>
      <w:pPr>
        <w:spacing w:after="40" w:before="40"/>
        <w:ind w:left="400"/>
      </w:pPr>
      <w:r>
        <w:rPr>
          <w:rFonts w:ascii="Calibri" w:cs="Calibri" w:eastAsia="Calibri" w:hAnsi="Calibri"/>
          <w:color w:val="333333"/>
          <w:sz w:val="19"/>
          <w:szCs w:val="19"/>
        </w:rPr>
        <w:t xml:space="preserve">A. Currency derivatives tied to emerging market currencies</w:t>
      </w:r>
    </w:p>
    <w:p>
      <w:pPr>
        <w:spacing w:after="40" w:before="40"/>
        <w:ind w:left="400"/>
      </w:pPr>
      <w:r>
        <w:rPr>
          <w:rFonts w:ascii="Calibri" w:cs="Calibri" w:eastAsia="Calibri" w:hAnsi="Calibri"/>
          <w:color w:val="1B5E20"/>
          <w:sz w:val="19"/>
          <w:szCs w:val="19"/>
        </w:rPr>
        <w:t xml:space="preserve">B. Complex OTC derivatives particularly in the fixed-income markets</w:t>
      </w:r>
    </w:p>
    <w:p>
      <w:pPr>
        <w:spacing w:after="40" w:before="40"/>
        <w:ind w:left="400"/>
      </w:pPr>
      <w:r>
        <w:rPr>
          <w:rFonts w:ascii="Calibri" w:cs="Calibri" w:eastAsia="Calibri" w:hAnsi="Calibri"/>
          <w:color w:val="333333"/>
          <w:sz w:val="19"/>
          <w:szCs w:val="19"/>
        </w:rPr>
        <w:t xml:space="preserve">C. Equity derivatives on technology stocks</w:t>
      </w:r>
    </w:p>
    <w:p>
      <w:pPr>
        <w:spacing w:after="40" w:before="40"/>
        <w:ind w:left="400"/>
      </w:pPr>
      <w:r>
        <w:rPr>
          <w:rFonts w:ascii="Calibri" w:cs="Calibri" w:eastAsia="Calibri" w:hAnsi="Calibri"/>
          <w:color w:val="333333"/>
          <w:sz w:val="19"/>
          <w:szCs w:val="19"/>
        </w:rPr>
        <w:t xml:space="preserve">D. Commodity derivatives on oil and gas</w:t>
      </w:r>
    </w:p>
    <w:p>
      <w:pPr>
        <w:shd w:fill="E8F5E9" w:val="clear"/>
        <w:spacing w:after="100" w:before="100"/>
        <w:ind w:left="200"/>
      </w:pPr>
      <w:r>
        <w:rPr>
          <w:rFonts w:ascii="Calibri" w:cs="Calibri" w:eastAsia="Calibri" w:hAnsi="Calibri"/>
          <w:b/>
          <w:bCs/>
          <w:color w:val="1B5E20"/>
          <w:sz w:val="18"/>
          <w:szCs w:val="18"/>
        </w:rPr>
        <w:t xml:space="preserve">ANSWER: B. Complex OTC derivatives particularly in the fixed-income markets. Slide 58: "The fund engaged in complex OTC derivatives transactions, particularly in the fixed-income markets."</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Q38 | ISDA.10 | TRUE/FALSE MULTI</w:t>
      </w:r>
    </w:p>
    <w:p>
      <w:pPr>
        <w:spacing w:after="80" w:before="100"/>
        <w:ind w:left="200"/>
      </w:pPr>
      <w:r>
        <w:rPr>
          <w:rFonts w:ascii="Calibri" w:cs="Calibri" w:eastAsia="Calibri" w:hAnsi="Calibri"/>
          <w:b/>
          <w:bCs/>
          <w:color w:val="1A1A1A"/>
          <w:sz w:val="20"/>
          <w:szCs w:val="20"/>
        </w:rPr>
        <w:t xml:space="preserve">Mark each statement TRUE or FALSE about real-world OTC events (Slides 58-61):</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4000"/>
            <w:shd w:fill="D4EFEF" w:val="clear"/>
          </w:tcPr>
          <w:p>
            <w:pPr>
              <w:jc w:val="center"/>
            </w:pPr>
            <w:r>
              <w:rPr>
                <w:rFonts w:ascii="Calibri" w:cs="Calibri" w:eastAsia="Calibri" w:hAnsi="Calibri"/>
                <w:b/>
                <w:bCs/>
                <w:color w:val="1E3A5F"/>
                <w:sz w:val="18"/>
                <w:szCs w:val="18"/>
              </w:rPr>
              <w:t xml:space="preserve">Statement</w:t>
            </w:r>
          </w:p>
        </w:tc>
        <w:tc>
          <w:tcPr>
            <w:tcW w:type="dxa" w:w="800"/>
            <w:shd w:fill="D4EFEF" w:val="clear"/>
          </w:tcPr>
          <w:p>
            <w:pPr>
              <w:jc w:val="center"/>
            </w:pPr>
            <w:r>
              <w:rPr>
                <w:rFonts w:ascii="Calibri" w:cs="Calibri" w:eastAsia="Calibri" w:hAnsi="Calibri"/>
                <w:b/>
                <w:bCs/>
                <w:color w:val="1E3A5F"/>
                <w:sz w:val="18"/>
                <w:szCs w:val="18"/>
              </w:rPr>
              <w:t xml:space="preserve">T / F</w:t>
            </w:r>
          </w:p>
        </w:tc>
        <w:tc>
          <w:tcPr>
            <w:tcW w:type="dxa" w:w="3000"/>
            <w:shd w:fill="D4EFEF" w:val="clear"/>
          </w:tcPr>
          <w:p>
            <w:pPr>
              <w:jc w:val="center"/>
            </w:pPr>
            <w:r>
              <w:rPr>
                <w:rFonts w:ascii="Calibri" w:cs="Calibri" w:eastAsia="Calibri" w:hAnsi="Calibri"/>
                <w:b/>
                <w:bCs/>
                <w:color w:val="1E3A5F"/>
                <w:sz w:val="18"/>
                <w:szCs w:val="18"/>
              </w:rPr>
              <w:t xml:space="preserve">Explanation (from slide)</w:t>
            </w:r>
          </w:p>
        </w:tc>
      </w:tr>
      <w:tr>
        <w:tc>
          <w:tcPr>
            <w:tcW w:type="dxa" w:w="4000"/>
            <w:shd w:fill="FFFFFF" w:val="clear"/>
            <w:vAlign w:val="top"/>
          </w:tcPr>
          <w:p>
            <w:r>
              <w:rPr>
                <w:rFonts w:ascii="Calibri" w:cs="Calibri" w:eastAsia="Calibri" w:hAnsi="Calibri"/>
                <w:sz w:val="17"/>
                <w:szCs w:val="17"/>
              </w:rPr>
              <w:t xml:space="preserve">The Subprime Mortgage Crisis involved OTC derivatives tied to mortgage-backed securities, including CDOs and credit default swaps.</w:t>
            </w:r>
          </w:p>
        </w:tc>
        <w:tc>
          <w:tcPr>
            <w:tcW w:type="dxa" w:w="800"/>
            <w:shd w:fill="FFFFFF" w:val="clear"/>
            <w:vAlign w:val="top"/>
          </w:tcPr>
          <w:p>
            <w:r>
              <w:rPr>
                <w:rFonts w:ascii="Calibri" w:cs="Calibri" w:eastAsia="Calibri" w:hAnsi="Calibri"/>
                <w:sz w:val="17"/>
                <w:szCs w:val="17"/>
              </w:rPr>
              <w:t xml:space="preserve">TRUE</w:t>
            </w:r>
          </w:p>
        </w:tc>
        <w:tc>
          <w:tcPr>
            <w:tcW w:type="dxa" w:w="3000"/>
            <w:shd w:fill="FFFFFF" w:val="clear"/>
            <w:vAlign w:val="top"/>
          </w:tcPr>
          <w:p>
            <w:r>
              <w:rPr>
                <w:rFonts w:ascii="Calibri" w:cs="Calibri" w:eastAsia="Calibri" w:hAnsi="Calibri"/>
                <w:sz w:val="17"/>
                <w:szCs w:val="17"/>
              </w:rPr>
              <w:t xml:space="preserve">Slide 59: "OTC derivatives tied to mortgage-backed securities... complex financial products, such as collateralized debt obligations (CDOs) and credit default swaps (CDS), were central to this crisis."</w:t>
            </w:r>
          </w:p>
        </w:tc>
      </w:tr>
      <w:tr>
        <w:tc>
          <w:tcPr>
            <w:tcW w:type="dxa" w:w="4000"/>
            <w:shd w:fill="F7F7F7" w:val="clear"/>
            <w:vAlign w:val="top"/>
          </w:tcPr>
          <w:p>
            <w:r>
              <w:rPr>
                <w:rFonts w:ascii="Calibri" w:cs="Calibri" w:eastAsia="Calibri" w:hAnsi="Calibri"/>
                <w:sz w:val="17"/>
                <w:szCs w:val="17"/>
              </w:rPr>
              <w:t xml:space="preserve">Lehman Brothers' bankruptcy in 2008 highlighted the vulnerability of institutions heavily involved in OTC markets.</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59: "Lehman Brothers' bankruptcy in 2008 highlighted the vulnerability of financial institutions heavily involved in OTC markets."</w:t>
            </w:r>
          </w:p>
        </w:tc>
      </w:tr>
      <w:tr>
        <w:tc>
          <w:tcPr>
            <w:tcW w:type="dxa" w:w="4000"/>
            <w:shd w:fill="FFFFFF" w:val="clear"/>
            <w:vAlign w:val="top"/>
          </w:tcPr>
          <w:p>
            <w:r>
              <w:rPr>
                <w:rFonts w:ascii="Calibri" w:cs="Calibri" w:eastAsia="Calibri" w:hAnsi="Calibri"/>
                <w:sz w:val="17"/>
                <w:szCs w:val="17"/>
              </w:rPr>
              <w:t xml:space="preserve">The Swiss National Bank de-pegged the Swiss Franc from the US Dollar in 2015.</w:t>
            </w:r>
          </w:p>
        </w:tc>
        <w:tc>
          <w:tcPr>
            <w:tcW w:type="dxa" w:w="800"/>
            <w:shd w:fill="FFFFFF" w:val="clear"/>
            <w:vAlign w:val="top"/>
          </w:tcPr>
          <w:p>
            <w:r>
              <w:rPr>
                <w:rFonts w:ascii="Calibri" w:cs="Calibri" w:eastAsia="Calibri" w:hAnsi="Calibri"/>
                <w:sz w:val="17"/>
                <w:szCs w:val="17"/>
              </w:rPr>
              <w:t xml:space="preserve">FALSE</w:t>
            </w:r>
          </w:p>
        </w:tc>
        <w:tc>
          <w:tcPr>
            <w:tcW w:type="dxa" w:w="3000"/>
            <w:shd w:fill="FFFFFF" w:val="clear"/>
            <w:vAlign w:val="top"/>
          </w:tcPr>
          <w:p>
            <w:r>
              <w:rPr>
                <w:rFonts w:ascii="Calibri" w:cs="Calibri" w:eastAsia="Calibri" w:hAnsi="Calibri"/>
                <w:sz w:val="17"/>
                <w:szCs w:val="17"/>
              </w:rPr>
              <w:t xml:space="preserve">Slide 60: "The Swiss National Bank's unexpected decision to de-peg the Swiss Franc from the Euro in January 2015..." - it was from the Euro, not the US Dollar.</w:t>
            </w:r>
          </w:p>
        </w:tc>
      </w:tr>
      <w:tr>
        <w:tc>
          <w:tcPr>
            <w:tcW w:type="dxa" w:w="4000"/>
            <w:shd w:fill="F7F7F7" w:val="clear"/>
            <w:vAlign w:val="top"/>
          </w:tcPr>
          <w:p>
            <w:r>
              <w:rPr>
                <w:rFonts w:ascii="Calibri" w:cs="Calibri" w:eastAsia="Calibri" w:hAnsi="Calibri"/>
                <w:sz w:val="17"/>
                <w:szCs w:val="17"/>
              </w:rPr>
              <w:t xml:space="preserve">Archegos Capital Management was a family office that faced margin calls related to leveraged equity positions.</w:t>
            </w:r>
          </w:p>
        </w:tc>
        <w:tc>
          <w:tcPr>
            <w:tcW w:type="dxa" w:w="800"/>
            <w:shd w:fill="F7F7F7" w:val="clear"/>
            <w:vAlign w:val="top"/>
          </w:tcPr>
          <w:p>
            <w:r>
              <w:rPr>
                <w:rFonts w:ascii="Calibri" w:cs="Calibri" w:eastAsia="Calibri" w:hAnsi="Calibri"/>
                <w:sz w:val="17"/>
                <w:szCs w:val="17"/>
              </w:rPr>
              <w:t xml:space="preserve">TRUE</w:t>
            </w:r>
          </w:p>
        </w:tc>
        <w:tc>
          <w:tcPr>
            <w:tcW w:type="dxa" w:w="3000"/>
            <w:shd w:fill="F7F7F7" w:val="clear"/>
            <w:vAlign w:val="top"/>
          </w:tcPr>
          <w:p>
            <w:r>
              <w:rPr>
                <w:rFonts w:ascii="Calibri" w:cs="Calibri" w:eastAsia="Calibri" w:hAnsi="Calibri"/>
                <w:sz w:val="17"/>
                <w:szCs w:val="17"/>
              </w:rPr>
              <w:t xml:space="preserve">Slide 61: "Archegos Capital Management, a family office, faced margin calls related to its leveraged equity positions."</w:t>
            </w:r>
          </w:p>
        </w:tc>
      </w:tr>
    </w:tbl>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Q39 | ISDA.10 | MATCHING PAIRS</w:t>
      </w:r>
    </w:p>
    <w:p>
      <w:pPr>
        <w:spacing w:after="80" w:before="100"/>
        <w:ind w:left="200"/>
      </w:pPr>
      <w:r>
        <w:rPr>
          <w:rFonts w:ascii="Calibri" w:cs="Calibri" w:eastAsia="Calibri" w:hAnsi="Calibri"/>
          <w:b/>
          <w:bCs/>
          <w:color w:val="1A1A1A"/>
          <w:sz w:val="20"/>
          <w:szCs w:val="20"/>
        </w:rPr>
        <w:t xml:space="preserve">Match each real-world OTC event with its year and key OTC product (Slides 58-61):</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2600"/>
            <w:shd w:fill="D4EFEF" w:val="clear"/>
          </w:tcPr>
          <w:p>
            <w:pPr>
              <w:jc w:val="center"/>
            </w:pPr>
            <w:r>
              <w:rPr>
                <w:rFonts w:ascii="Calibri" w:cs="Calibri" w:eastAsia="Calibri" w:hAnsi="Calibri"/>
                <w:b/>
                <w:bCs/>
                <w:color w:val="1E3A5F"/>
                <w:sz w:val="18"/>
                <w:szCs w:val="18"/>
              </w:rPr>
              <w:t xml:space="preserve">Event</w:t>
            </w:r>
          </w:p>
        </w:tc>
        <w:tc>
          <w:tcPr>
            <w:tcW w:type="dxa" w:w="600"/>
            <w:shd w:fill="D4EFEF" w:val="clear"/>
          </w:tcPr>
          <w:p>
            <w:pPr>
              <w:jc w:val="center"/>
            </w:pPr>
            <w:r>
              <w:rPr>
                <w:rFonts w:ascii="Calibri" w:cs="Calibri" w:eastAsia="Calibri" w:hAnsi="Calibri"/>
                <w:b/>
                <w:bCs/>
                <w:color w:val="1E3A5F"/>
                <w:sz w:val="18"/>
                <w:szCs w:val="18"/>
              </w:rPr>
              <w:t xml:space="preserve">Match</w:t>
            </w:r>
          </w:p>
        </w:tc>
        <w:tc>
          <w:tcPr>
            <w:tcW w:type="dxa" w:w="4600"/>
            <w:shd w:fill="D4EFEF" w:val="clear"/>
          </w:tcPr>
          <w:p>
            <w:pPr>
              <w:jc w:val="center"/>
            </w:pPr>
            <w:r>
              <w:rPr>
                <w:rFonts w:ascii="Calibri" w:cs="Calibri" w:eastAsia="Calibri" w:hAnsi="Calibri"/>
                <w:b/>
                <w:bCs/>
                <w:color w:val="1E3A5F"/>
                <w:sz w:val="18"/>
                <w:szCs w:val="18"/>
              </w:rPr>
              <w:t xml:space="preserve">Year &amp; Key Detail</w:t>
            </w:r>
          </w:p>
        </w:tc>
      </w:tr>
      <w:tr>
        <w:tc>
          <w:tcPr>
            <w:tcW w:type="dxa" w:w="2600"/>
            <w:shd w:fill="FFFFFF" w:val="clear"/>
            <w:vAlign w:val="top"/>
          </w:tcPr>
          <w:p>
            <w:r>
              <w:rPr>
                <w:rFonts w:ascii="Calibri" w:cs="Calibri" w:eastAsia="Calibri" w:hAnsi="Calibri"/>
                <w:sz w:val="17"/>
                <w:szCs w:val="17"/>
              </w:rPr>
              <w:t xml:space="preserve">LTCM Crisis</w:t>
            </w:r>
          </w:p>
        </w:tc>
        <w:tc>
          <w:tcPr>
            <w:tcW w:type="dxa" w:w="600"/>
            <w:shd w:fill="FFFFFF" w:val="clear"/>
            <w:vAlign w:val="top"/>
          </w:tcPr>
          <w:p>
            <w:r>
              <w:rPr>
                <w:rFonts w:ascii="Calibri" w:cs="Calibri" w:eastAsia="Calibri" w:hAnsi="Calibri"/>
                <w:sz w:val="17"/>
                <w:szCs w:val="17"/>
              </w:rPr>
              <w:t xml:space="preserve">___</w:t>
            </w:r>
          </w:p>
        </w:tc>
        <w:tc>
          <w:tcPr>
            <w:tcW w:type="dxa" w:w="4600"/>
            <w:shd w:fill="FFFFFF" w:val="clear"/>
            <w:vAlign w:val="top"/>
          </w:tcPr>
          <w:p>
            <w:r>
              <w:rPr>
                <w:rFonts w:ascii="Calibri" w:cs="Calibri" w:eastAsia="Calibri" w:hAnsi="Calibri"/>
                <w:sz w:val="17"/>
                <w:szCs w:val="17"/>
              </w:rPr>
              <w:t xml:space="preserve">A. 2021 — Leveraged equity OTC derivatives; major bank losses; family office</w:t>
            </w:r>
          </w:p>
        </w:tc>
      </w:tr>
      <w:tr>
        <w:tc>
          <w:tcPr>
            <w:tcW w:type="dxa" w:w="2600"/>
            <w:shd w:fill="F7F7F7" w:val="clear"/>
            <w:vAlign w:val="top"/>
          </w:tcPr>
          <w:p>
            <w:r>
              <w:rPr>
                <w:rFonts w:ascii="Calibri" w:cs="Calibri" w:eastAsia="Calibri" w:hAnsi="Calibri"/>
                <w:sz w:val="17"/>
                <w:szCs w:val="17"/>
              </w:rPr>
              <w:t xml:space="preserve">Subprime Mortgage Crisis</w:t>
            </w:r>
          </w:p>
        </w:tc>
        <w:tc>
          <w:tcPr>
            <w:tcW w:type="dxa" w:w="600"/>
            <w:shd w:fill="F7F7F7" w:val="clear"/>
            <w:vAlign w:val="top"/>
          </w:tcPr>
          <w:p>
            <w:r>
              <w:rPr>
                <w:rFonts w:ascii="Calibri" w:cs="Calibri" w:eastAsia="Calibri" w:hAnsi="Calibri"/>
                <w:sz w:val="17"/>
                <w:szCs w:val="17"/>
              </w:rPr>
              <w:t xml:space="preserve">___</w:t>
            </w:r>
          </w:p>
        </w:tc>
        <w:tc>
          <w:tcPr>
            <w:tcW w:type="dxa" w:w="4600"/>
            <w:shd w:fill="F7F7F7" w:val="clear"/>
            <w:vAlign w:val="top"/>
          </w:tcPr>
          <w:p>
            <w:r>
              <w:rPr>
                <w:rFonts w:ascii="Calibri" w:cs="Calibri" w:eastAsia="Calibri" w:hAnsi="Calibri"/>
                <w:sz w:val="17"/>
                <w:szCs w:val="17"/>
              </w:rPr>
              <w:t xml:space="preserve">B. 1998 — Complex OTC derivatives in fixed-income; consortium bank intervention</w:t>
            </w:r>
          </w:p>
        </w:tc>
      </w:tr>
      <w:tr>
        <w:tc>
          <w:tcPr>
            <w:tcW w:type="dxa" w:w="2600"/>
            <w:shd w:fill="FFFFFF" w:val="clear"/>
            <w:vAlign w:val="top"/>
          </w:tcPr>
          <w:p>
            <w:r>
              <w:rPr>
                <w:rFonts w:ascii="Calibri" w:cs="Calibri" w:eastAsia="Calibri" w:hAnsi="Calibri"/>
                <w:sz w:val="17"/>
                <w:szCs w:val="17"/>
              </w:rPr>
              <w:t xml:space="preserve">European Sovereign Debt Crisis</w:t>
            </w:r>
          </w:p>
        </w:tc>
        <w:tc>
          <w:tcPr>
            <w:tcW w:type="dxa" w:w="600"/>
            <w:shd w:fill="FFFFFF" w:val="clear"/>
            <w:vAlign w:val="top"/>
          </w:tcPr>
          <w:p>
            <w:r>
              <w:rPr>
                <w:rFonts w:ascii="Calibri" w:cs="Calibri" w:eastAsia="Calibri" w:hAnsi="Calibri"/>
                <w:sz w:val="17"/>
                <w:szCs w:val="17"/>
              </w:rPr>
              <w:t xml:space="preserve">___</w:t>
            </w:r>
          </w:p>
        </w:tc>
        <w:tc>
          <w:tcPr>
            <w:tcW w:type="dxa" w:w="4600"/>
            <w:shd w:fill="FFFFFF" w:val="clear"/>
            <w:vAlign w:val="top"/>
          </w:tcPr>
          <w:p>
            <w:r>
              <w:rPr>
                <w:rFonts w:ascii="Calibri" w:cs="Calibri" w:eastAsia="Calibri" w:hAnsi="Calibri"/>
                <w:sz w:val="17"/>
                <w:szCs w:val="17"/>
              </w:rPr>
              <w:t xml:space="preserve">C. 2015 — Currency OTC derivatives; Swiss Franc de-pegging from Euro</w:t>
            </w:r>
          </w:p>
        </w:tc>
      </w:tr>
      <w:tr>
        <w:tc>
          <w:tcPr>
            <w:tcW w:type="dxa" w:w="2600"/>
            <w:shd w:fill="F7F7F7" w:val="clear"/>
            <w:vAlign w:val="top"/>
          </w:tcPr>
          <w:p>
            <w:r>
              <w:rPr>
                <w:rFonts w:ascii="Calibri" w:cs="Calibri" w:eastAsia="Calibri" w:hAnsi="Calibri"/>
                <w:sz w:val="17"/>
                <w:szCs w:val="17"/>
              </w:rPr>
              <w:t xml:space="preserve">Swiss Franc De-pegging</w:t>
            </w:r>
          </w:p>
        </w:tc>
        <w:tc>
          <w:tcPr>
            <w:tcW w:type="dxa" w:w="600"/>
            <w:shd w:fill="F7F7F7" w:val="clear"/>
            <w:vAlign w:val="top"/>
          </w:tcPr>
          <w:p>
            <w:r>
              <w:rPr>
                <w:rFonts w:ascii="Calibri" w:cs="Calibri" w:eastAsia="Calibri" w:hAnsi="Calibri"/>
                <w:sz w:val="17"/>
                <w:szCs w:val="17"/>
              </w:rPr>
              <w:t xml:space="preserve">___</w:t>
            </w:r>
          </w:p>
        </w:tc>
        <w:tc>
          <w:tcPr>
            <w:tcW w:type="dxa" w:w="4600"/>
            <w:shd w:fill="F7F7F7" w:val="clear"/>
            <w:vAlign w:val="top"/>
          </w:tcPr>
          <w:p>
            <w:r>
              <w:rPr>
                <w:rFonts w:ascii="Calibri" w:cs="Calibri" w:eastAsia="Calibri" w:hAnsi="Calibri"/>
                <w:sz w:val="17"/>
                <w:szCs w:val="17"/>
              </w:rPr>
              <w:t xml:space="preserve">D. 2007-08 — CDOs and credit default swaps; Lehman Brothers bankruptcy</w:t>
            </w:r>
          </w:p>
        </w:tc>
      </w:tr>
      <w:tr>
        <w:tc>
          <w:tcPr>
            <w:tcW w:type="dxa" w:w="2600"/>
            <w:shd w:fill="FFFFFF" w:val="clear"/>
            <w:vAlign w:val="top"/>
          </w:tcPr>
          <w:p>
            <w:r>
              <w:rPr>
                <w:rFonts w:ascii="Calibri" w:cs="Calibri" w:eastAsia="Calibri" w:hAnsi="Calibri"/>
                <w:sz w:val="17"/>
                <w:szCs w:val="17"/>
              </w:rPr>
              <w:t xml:space="preserve">Archegos Collapse</w:t>
            </w:r>
          </w:p>
        </w:tc>
        <w:tc>
          <w:tcPr>
            <w:tcW w:type="dxa" w:w="600"/>
            <w:shd w:fill="FFFFFF" w:val="clear"/>
            <w:vAlign w:val="top"/>
          </w:tcPr>
          <w:p>
            <w:r>
              <w:rPr>
                <w:rFonts w:ascii="Calibri" w:cs="Calibri" w:eastAsia="Calibri" w:hAnsi="Calibri"/>
                <w:sz w:val="17"/>
                <w:szCs w:val="17"/>
              </w:rPr>
              <w:t xml:space="preserve">___</w:t>
            </w:r>
          </w:p>
        </w:tc>
        <w:tc>
          <w:tcPr>
            <w:tcW w:type="dxa" w:w="4600"/>
            <w:shd w:fill="FFFFFF" w:val="clear"/>
            <w:vAlign w:val="top"/>
          </w:tcPr>
          <w:p>
            <w:r>
              <w:rPr>
                <w:rFonts w:ascii="Calibri" w:cs="Calibri" w:eastAsia="Calibri" w:hAnsi="Calibri"/>
                <w:sz w:val="17"/>
                <w:szCs w:val="17"/>
              </w:rPr>
              <w:t xml:space="preserve">E. 2010-12 — Credit default swaps on sovereign debt; European bank contagion</w:t>
            </w:r>
          </w:p>
        </w:tc>
      </w:tr>
    </w:tbl>
    <w:p>
      <w:pPr>
        <w:shd w:fill="E8F5E9" w:val="clear"/>
        <w:spacing w:after="100" w:before="100"/>
        <w:ind w:left="200"/>
      </w:pPr>
      <w:r>
        <w:rPr>
          <w:rFonts w:ascii="Calibri" w:cs="Calibri" w:eastAsia="Calibri" w:hAnsi="Calibri"/>
          <w:b/>
          <w:bCs/>
          <w:color w:val="1B5E20"/>
          <w:sz w:val="18"/>
          <w:szCs w:val="18"/>
        </w:rPr>
        <w:t xml:space="preserve">ANSWER: LTCM=B | Subprime=D | European Sovereign Debt=E | Swiss Franc=C | Archegos=A. Source: Slides 58-61.</w:t>
      </w:r>
    </w:p>
    <w:p>
      <w:pPr>
        <w:spacing w:after="80" w:before="80"/>
      </w:pPr>
      <w:r>
        <w:t xml:space="preserve"/>
      </w:r>
    </w:p>
    <w:p>
      <w:pPr>
        <w:shd w:fill="005F5F" w:val="clear"/>
        <w:spacing w:after="80" w:before="120"/>
        <w:ind w:left="200"/>
      </w:pPr>
      <w:r>
        <w:rPr>
          <w:rFonts w:ascii="Calibri" w:cs="Calibri" w:eastAsia="Calibri" w:hAnsi="Calibri"/>
          <w:b/>
          <w:bCs/>
          <w:color w:val="FFFFFF"/>
          <w:sz w:val="20"/>
          <w:szCs w:val="20"/>
        </w:rPr>
        <w:t xml:space="preserve">Q40 | ISDA.10 | GAP FILL DROPDOWN</w:t>
      </w:r>
    </w:p>
    <w:p>
      <w:pPr>
        <w:spacing w:after="80" w:before="100"/>
        <w:ind w:left="200"/>
      </w:pPr>
      <w:r>
        <w:rPr>
          <w:rFonts w:ascii="Calibri" w:cs="Calibri" w:eastAsia="Calibri" w:hAnsi="Calibri"/>
          <w:b/>
          <w:bCs/>
          <w:color w:val="1A1A1A"/>
          <w:sz w:val="20"/>
          <w:szCs w:val="20"/>
        </w:rPr>
        <w:t xml:space="preserve">Complete the concluding statement from Slide 61 about OTC markets:</w:t>
      </w:r>
    </w:p>
    <w:p>
      <w:pPr>
        <w:spacing w:after="80" w:before="80"/>
        <w:ind w:left="200"/>
      </w:pPr>
      <w:r>
        <w:rPr>
          <w:rFonts w:ascii="Calibri" w:cs="Calibri" w:eastAsia="Calibri" w:hAnsi="Calibri"/>
          <w:i/>
          <w:iCs/>
          <w:sz w:val="19"/>
          <w:szCs w:val="19"/>
        </w:rPr>
        <w:t xml:space="preserve">OTC markets provide _______ [A] and _______ [B] but also pose challenges related to transparency, _______ [C] risk, and systemic implications. As a result, regulatory reforms aim to enhance transparency, reduce counterparty risk, and improve overall market stability.</w:t>
      </w:r>
    </w:p>
    <w:p>
      <w:pPr>
        <w:spacing w:after="40" w:before="40"/>
        <w:ind w:left="400"/>
      </w:pPr>
      <w:r>
        <w:rPr>
          <w:rFonts w:ascii="Calibri" w:cs="Calibri" w:eastAsia="Calibri" w:hAnsi="Calibri"/>
          <w:color w:val="555555"/>
          <w:sz w:val="18"/>
          <w:szCs w:val="18"/>
        </w:rPr>
        <w:t xml:space="preserve">Dropdown A options: liquidity / flexibility / regulation / volume</w:t>
      </w:r>
    </w:p>
    <w:p>
      <w:pPr>
        <w:spacing w:after="40" w:before="40"/>
        <w:ind w:left="400"/>
      </w:pPr>
      <w:r>
        <w:rPr>
          <w:rFonts w:ascii="Calibri" w:cs="Calibri" w:eastAsia="Calibri" w:hAnsi="Calibri"/>
          <w:color w:val="555555"/>
          <w:sz w:val="18"/>
          <w:szCs w:val="18"/>
        </w:rPr>
        <w:t xml:space="preserve">Dropdown B options: standardisation / customization / reporting / compliance</w:t>
      </w:r>
    </w:p>
    <w:p>
      <w:pPr>
        <w:spacing w:after="40" w:before="40"/>
        <w:ind w:left="400"/>
      </w:pPr>
      <w:r>
        <w:rPr>
          <w:rFonts w:ascii="Calibri" w:cs="Calibri" w:eastAsia="Calibri" w:hAnsi="Calibri"/>
          <w:color w:val="555555"/>
          <w:sz w:val="18"/>
          <w:szCs w:val="18"/>
        </w:rPr>
        <w:t xml:space="preserve">Dropdown C options: market / counterparty / credit / operational</w:t>
      </w:r>
    </w:p>
    <w:p>
      <w:pPr>
        <w:shd w:fill="E8F5E9" w:val="clear"/>
        <w:spacing w:after="100" w:before="100"/>
        <w:ind w:left="200"/>
      </w:pPr>
      <w:r>
        <w:rPr>
          <w:rFonts w:ascii="Calibri" w:cs="Calibri" w:eastAsia="Calibri" w:hAnsi="Calibri"/>
          <w:b/>
          <w:bCs/>
          <w:color w:val="1B5E20"/>
          <w:sz w:val="18"/>
          <w:szCs w:val="18"/>
        </w:rPr>
        <w:t xml:space="preserve">ANSWER: A = flexibility | B = customization | C = counterparty. Slide 61: "OTC markets provide flexibility and customization but also pose challenges related to transparency, counterparty risk, and systemic implications."</w:t>
      </w:r>
    </w:p>
    <w:p>
      <w:pPr>
        <w:spacing w:after="80" w:before="80"/>
      </w:pPr>
      <w:r>
        <w:t xml:space="preserve"/>
      </w:r>
    </w:p>
    <w:p>
      <w:pPr>
        <w:shd w:fill="D5E3F0" w:val="clear"/>
        <w:spacing w:after="300" w:before="300"/>
        <w:jc w:val="center"/>
      </w:pPr>
      <w:r>
        <w:rPr>
          <w:rFonts w:ascii="Calibri" w:cs="Calibri" w:eastAsia="Calibri" w:hAnsi="Calibri"/>
          <w:b/>
          <w:bCs/>
          <w:color w:val="1E3A5F"/>
          <w:sz w:val="22"/>
          <w:szCs w:val="22"/>
        </w:rPr>
        <w:t xml:space="preserve">END OF KNOWLEDGE ASSESSMENT — 40 Questions | ISDA.1 through ISDA.10</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2026-06-24T13:39:08.738Z</dcterms:created>
  <dcterms:modified xsi:type="dcterms:W3CDTF">2026-06-24T13:39:08.738Z</dcterms:modified>
</cp:coreProperties>
</file>

<file path=docProps/custom.xml><?xml version="1.0" encoding="utf-8"?>
<Properties xmlns="http://schemas.openxmlformats.org/officeDocument/2006/custom-properties" xmlns:vt="http://schemas.openxmlformats.org/officeDocument/2006/docPropsVTypes"/>
</file>