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3A5F"/>
          <w:sz w:val="56"/>
          <w:szCs w:val="56"/>
        </w:rPr>
        <w:t xml:space="preserve">ISDA &amp; OTC Trade Life Cycle</w:t>
      </w:r>
    </w:p>
    <w:p>
      <w:pPr>
        <w:spacing w:after="100" w:before="100"/>
        <w:jc w:val="center"/>
      </w:pPr>
      <w:r>
        <w:rPr>
          <w:rFonts w:ascii="Calibri" w:cs="Calibri" w:eastAsia="Calibri" w:hAnsi="Calibri"/>
          <w:b/>
          <w:bCs/>
          <w:color w:val="005F5F"/>
          <w:sz w:val="36"/>
          <w:szCs w:val="36"/>
        </w:rPr>
        <w:t xml:space="preserve">Video Production Document</w:t>
      </w:r>
    </w:p>
    <w:p>
      <w:pPr>
        <w:spacing w:after="100" w:before="100"/>
        <w:jc w:val="center"/>
      </w:pPr>
      <w:r>
        <w:rPr>
          <w:rFonts w:ascii="Calibri" w:cs="Calibri" w:eastAsia="Calibri" w:hAnsi="Calibri"/>
          <w:color w:val="666666"/>
          <w:sz w:val="24"/>
          <w:szCs w:val="24"/>
        </w:rPr>
        <w:t xml:space="preserve">Version 3 | CIBOP Capital Markets Programme</w:t>
      </w:r>
    </w:p>
    <w:p>
      <w:pPr>
        <w:spacing w:after="200" w:before="200"/>
        <w:jc w:val="center"/>
      </w:pPr>
      <w:r>
        <w:rPr>
          <w:rFonts w:ascii="Calibri" w:cs="Calibri" w:eastAsia="Calibri" w:hAnsi="Calibri"/>
          <w:color w:val="444444"/>
          <w:sz w:val="20"/>
          <w:szCs w:val="20"/>
        </w:rPr>
        <w:t xml:space="preserve">Characters: RYO (male, navy suit, expert/mentor) | ARIA (female, teal blazer, curious analyst)</w:t>
      </w:r>
    </w:p>
    <w:p>
      <w:r>
        <w:br w:type="page"/>
      </w:r>
    </w:p>
    <w:p>
      <w:pPr>
        <w:shd w:fill="1E3A5F" w:val="clear"/>
        <w:spacing w:after="200" w:before="200"/>
        <w:ind w:left="200"/>
      </w:pPr>
      <w:r>
        <w:rPr>
          <w:rFonts w:ascii="Calibri" w:cs="Calibri" w:eastAsia="Calibri" w:hAnsi="Calibri"/>
          <w:b/>
          <w:bCs/>
          <w:color w:val="FFFFFF"/>
          <w:sz w:val="28"/>
          <w:szCs w:val="28"/>
        </w:rPr>
        <w:t xml:space="preserve">ISDA.1 | Introduction to ISDA</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SC1.1 - Define ISDA and its purpose</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ISDA.1</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Introduction to ISDA</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SC1.1 - Define ISDA and its purpose</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5-8</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desk, question mark on screen</w:t>
            </w:r>
          </w:p>
        </w:tc>
        <w:tc>
          <w:tcPr>
            <w:tcW w:type="dxa" w:w="1800"/>
            <w:shd w:fill="FFFFFF" w:val="clear"/>
            <w:vAlign w:val="top"/>
          </w:tcPr>
          <w:p>
            <w:r>
              <w:rPr>
                <w:rFonts w:ascii="Calibri" w:cs="Calibri" w:eastAsia="Calibri" w:hAnsi="Calibri"/>
                <w:b w:val="false"/>
                <w:bCs w:val="false"/>
                <w:sz w:val="17"/>
                <w:szCs w:val="17"/>
              </w:rPr>
              <w:t xml:space="preserve">What is ISDA?</w:t>
            </w:r>
          </w:p>
        </w:tc>
        <w:tc>
          <w:tcPr>
            <w:tcW w:type="dxa" w:w="3500"/>
            <w:shd w:fill="FFFFFF" w:val="clear"/>
            <w:vAlign w:val="top"/>
          </w:tcPr>
          <w:p>
            <w:r>
              <w:rPr>
                <w:rFonts w:ascii="Calibri" w:cs="Calibri" w:eastAsia="Calibri" w:hAnsi="Calibri"/>
                <w:b w:val="false"/>
                <w:bCs w:val="false"/>
                <w:sz w:val="17"/>
                <w:szCs w:val="17"/>
              </w:rPr>
              <w:t xml:space="preserve">Aria: "Ryo, I keep hearing about this ISDA thing in derivatives - is it a regulator, a contract, or a secret society?"</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5 title card on screen</w:t>
            </w:r>
          </w:p>
        </w:tc>
        <w:tc>
          <w:tcPr>
            <w:tcW w:type="dxa" w:w="1800"/>
            <w:shd w:fill="F7F7F7" w:val="clear"/>
            <w:vAlign w:val="top"/>
          </w:tcPr>
          <w:p>
            <w:r>
              <w:rPr>
                <w:rFonts w:ascii="Calibri" w:cs="Calibri" w:eastAsia="Calibri" w:hAnsi="Calibri"/>
                <w:b w:val="false"/>
                <w:bCs w:val="false"/>
                <w:sz w:val="17"/>
                <w:szCs w:val="17"/>
              </w:rPr>
              <w:t xml:space="preserve">ISDA - Founded 1985</w:t>
            </w:r>
          </w:p>
        </w:tc>
        <w:tc>
          <w:tcPr>
            <w:tcW w:type="dxa" w:w="3500"/>
            <w:shd w:fill="F7F7F7" w:val="clear"/>
            <w:vAlign w:val="top"/>
          </w:tcPr>
          <w:p>
            <w:r>
              <w:rPr>
                <w:rFonts w:ascii="Calibri" w:cs="Calibri" w:eastAsia="Calibri" w:hAnsi="Calibri"/>
                <w:b w:val="false"/>
                <w:bCs w:val="false"/>
                <w:sz w:val="17"/>
                <w:szCs w:val="17"/>
              </w:rPr>
              <w:t xml:space="preserve">Ryo: "Good question - no secret handshake required. ISDA stands for International Swaps and Derivatives Association, created in 1985 because the growing derivatives market was creating real confusion for financial institutions."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Three goal icons appear on screen</w:t>
            </w:r>
          </w:p>
        </w:tc>
        <w:tc>
          <w:tcPr>
            <w:tcW w:type="dxa" w:w="1800"/>
            <w:shd w:fill="FFFFFF" w:val="clear"/>
            <w:vAlign w:val="top"/>
          </w:tcPr>
          <w:p>
            <w:r>
              <w:rPr>
                <w:rFonts w:ascii="Calibri" w:cs="Calibri" w:eastAsia="Calibri" w:hAnsi="Calibri"/>
                <w:b w:val="false"/>
                <w:bCs w:val="false"/>
                <w:sz w:val="17"/>
                <w:szCs w:val="17"/>
              </w:rPr>
              <w:t xml:space="preserve">Three Goals of ISDA</w:t>
            </w:r>
          </w:p>
        </w:tc>
        <w:tc>
          <w:tcPr>
            <w:tcW w:type="dxa" w:w="3500"/>
            <w:shd w:fill="FFFFFF" w:val="clear"/>
            <w:vAlign w:val="top"/>
          </w:tcPr>
          <w:p>
            <w:r>
              <w:rPr>
                <w:rFonts w:ascii="Calibri" w:cs="Calibri" w:eastAsia="Calibri" w:hAnsi="Calibri"/>
                <w:b w:val="false"/>
                <w:bCs w:val="false"/>
                <w:sz w:val="17"/>
                <w:szCs w:val="17"/>
              </w:rPr>
              <w:t xml:space="preserve">Ryo: "The association has three main goals: reduce counterparty and credit risk, increase market transparency, and improve the industry's operational infrastructure."</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Text overlay listing member categories</w:t>
            </w:r>
          </w:p>
        </w:tc>
        <w:tc>
          <w:tcPr>
            <w:tcW w:type="dxa" w:w="1800"/>
            <w:shd w:fill="F7F7F7" w:val="clear"/>
            <w:vAlign w:val="top"/>
          </w:tcPr>
          <w:p>
            <w:r>
              <w:rPr>
                <w:rFonts w:ascii="Calibri" w:cs="Calibri" w:eastAsia="Calibri" w:hAnsi="Calibri"/>
                <w:b w:val="false"/>
                <w:bCs w:val="false"/>
                <w:sz w:val="17"/>
                <w:szCs w:val="17"/>
              </w:rPr>
              <w:t xml:space="preserve">Global Membership</w:t>
            </w:r>
          </w:p>
        </w:tc>
        <w:tc>
          <w:tcPr>
            <w:tcW w:type="dxa" w:w="3500"/>
            <w:shd w:fill="F7F7F7" w:val="clear"/>
            <w:vAlign w:val="top"/>
          </w:tcPr>
          <w:p>
            <w:r>
              <w:rPr>
                <w:rFonts w:ascii="Calibri" w:cs="Calibri" w:eastAsia="Calibri" w:hAnsi="Calibri"/>
                <w:b w:val="false"/>
                <w:bCs w:val="false"/>
                <w:sz w:val="17"/>
                <w:szCs w:val="17"/>
              </w:rPr>
              <w:t xml:space="preserve">Ryo: "ISDA has members from institutions around the world - global financial institutions, asset management firms, hedge funds, corporations, law firms, regulators, government agencies, and technology providers."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raises hand, animated query bubble</w:t>
            </w:r>
          </w:p>
        </w:tc>
        <w:tc>
          <w:tcPr>
            <w:tcW w:type="dxa" w:w="1800"/>
            <w:shd w:fill="FFFFFF" w:val="clear"/>
            <w:vAlign w:val="top"/>
          </w:tcPr>
          <w:p>
            <w:r>
              <w:rPr>
                <w:rFonts w:ascii="Calibri" w:cs="Calibri" w:eastAsia="Calibri" w:hAnsi="Calibri"/>
                <w:b w:val="false"/>
                <w:bCs w:val="false"/>
                <w:sz w:val="17"/>
                <w:szCs w:val="17"/>
              </w:rPr>
              <w:t xml:space="preserve">Not a Regulator!</w:t>
            </w:r>
          </w:p>
        </w:tc>
        <w:tc>
          <w:tcPr>
            <w:tcW w:type="dxa" w:w="3500"/>
            <w:shd w:fill="FFFFFF" w:val="clear"/>
            <w:vAlign w:val="top"/>
          </w:tcPr>
          <w:p>
            <w:r>
              <w:rPr>
                <w:rFonts w:ascii="Calibri" w:cs="Calibri" w:eastAsia="Calibri" w:hAnsi="Calibri"/>
                <w:b w:val="false"/>
                <w:bCs w:val="false"/>
                <w:sz w:val="17"/>
                <w:szCs w:val="17"/>
              </w:rPr>
              <w:t xml:space="preserve">Aria: "So ISDA writes the rules but is not actually a regulator?" Ryo: "Exactly right. ISDA is not a regulatory body. It facilitates safe and efficient trading by creating the ISDA Master Agreement."</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Five-part ISDA diagram on screen</w:t>
            </w:r>
          </w:p>
        </w:tc>
        <w:tc>
          <w:tcPr>
            <w:tcW w:type="dxa" w:w="1800"/>
            <w:shd w:fill="F7F7F7" w:val="clear"/>
            <w:vAlign w:val="top"/>
          </w:tcPr>
          <w:p>
            <w:r>
              <w:rPr>
                <w:rFonts w:ascii="Calibri" w:cs="Calibri" w:eastAsia="Calibri" w:hAnsi="Calibri"/>
                <w:b w:val="false"/>
                <w:bCs w:val="false"/>
                <w:sz w:val="17"/>
                <w:szCs w:val="17"/>
              </w:rPr>
              <w:t xml:space="preserve">Five Parts of ISDA</w:t>
            </w:r>
          </w:p>
        </w:tc>
        <w:tc>
          <w:tcPr>
            <w:tcW w:type="dxa" w:w="3500"/>
            <w:shd w:fill="F7F7F7" w:val="clear"/>
            <w:vAlign w:val="top"/>
          </w:tcPr>
          <w:p>
            <w:r>
              <w:rPr>
                <w:rFonts w:ascii="Calibri" w:cs="Calibri" w:eastAsia="Calibri" w:hAnsi="Calibri"/>
                <w:b w:val="false"/>
                <w:bCs w:val="false"/>
                <w:sz w:val="17"/>
                <w:szCs w:val="17"/>
              </w:rPr>
              <w:t xml:space="preserve">Ryo: "ISDA has five parts: the Credit Support Annex, the ISDA Master Agreement, the Schedule, the Confirmation, and the Definitions. Together these form the full framework."</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summarises at whiteboard</w:t>
            </w:r>
          </w:p>
        </w:tc>
        <w:tc>
          <w:tcPr>
            <w:tcW w:type="dxa" w:w="1800"/>
            <w:shd w:fill="FFFFFF" w:val="clear"/>
            <w:vAlign w:val="top"/>
          </w:tcPr>
          <w:p>
            <w:r>
              <w:rPr>
                <w:rFonts w:ascii="Calibri" w:cs="Calibri" w:eastAsia="Calibri" w:hAnsi="Calibri"/>
                <w:b w:val="false"/>
                <w:bCs w:val="false"/>
                <w:sz w:val="17"/>
                <w:szCs w:val="17"/>
              </w:rPr>
              <w:t xml:space="preserve">ISDA - Purpose</w:t>
            </w:r>
          </w:p>
        </w:tc>
        <w:tc>
          <w:tcPr>
            <w:tcW w:type="dxa" w:w="3500"/>
            <w:shd w:fill="FFFFFF" w:val="clear"/>
            <w:vAlign w:val="top"/>
          </w:tcPr>
          <w:p>
            <w:r>
              <w:rPr>
                <w:rFonts w:ascii="Calibri" w:cs="Calibri" w:eastAsia="Calibri" w:hAnsi="Calibri"/>
                <w:b w:val="false"/>
                <w:bCs w:val="false"/>
                <w:sz w:val="17"/>
                <w:szCs w:val="17"/>
              </w:rPr>
              <w:t xml:space="preserve">Aria: "So: ISDA was born in 1985 to bring order to the OTC derivatives market - it reduces risk, boosts transparency, and gives everyone a standardised contract to work from."</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Preview of IMA document graphic</w:t>
            </w:r>
          </w:p>
        </w:tc>
        <w:tc>
          <w:tcPr>
            <w:tcW w:type="dxa" w:w="1800"/>
            <w:shd w:fill="F7F7F7" w:val="clear"/>
            <w:vAlign w:val="top"/>
          </w:tcPr>
          <w:p>
            <w:r>
              <w:rPr>
                <w:rFonts w:ascii="Calibri" w:cs="Calibri" w:eastAsia="Calibri" w:hAnsi="Calibri"/>
                <w:b w:val="false"/>
                <w:bCs w:val="false"/>
                <w:sz w:val="17"/>
                <w:szCs w:val="17"/>
              </w:rPr>
              <w:t xml:space="preserve">Next: ISDA Master Agreement</w:t>
            </w:r>
          </w:p>
        </w:tc>
        <w:tc>
          <w:tcPr>
            <w:tcW w:type="dxa" w:w="3500"/>
            <w:shd w:fill="F7F7F7" w:val="clear"/>
            <w:vAlign w:val="top"/>
          </w:tcPr>
          <w:p>
            <w:r>
              <w:rPr>
                <w:rFonts w:ascii="Calibri" w:cs="Calibri" w:eastAsia="Calibri" w:hAnsi="Calibri"/>
                <w:b w:val="false"/>
                <w:bCs w:val="false"/>
                <w:sz w:val="17"/>
                <w:szCs w:val="17"/>
              </w:rPr>
              <w:t xml:space="preserve">Ryo: "Next we dive into the ISDA Master Agreement itself - the key document that defines the responsibilities of both parties."</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SC1.2 - Explain ISDA's role in standardising OTC derivatives</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SC1.2 - Explain ISDA's role in standardising OTC derivatives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ISDA.1</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Introduction to ISDA</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SC1.2 - Explain ISDA's role in standardising OTC derivatives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6-7</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Messy paper stack vs neat binder graphic</w:t>
            </w:r>
          </w:p>
        </w:tc>
        <w:tc>
          <w:tcPr>
            <w:tcW w:type="dxa" w:w="1800"/>
            <w:shd w:fill="FFFFFF" w:val="clear"/>
            <w:vAlign w:val="top"/>
          </w:tcPr>
          <w:p>
            <w:r>
              <w:rPr>
                <w:rFonts w:ascii="Calibri" w:cs="Calibri" w:eastAsia="Calibri" w:hAnsi="Calibri"/>
                <w:b w:val="false"/>
                <w:bCs w:val="false"/>
                <w:sz w:val="17"/>
                <w:szCs w:val="17"/>
              </w:rPr>
              <w:t xml:space="preserve">Before ISDA: Chaos</w:t>
            </w:r>
          </w:p>
        </w:tc>
        <w:tc>
          <w:tcPr>
            <w:tcW w:type="dxa" w:w="3500"/>
            <w:shd w:fill="FFFFFF" w:val="clear"/>
            <w:vAlign w:val="top"/>
          </w:tcPr>
          <w:p>
            <w:r>
              <w:rPr>
                <w:rFonts w:ascii="Calibri" w:cs="Calibri" w:eastAsia="Calibri" w:hAnsi="Calibri"/>
                <w:b w:val="false"/>
                <w:bCs w:val="false"/>
                <w:sz w:val="17"/>
                <w:szCs w:val="17"/>
              </w:rPr>
              <w:t xml:space="preserve">Aria: "Ryo, before ISDA, what did OTC derivatives documentation look like?" Ryo: "Think of every firm inventing its own contract from scratch - legal risk everywhere."</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6 objectives listed on screen</w:t>
            </w:r>
          </w:p>
        </w:tc>
        <w:tc>
          <w:tcPr>
            <w:tcW w:type="dxa" w:w="1800"/>
            <w:shd w:fill="F7F7F7" w:val="clear"/>
            <w:vAlign w:val="top"/>
          </w:tcPr>
          <w:p>
            <w:r>
              <w:rPr>
                <w:rFonts w:ascii="Calibri" w:cs="Calibri" w:eastAsia="Calibri" w:hAnsi="Calibri"/>
                <w:b w:val="false"/>
                <w:bCs w:val="false"/>
                <w:sz w:val="17"/>
                <w:szCs w:val="17"/>
              </w:rPr>
              <w:t xml:space="preserve">Standardisation</w:t>
            </w:r>
          </w:p>
        </w:tc>
        <w:tc>
          <w:tcPr>
            <w:tcW w:type="dxa" w:w="3500"/>
            <w:shd w:fill="F7F7F7" w:val="clear"/>
            <w:vAlign w:val="top"/>
          </w:tcPr>
          <w:p>
            <w:r>
              <w:rPr>
                <w:rFonts w:ascii="Calibri" w:cs="Calibri" w:eastAsia="Calibri" w:hAnsi="Calibri"/>
                <w:b w:val="false"/>
                <w:bCs w:val="false"/>
                <w:sz w:val="17"/>
                <w:szCs w:val="17"/>
              </w:rPr>
              <w:t xml:space="preserve">Ryo: "ISDA's core objective is standardisation - creating standard documentation for OTC derivatives transactions, including the widely used ISDA Master Agreement, simplifying trading and reducing legal and operational risks."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Risk mitigation icon and bullet points</w:t>
            </w:r>
          </w:p>
        </w:tc>
        <w:tc>
          <w:tcPr>
            <w:tcW w:type="dxa" w:w="1800"/>
            <w:shd w:fill="FFFFFF" w:val="clear"/>
            <w:vAlign w:val="top"/>
          </w:tcPr>
          <w:p>
            <w:r>
              <w:rPr>
                <w:rFonts w:ascii="Calibri" w:cs="Calibri" w:eastAsia="Calibri" w:hAnsi="Calibri"/>
                <w:b w:val="false"/>
                <w:bCs w:val="false"/>
                <w:sz w:val="17"/>
                <w:szCs w:val="17"/>
              </w:rPr>
              <w:t xml:space="preserve">Risk Mitigation</w:t>
            </w:r>
          </w:p>
        </w:tc>
        <w:tc>
          <w:tcPr>
            <w:tcW w:type="dxa" w:w="3500"/>
            <w:shd w:fill="FFFFFF" w:val="clear"/>
            <w:vAlign w:val="top"/>
          </w:tcPr>
          <w:p>
            <w:r>
              <w:rPr>
                <w:rFonts w:ascii="Calibri" w:cs="Calibri" w:eastAsia="Calibri" w:hAnsi="Calibri"/>
                <w:b w:val="false"/>
                <w:bCs w:val="false"/>
                <w:sz w:val="17"/>
                <w:szCs w:val="17"/>
              </w:rPr>
              <w:t xml:space="preserve">Ryo: "ISDA also drives risk mitigation - helping members develop practices to reduce credit risk, operational risk, and legal risk in OTC derivatives transactions."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Infrastructure diagram with trade repositories</w:t>
            </w:r>
          </w:p>
        </w:tc>
        <w:tc>
          <w:tcPr>
            <w:tcW w:type="dxa" w:w="1800"/>
            <w:shd w:fill="F7F7F7" w:val="clear"/>
            <w:vAlign w:val="top"/>
          </w:tcPr>
          <w:p>
            <w:r>
              <w:rPr>
                <w:rFonts w:ascii="Calibri" w:cs="Calibri" w:eastAsia="Calibri" w:hAnsi="Calibri"/>
                <w:b w:val="false"/>
                <w:bCs w:val="false"/>
                <w:sz w:val="17"/>
                <w:szCs w:val="17"/>
              </w:rPr>
              <w:t xml:space="preserve">Market Infrastructure</w:t>
            </w:r>
          </w:p>
        </w:tc>
        <w:tc>
          <w:tcPr>
            <w:tcW w:type="dxa" w:w="3500"/>
            <w:shd w:fill="F7F7F7" w:val="clear"/>
            <w:vAlign w:val="top"/>
          </w:tcPr>
          <w:p>
            <w:r>
              <w:rPr>
                <w:rFonts w:ascii="Calibri" w:cs="Calibri" w:eastAsia="Calibri" w:hAnsi="Calibri"/>
                <w:b w:val="false"/>
                <w:bCs w:val="false"/>
                <w:sz w:val="17"/>
                <w:szCs w:val="17"/>
              </w:rPr>
              <w:t xml:space="preserve">Ryo: "On infrastructure, ISDA plays a role in developing trade repositories and market standards to enhance transparency and regulatory reporting in OTC markets."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Slide 7 - dispute resolution section</w:t>
            </w:r>
          </w:p>
        </w:tc>
        <w:tc>
          <w:tcPr>
            <w:tcW w:type="dxa" w:w="1800"/>
            <w:shd w:fill="FFFFFF" w:val="clear"/>
            <w:vAlign w:val="top"/>
          </w:tcPr>
          <w:p>
            <w:r>
              <w:rPr>
                <w:rFonts w:ascii="Calibri" w:cs="Calibri" w:eastAsia="Calibri" w:hAnsi="Calibri"/>
                <w:b w:val="false"/>
                <w:bCs w:val="false"/>
                <w:sz w:val="17"/>
                <w:szCs w:val="17"/>
              </w:rPr>
              <w:t xml:space="preserve">Dispute Resolution</w:t>
            </w:r>
          </w:p>
        </w:tc>
        <w:tc>
          <w:tcPr>
            <w:tcW w:type="dxa" w:w="3500"/>
            <w:shd w:fill="FFFFFF" w:val="clear"/>
            <w:vAlign w:val="top"/>
          </w:tcPr>
          <w:p>
            <w:r>
              <w:rPr>
                <w:rFonts w:ascii="Calibri" w:cs="Calibri" w:eastAsia="Calibri" w:hAnsi="Calibri"/>
                <w:b w:val="false"/>
                <w:bCs w:val="false"/>
                <w:sz w:val="17"/>
                <w:szCs w:val="17"/>
              </w:rPr>
              <w:t xml:space="preserve">Ryo: "ISDA also establishes dispute resolution mechanisms so that conflicts from derivatives transactions can be resolved efficiently and fairly."</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Data chart with ISDA branding</w:t>
            </w:r>
          </w:p>
        </w:tc>
        <w:tc>
          <w:tcPr>
            <w:tcW w:type="dxa" w:w="1800"/>
            <w:shd w:fill="F7F7F7" w:val="clear"/>
            <w:vAlign w:val="top"/>
          </w:tcPr>
          <w:p>
            <w:r>
              <w:rPr>
                <w:rFonts w:ascii="Calibri" w:cs="Calibri" w:eastAsia="Calibri" w:hAnsi="Calibri"/>
                <w:b w:val="false"/>
                <w:bCs w:val="false"/>
                <w:sz w:val="17"/>
                <w:szCs w:val="17"/>
              </w:rPr>
              <w:t xml:space="preserve">Market Data &amp; Collaboration</w:t>
            </w:r>
          </w:p>
        </w:tc>
        <w:tc>
          <w:tcPr>
            <w:tcW w:type="dxa" w:w="3500"/>
            <w:shd w:fill="F7F7F7" w:val="clear"/>
            <w:vAlign w:val="top"/>
          </w:tcPr>
          <w:p>
            <w:r>
              <w:rPr>
                <w:rFonts w:ascii="Calibri" w:cs="Calibri" w:eastAsia="Calibri" w:hAnsi="Calibri"/>
                <w:b w:val="false"/>
                <w:bCs w:val="false"/>
                <w:sz w:val="17"/>
                <w:szCs w:val="17"/>
              </w:rPr>
              <w:t xml:space="preserve">Aria: "And ISDA collects market data too?" Ryo: "Correct - ISDA collects and publishes OTC derivatives market data for risk analysis and research, and promotes collaboration across the financial industry."</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with six bullet points</w:t>
            </w:r>
          </w:p>
        </w:tc>
        <w:tc>
          <w:tcPr>
            <w:tcW w:type="dxa" w:w="1800"/>
            <w:shd w:fill="FFFFFF" w:val="clear"/>
            <w:vAlign w:val="top"/>
          </w:tcPr>
          <w:p>
            <w:r>
              <w:rPr>
                <w:rFonts w:ascii="Calibri" w:cs="Calibri" w:eastAsia="Calibri" w:hAnsi="Calibri"/>
                <w:b w:val="false"/>
                <w:bCs w:val="false"/>
                <w:sz w:val="17"/>
                <w:szCs w:val="17"/>
              </w:rPr>
              <w:t xml:space="preserve">ISDA's Six Roles</w:t>
            </w:r>
          </w:p>
        </w:tc>
        <w:tc>
          <w:tcPr>
            <w:tcW w:type="dxa" w:w="3500"/>
            <w:shd w:fill="FFFFFF" w:val="clear"/>
            <w:vAlign w:val="top"/>
          </w:tcPr>
          <w:p>
            <w:r>
              <w:rPr>
                <w:rFonts w:ascii="Calibri" w:cs="Calibri" w:eastAsia="Calibri" w:hAnsi="Calibri"/>
                <w:b w:val="false"/>
                <w:bCs w:val="false"/>
                <w:sz w:val="17"/>
                <w:szCs w:val="17"/>
              </w:rPr>
              <w:t xml:space="preserve">Aria: "So ISDA does six key things: standardisation, risk mitigation, market infrastructure, dispute resolution, market data, and collaboration - the backbone of the OTC world."</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IMA document preview on screen</w:t>
            </w:r>
          </w:p>
        </w:tc>
        <w:tc>
          <w:tcPr>
            <w:tcW w:type="dxa" w:w="1800"/>
            <w:shd w:fill="F7F7F7" w:val="clear"/>
            <w:vAlign w:val="top"/>
          </w:tcPr>
          <w:p>
            <w:r>
              <w:rPr>
                <w:rFonts w:ascii="Calibri" w:cs="Calibri" w:eastAsia="Calibri" w:hAnsi="Calibri"/>
                <w:b w:val="false"/>
                <w:bCs w:val="false"/>
                <w:sz w:val="17"/>
                <w:szCs w:val="17"/>
              </w:rPr>
              <w:t xml:space="preserve">Next: ISDA Master Agreement</w:t>
            </w:r>
          </w:p>
        </w:tc>
        <w:tc>
          <w:tcPr>
            <w:tcW w:type="dxa" w:w="3500"/>
            <w:shd w:fill="F7F7F7" w:val="clear"/>
            <w:vAlign w:val="top"/>
          </w:tcPr>
          <w:p>
            <w:r>
              <w:rPr>
                <w:rFonts w:ascii="Calibri" w:cs="Calibri" w:eastAsia="Calibri" w:hAnsi="Calibri"/>
                <w:b w:val="false"/>
                <w:bCs w:val="false"/>
                <w:sz w:val="17"/>
                <w:szCs w:val="17"/>
              </w:rPr>
              <w:t xml:space="preserve">Ryo: "In the next module we go deeper into the ISDA Master Agreement - the document that makes all those objectives real."</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ISDA.1 complete - Next: ISDA.2 ISDA Master Agreement</w:t>
      </w:r>
    </w:p>
    <w:p>
      <w:r>
        <w:br w:type="page"/>
      </w:r>
    </w:p>
    <w:p>
      <w:pPr>
        <w:shd w:fill="1E3A5F" w:val="clear"/>
        <w:spacing w:after="200" w:before="200"/>
        <w:ind w:left="200"/>
      </w:pPr>
      <w:r>
        <w:rPr>
          <w:rFonts w:ascii="Calibri" w:cs="Calibri" w:eastAsia="Calibri" w:hAnsi="Calibri"/>
          <w:b/>
          <w:bCs/>
          <w:color w:val="FFFFFF"/>
          <w:sz w:val="28"/>
          <w:szCs w:val="28"/>
        </w:rPr>
        <w:t xml:space="preserve">ISDA.2 | ISDA Master Agreement (IMA)</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SC2.1 - Identify components of ISDA Master Agreement</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ISDA.2</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ISDA Master Agreement (IMA)</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SC2.1 - Identify components of ISDA Master Agreement</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11-12</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Document with umbrella graphic</w:t>
            </w:r>
          </w:p>
        </w:tc>
        <w:tc>
          <w:tcPr>
            <w:tcW w:type="dxa" w:w="1800"/>
            <w:shd w:fill="FFFFFF" w:val="clear"/>
            <w:vAlign w:val="top"/>
          </w:tcPr>
          <w:p>
            <w:r>
              <w:rPr>
                <w:rFonts w:ascii="Calibri" w:cs="Calibri" w:eastAsia="Calibri" w:hAnsi="Calibri"/>
                <w:b w:val="false"/>
                <w:bCs w:val="false"/>
                <w:sz w:val="17"/>
                <w:szCs w:val="17"/>
              </w:rPr>
              <w:t xml:space="preserve">The Umbrella Document</w:t>
            </w:r>
          </w:p>
        </w:tc>
        <w:tc>
          <w:tcPr>
            <w:tcW w:type="dxa" w:w="3500"/>
            <w:shd w:fill="FFFFFF" w:val="clear"/>
            <w:vAlign w:val="top"/>
          </w:tcPr>
          <w:p>
            <w:r>
              <w:rPr>
                <w:rFonts w:ascii="Calibri" w:cs="Calibri" w:eastAsia="Calibri" w:hAnsi="Calibri"/>
                <w:b w:val="false"/>
                <w:bCs w:val="false"/>
                <w:sz w:val="17"/>
                <w:szCs w:val="17"/>
              </w:rPr>
              <w:t xml:space="preserve">Aria: "Ryo, I have heard the IMA called an umbrella document - what does that actually mean?"</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11 - NOT PARTY SPECIFIC / NOT PRODUCT SPECIFIC labels</w:t>
            </w:r>
          </w:p>
        </w:tc>
        <w:tc>
          <w:tcPr>
            <w:tcW w:type="dxa" w:w="1800"/>
            <w:shd w:fill="F7F7F7" w:val="clear"/>
            <w:vAlign w:val="top"/>
          </w:tcPr>
          <w:p>
            <w:r>
              <w:rPr>
                <w:rFonts w:ascii="Calibri" w:cs="Calibri" w:eastAsia="Calibri" w:hAnsi="Calibri"/>
                <w:b w:val="false"/>
                <w:bCs w:val="false"/>
                <w:sz w:val="17"/>
                <w:szCs w:val="17"/>
              </w:rPr>
              <w:t xml:space="preserve">Not Party / Product Specific</w:t>
            </w:r>
          </w:p>
        </w:tc>
        <w:tc>
          <w:tcPr>
            <w:tcW w:type="dxa" w:w="3500"/>
            <w:shd w:fill="F7F7F7" w:val="clear"/>
            <w:vAlign w:val="top"/>
          </w:tcPr>
          <w:p>
            <w:r>
              <w:rPr>
                <w:rFonts w:ascii="Calibri" w:cs="Calibri" w:eastAsia="Calibri" w:hAnsi="Calibri"/>
                <w:b w:val="false"/>
                <w:bCs w:val="false"/>
                <w:sz w:val="17"/>
                <w:szCs w:val="17"/>
              </w:rPr>
              <w:t xml:space="preserve">Ryo: "The IMA is the key document defining the essential responsibilities of both parties using predefined standard terms and conditions. Critically, it is NOT party-specific and NOT product-specific. It is a pre-printed umbrella document with boilerplate provisions."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Five component icons numbered 1-5</w:t>
            </w:r>
          </w:p>
        </w:tc>
        <w:tc>
          <w:tcPr>
            <w:tcW w:type="dxa" w:w="1800"/>
            <w:shd w:fill="FFFFFF" w:val="clear"/>
            <w:vAlign w:val="top"/>
          </w:tcPr>
          <w:p>
            <w:r>
              <w:rPr>
                <w:rFonts w:ascii="Calibri" w:cs="Calibri" w:eastAsia="Calibri" w:hAnsi="Calibri"/>
                <w:b w:val="false"/>
                <w:bCs w:val="false"/>
                <w:sz w:val="17"/>
                <w:szCs w:val="17"/>
              </w:rPr>
              <w:t xml:space="preserve">Five IMA Sections</w:t>
            </w:r>
          </w:p>
        </w:tc>
        <w:tc>
          <w:tcPr>
            <w:tcW w:type="dxa" w:w="3500"/>
            <w:shd w:fill="FFFFFF" w:val="clear"/>
            <w:vAlign w:val="top"/>
          </w:tcPr>
          <w:p>
            <w:r>
              <w:rPr>
                <w:rFonts w:ascii="Calibri" w:cs="Calibri" w:eastAsia="Calibri" w:hAnsi="Calibri"/>
                <w:b w:val="false"/>
                <w:bCs w:val="false"/>
                <w:sz w:val="17"/>
                <w:szCs w:val="17"/>
              </w:rPr>
              <w:t xml:space="preserve">Ryo: "The IMA covers five areas: one - Events of Defaults and Termination Events. Two - Payment and Deliveries."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Sections 3-5 appear on screen</w:t>
            </w:r>
          </w:p>
        </w:tc>
        <w:tc>
          <w:tcPr>
            <w:tcW w:type="dxa" w:w="1800"/>
            <w:shd w:fill="F7F7F7" w:val="clear"/>
            <w:vAlign w:val="top"/>
          </w:tcPr>
          <w:p>
            <w:r>
              <w:rPr>
                <w:rFonts w:ascii="Calibri" w:cs="Calibri" w:eastAsia="Calibri" w:hAnsi="Calibri"/>
                <w:b w:val="false"/>
                <w:bCs w:val="false"/>
                <w:sz w:val="17"/>
                <w:szCs w:val="17"/>
              </w:rPr>
              <w:t xml:space="preserve">Close Out &amp; Netting</w:t>
            </w:r>
          </w:p>
        </w:tc>
        <w:tc>
          <w:tcPr>
            <w:tcW w:type="dxa" w:w="3500"/>
            <w:shd w:fill="F7F7F7" w:val="clear"/>
            <w:vAlign w:val="top"/>
          </w:tcPr>
          <w:p>
            <w:r>
              <w:rPr>
                <w:rFonts w:ascii="Calibri" w:cs="Calibri" w:eastAsia="Calibri" w:hAnsi="Calibri"/>
                <w:b w:val="false"/>
                <w:bCs w:val="false"/>
                <w:sz w:val="17"/>
                <w:szCs w:val="17"/>
              </w:rPr>
              <w:t xml:space="preserve">Ryo: "Three - Close Out and Netting. Four - Disputes. Five - Contract Formation and Legal Relations. These five sections form the core structure."</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puzzled face then lightbulb moment</w:t>
            </w:r>
          </w:p>
        </w:tc>
        <w:tc>
          <w:tcPr>
            <w:tcW w:type="dxa" w:w="1800"/>
            <w:shd w:fill="FFFFFF" w:val="clear"/>
            <w:vAlign w:val="top"/>
          </w:tcPr>
          <w:p>
            <w:r>
              <w:rPr>
                <w:rFonts w:ascii="Calibri" w:cs="Calibri" w:eastAsia="Calibri" w:hAnsi="Calibri"/>
                <w:b w:val="false"/>
                <w:bCs w:val="false"/>
                <w:sz w:val="17"/>
                <w:szCs w:val="17"/>
              </w:rPr>
              <w:t xml:space="preserve">Boilerplate = Standard</w:t>
            </w:r>
          </w:p>
        </w:tc>
        <w:tc>
          <w:tcPr>
            <w:tcW w:type="dxa" w:w="3500"/>
            <w:shd w:fill="FFFFFF" w:val="clear"/>
            <w:vAlign w:val="top"/>
          </w:tcPr>
          <w:p>
            <w:r>
              <w:rPr>
                <w:rFonts w:ascii="Calibri" w:cs="Calibri" w:eastAsia="Calibri" w:hAnsi="Calibri"/>
                <w:b w:val="false"/>
                <w:bCs w:val="false"/>
                <w:sz w:val="17"/>
                <w:szCs w:val="17"/>
              </w:rPr>
              <w:t xml:space="preserve">Aria: "So the IMA is the same starting point for everyone - no negotiation of the IMA itself?" Ryo: "Exactly. What negotiators negotiate is the Schedule - we cover that in ISDA.3."</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IMA supplemented by Schedule arrow diagram</w:t>
            </w:r>
          </w:p>
        </w:tc>
        <w:tc>
          <w:tcPr>
            <w:tcW w:type="dxa" w:w="1800"/>
            <w:shd w:fill="F7F7F7" w:val="clear"/>
            <w:vAlign w:val="top"/>
          </w:tcPr>
          <w:p>
            <w:r>
              <w:rPr>
                <w:rFonts w:ascii="Calibri" w:cs="Calibri" w:eastAsia="Calibri" w:hAnsi="Calibri"/>
                <w:b w:val="false"/>
                <w:bCs w:val="false"/>
                <w:sz w:val="17"/>
                <w:szCs w:val="17"/>
              </w:rPr>
              <w:t xml:space="preserve">IMA + Schedule</w:t>
            </w:r>
          </w:p>
        </w:tc>
        <w:tc>
          <w:tcPr>
            <w:tcW w:type="dxa" w:w="3500"/>
            <w:shd w:fill="F7F7F7" w:val="clear"/>
            <w:vAlign w:val="top"/>
          </w:tcPr>
          <w:p>
            <w:r>
              <w:rPr>
                <w:rFonts w:ascii="Calibri" w:cs="Calibri" w:eastAsia="Calibri" w:hAnsi="Calibri"/>
                <w:b w:val="false"/>
                <w:bCs w:val="false"/>
                <w:sz w:val="17"/>
                <w:szCs w:val="17"/>
              </w:rPr>
              <w:t xml:space="preserve">Ryo: "Unless varied by the Schedule, the IMA stands as written. Think of the IMA as the foundation and the Schedule as the building on top."</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listing five pillars</w:t>
            </w:r>
          </w:p>
        </w:tc>
        <w:tc>
          <w:tcPr>
            <w:tcW w:type="dxa" w:w="1800"/>
            <w:shd w:fill="FFFFFF" w:val="clear"/>
            <w:vAlign w:val="top"/>
          </w:tcPr>
          <w:p>
            <w:r>
              <w:rPr>
                <w:rFonts w:ascii="Calibri" w:cs="Calibri" w:eastAsia="Calibri" w:hAnsi="Calibri"/>
                <w:b w:val="false"/>
                <w:bCs w:val="false"/>
                <w:sz w:val="17"/>
                <w:szCs w:val="17"/>
              </w:rPr>
              <w:t xml:space="preserve">IMA - Five Pillars</w:t>
            </w:r>
          </w:p>
        </w:tc>
        <w:tc>
          <w:tcPr>
            <w:tcW w:type="dxa" w:w="3500"/>
            <w:shd w:fill="FFFFFF" w:val="clear"/>
            <w:vAlign w:val="top"/>
          </w:tcPr>
          <w:p>
            <w:r>
              <w:rPr>
                <w:rFonts w:ascii="Calibri" w:cs="Calibri" w:eastAsia="Calibri" w:hAnsi="Calibri"/>
                <w:b w:val="false"/>
                <w:bCs w:val="false"/>
                <w:sz w:val="17"/>
                <w:szCs w:val="17"/>
              </w:rPr>
              <w:t xml:space="preserve">Aria: "The IMA is a pre-printed, non-negotiated umbrella with five pillars: defaults, payments, netting, disputes, and contract formation - and it is not tailored to any specific party or product."</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Netting graphic as preview</w:t>
            </w:r>
          </w:p>
        </w:tc>
        <w:tc>
          <w:tcPr>
            <w:tcW w:type="dxa" w:w="1800"/>
            <w:shd w:fill="F7F7F7" w:val="clear"/>
            <w:vAlign w:val="top"/>
          </w:tcPr>
          <w:p>
            <w:r>
              <w:rPr>
                <w:rFonts w:ascii="Calibri" w:cs="Calibri" w:eastAsia="Calibri" w:hAnsi="Calibri"/>
                <w:b w:val="false"/>
                <w:bCs w:val="false"/>
                <w:sz w:val="17"/>
                <w:szCs w:val="17"/>
              </w:rPr>
              <w:t xml:space="preserve">Next: Netting Provisions</w:t>
            </w:r>
          </w:p>
        </w:tc>
        <w:tc>
          <w:tcPr>
            <w:tcW w:type="dxa" w:w="3500"/>
            <w:shd w:fill="F7F7F7" w:val="clear"/>
            <w:vAlign w:val="top"/>
          </w:tcPr>
          <w:p>
            <w:r>
              <w:rPr>
                <w:rFonts w:ascii="Calibri" w:cs="Calibri" w:eastAsia="Calibri" w:hAnsi="Calibri"/>
                <w:b w:val="false"/>
                <w:bCs w:val="false"/>
                <w:sz w:val="17"/>
                <w:szCs w:val="17"/>
              </w:rPr>
              <w:t xml:space="preserve">Ryo: "Next we look specifically at netting - one of the most powerful risk-reduction tools in the IMA."</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SC2.2 - Explain netting provisions</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SC2.2 - Explain netting provisions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ISDA.2</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ISDA Master Agreement (IMA)</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SC2.2 - Explain netting provisions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 12</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Two arrows crossing graphic</w:t>
            </w:r>
          </w:p>
        </w:tc>
        <w:tc>
          <w:tcPr>
            <w:tcW w:type="dxa" w:w="1800"/>
            <w:shd w:fill="FFFFFF" w:val="clear"/>
            <w:vAlign w:val="top"/>
          </w:tcPr>
          <w:p>
            <w:r>
              <w:rPr>
                <w:rFonts w:ascii="Calibri" w:cs="Calibri" w:eastAsia="Calibri" w:hAnsi="Calibri"/>
                <w:b w:val="false"/>
                <w:bCs w:val="false"/>
                <w:sz w:val="17"/>
                <w:szCs w:val="17"/>
              </w:rPr>
              <w:t xml:space="preserve">What is Netting?</w:t>
            </w:r>
          </w:p>
        </w:tc>
        <w:tc>
          <w:tcPr>
            <w:tcW w:type="dxa" w:w="3500"/>
            <w:shd w:fill="FFFFFF" w:val="clear"/>
            <w:vAlign w:val="top"/>
          </w:tcPr>
          <w:p>
            <w:r>
              <w:rPr>
                <w:rFonts w:ascii="Calibri" w:cs="Calibri" w:eastAsia="Calibri" w:hAnsi="Calibri"/>
                <w:b w:val="false"/>
                <w:bCs w:val="false"/>
                <w:sz w:val="17"/>
                <w:szCs w:val="17"/>
              </w:rPr>
              <w:t xml:space="preserve">Aria: "Ryo, I know netting is important - but why does the IMA need a whole section for it?"</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12 - Close Out and Netting highlighted</w:t>
            </w:r>
          </w:p>
        </w:tc>
        <w:tc>
          <w:tcPr>
            <w:tcW w:type="dxa" w:w="1800"/>
            <w:shd w:fill="F7F7F7" w:val="clear"/>
            <w:vAlign w:val="top"/>
          </w:tcPr>
          <w:p>
            <w:r>
              <w:rPr>
                <w:rFonts w:ascii="Calibri" w:cs="Calibri" w:eastAsia="Calibri" w:hAnsi="Calibri"/>
                <w:b w:val="false"/>
                <w:bCs w:val="false"/>
                <w:sz w:val="17"/>
                <w:szCs w:val="17"/>
              </w:rPr>
              <w:t xml:space="preserve">Close Out &amp; Netting</w:t>
            </w:r>
          </w:p>
        </w:tc>
        <w:tc>
          <w:tcPr>
            <w:tcW w:type="dxa" w:w="3500"/>
            <w:shd w:fill="F7F7F7" w:val="clear"/>
            <w:vAlign w:val="top"/>
          </w:tcPr>
          <w:p>
            <w:r>
              <w:rPr>
                <w:rFonts w:ascii="Calibri" w:cs="Calibri" w:eastAsia="Calibri" w:hAnsi="Calibri"/>
                <w:b w:val="false"/>
                <w:bCs w:val="false"/>
                <w:sz w:val="17"/>
                <w:szCs w:val="17"/>
              </w:rPr>
              <w:t xml:space="preserve">Ryo: "Netting is one of the five core sections of the IMA - Close Out and Netting. It allows parties to combine multiple payment obligations into a single net payment, dramatically reducing credit exposure."</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Two-way cash flow simplifying to one net arrow</w:t>
            </w:r>
          </w:p>
        </w:tc>
        <w:tc>
          <w:tcPr>
            <w:tcW w:type="dxa" w:w="1800"/>
            <w:shd w:fill="FFFFFF" w:val="clear"/>
            <w:vAlign w:val="top"/>
          </w:tcPr>
          <w:p>
            <w:r>
              <w:rPr>
                <w:rFonts w:ascii="Calibri" w:cs="Calibri" w:eastAsia="Calibri" w:hAnsi="Calibri"/>
                <w:b w:val="false"/>
                <w:bCs w:val="false"/>
                <w:sz w:val="17"/>
                <w:szCs w:val="17"/>
              </w:rPr>
              <w:t xml:space="preserve">Net Payment Illustration</w:t>
            </w:r>
          </w:p>
        </w:tc>
        <w:tc>
          <w:tcPr>
            <w:tcW w:type="dxa" w:w="3500"/>
            <w:shd w:fill="FFFFFF" w:val="clear"/>
            <w:vAlign w:val="top"/>
          </w:tcPr>
          <w:p>
            <w:r>
              <w:rPr>
                <w:rFonts w:ascii="Calibri" w:cs="Calibri" w:eastAsia="Calibri" w:hAnsi="Calibri"/>
                <w:b w:val="false"/>
                <w:bCs w:val="false"/>
                <w:sz w:val="17"/>
                <w:szCs w:val="17"/>
              </w:rPr>
              <w:t xml:space="preserve">Ryo: "Instead of Party A paying 10 million to Party B while Party B pays 8 million to Party A, netting means Party A just pays the net 2 million. Less cash moving, less risk."</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ARIA: impressed reaction graphic</w:t>
            </w:r>
          </w:p>
        </w:tc>
        <w:tc>
          <w:tcPr>
            <w:tcW w:type="dxa" w:w="1800"/>
            <w:shd w:fill="F7F7F7" w:val="clear"/>
            <w:vAlign w:val="top"/>
          </w:tcPr>
          <w:p>
            <w:r>
              <w:rPr>
                <w:rFonts w:ascii="Calibri" w:cs="Calibri" w:eastAsia="Calibri" w:hAnsi="Calibri"/>
                <w:b w:val="false"/>
                <w:bCs w:val="false"/>
                <w:sz w:val="17"/>
                <w:szCs w:val="17"/>
              </w:rPr>
              <w:t xml:space="preserve">Risk Reduction</w:t>
            </w:r>
          </w:p>
        </w:tc>
        <w:tc>
          <w:tcPr>
            <w:tcW w:type="dxa" w:w="3500"/>
            <w:shd w:fill="F7F7F7" w:val="clear"/>
            <w:vAlign w:val="top"/>
          </w:tcPr>
          <w:p>
            <w:r>
              <w:rPr>
                <w:rFonts w:ascii="Calibri" w:cs="Calibri" w:eastAsia="Calibri" w:hAnsi="Calibri"/>
                <w:b w:val="false"/>
                <w:bCs w:val="false"/>
                <w:sz w:val="17"/>
                <w:szCs w:val="17"/>
              </w:rPr>
              <w:t xml:space="preserve">Aria: "So netting cuts counterparty credit risk?" Ryo: "That is exactly why ISDA exists - reducing counterparty and credit risk is one of ISDA's three main goals, and netting is the main mechanism in the IMA."</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Default scenario diagram with close-out</w:t>
            </w:r>
          </w:p>
        </w:tc>
        <w:tc>
          <w:tcPr>
            <w:tcW w:type="dxa" w:w="1800"/>
            <w:shd w:fill="FFFFFF" w:val="clear"/>
            <w:vAlign w:val="top"/>
          </w:tcPr>
          <w:p>
            <w:r>
              <w:rPr>
                <w:rFonts w:ascii="Calibri" w:cs="Calibri" w:eastAsia="Calibri" w:hAnsi="Calibri"/>
                <w:b w:val="false"/>
                <w:bCs w:val="false"/>
                <w:sz w:val="17"/>
                <w:szCs w:val="17"/>
              </w:rPr>
              <w:t xml:space="preserve">Close-Out Netting</w:t>
            </w:r>
          </w:p>
        </w:tc>
        <w:tc>
          <w:tcPr>
            <w:tcW w:type="dxa" w:w="3500"/>
            <w:shd w:fill="FFFFFF" w:val="clear"/>
            <w:vAlign w:val="top"/>
          </w:tcPr>
          <w:p>
            <w:r>
              <w:rPr>
                <w:rFonts w:ascii="Calibri" w:cs="Calibri" w:eastAsia="Calibri" w:hAnsi="Calibri"/>
                <w:b w:val="false"/>
                <w:bCs w:val="false"/>
                <w:sz w:val="17"/>
                <w:szCs w:val="17"/>
              </w:rPr>
              <w:t xml:space="preserve">Ryo: "In the event of default, close-out netting allows all outstanding transactions to be terminated and their values netted into a single sum - preventing a defaulting party from cherry-picking which trades to honour."</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Payment flow summary graphic</w:t>
            </w:r>
          </w:p>
        </w:tc>
        <w:tc>
          <w:tcPr>
            <w:tcW w:type="dxa" w:w="1800"/>
            <w:shd w:fill="F7F7F7" w:val="clear"/>
            <w:vAlign w:val="top"/>
          </w:tcPr>
          <w:p>
            <w:r>
              <w:rPr>
                <w:rFonts w:ascii="Calibri" w:cs="Calibri" w:eastAsia="Calibri" w:hAnsi="Calibri"/>
                <w:b w:val="false"/>
                <w:bCs w:val="false"/>
                <w:sz w:val="17"/>
                <w:szCs w:val="17"/>
              </w:rPr>
              <w:t xml:space="preserve">Payment &amp; Deliveries</w:t>
            </w:r>
          </w:p>
        </w:tc>
        <w:tc>
          <w:tcPr>
            <w:tcW w:type="dxa" w:w="3500"/>
            <w:shd w:fill="F7F7F7" w:val="clear"/>
            <w:vAlign w:val="top"/>
          </w:tcPr>
          <w:p>
            <w:r>
              <w:rPr>
                <w:rFonts w:ascii="Calibri" w:cs="Calibri" w:eastAsia="Calibri" w:hAnsi="Calibri"/>
                <w:b w:val="false"/>
                <w:bCs w:val="false"/>
                <w:sz w:val="17"/>
                <w:szCs w:val="17"/>
              </w:rPr>
              <w:t xml:space="preserve">Aria: "And the IMA also covers regular payment and deliveries - not just close-out?" Ryo: "Correct. Section two of the IMA covers Payments and Deliveries - the mechanics of how cash flows work throughout a trade's life."</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netting summary</w:t>
            </w:r>
          </w:p>
        </w:tc>
        <w:tc>
          <w:tcPr>
            <w:tcW w:type="dxa" w:w="1800"/>
            <w:shd w:fill="FFFFFF" w:val="clear"/>
            <w:vAlign w:val="top"/>
          </w:tcPr>
          <w:p>
            <w:r>
              <w:rPr>
                <w:rFonts w:ascii="Calibri" w:cs="Calibri" w:eastAsia="Calibri" w:hAnsi="Calibri"/>
                <w:b w:val="false"/>
                <w:bCs w:val="false"/>
                <w:sz w:val="17"/>
                <w:szCs w:val="17"/>
              </w:rPr>
              <w:t xml:space="preserve">Netting Summary</w:t>
            </w:r>
          </w:p>
        </w:tc>
        <w:tc>
          <w:tcPr>
            <w:tcW w:type="dxa" w:w="3500"/>
            <w:shd w:fill="FFFFFF" w:val="clear"/>
            <w:vAlign w:val="top"/>
          </w:tcPr>
          <w:p>
            <w:r>
              <w:rPr>
                <w:rFonts w:ascii="Calibri" w:cs="Calibri" w:eastAsia="Calibri" w:hAnsi="Calibri"/>
                <w:b w:val="false"/>
                <w:bCs w:val="false"/>
                <w:sz w:val="17"/>
                <w:szCs w:val="17"/>
              </w:rPr>
              <w:t xml:space="preserve">Aria: "Netting under the IMA means: regular payment netting throughout the trade, and close-out netting on default - both reducing exposure and protecting both parties."</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Schedule document preview</w:t>
            </w:r>
          </w:p>
        </w:tc>
        <w:tc>
          <w:tcPr>
            <w:tcW w:type="dxa" w:w="1800"/>
            <w:shd w:fill="F7F7F7" w:val="clear"/>
            <w:vAlign w:val="top"/>
          </w:tcPr>
          <w:p>
            <w:r>
              <w:rPr>
                <w:rFonts w:ascii="Calibri" w:cs="Calibri" w:eastAsia="Calibri" w:hAnsi="Calibri"/>
                <w:b w:val="false"/>
                <w:bCs w:val="false"/>
                <w:sz w:val="17"/>
                <w:szCs w:val="17"/>
              </w:rPr>
              <w:t xml:space="preserve">Next: Events of Default</w:t>
            </w:r>
          </w:p>
        </w:tc>
        <w:tc>
          <w:tcPr>
            <w:tcW w:type="dxa" w:w="3500"/>
            <w:shd w:fill="F7F7F7" w:val="clear"/>
            <w:vAlign w:val="top"/>
          </w:tcPr>
          <w:p>
            <w:r>
              <w:rPr>
                <w:rFonts w:ascii="Calibri" w:cs="Calibri" w:eastAsia="Calibri" w:hAnsi="Calibri"/>
                <w:b w:val="false"/>
                <w:bCs w:val="false"/>
                <w:sz w:val="17"/>
                <w:szCs w:val="17"/>
              </w:rPr>
              <w:t xml:space="preserve">Ryo: "Next module covers Events of Default, the Schedule, and the Credit Support Annex - where we see how the IMA gets customised."</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ISDA.2 complete - Next: ISDA.3 Events of Default, Schedule &amp; CSA</w:t>
      </w:r>
    </w:p>
    <w:p>
      <w:r>
        <w:br w:type="page"/>
      </w:r>
    </w:p>
    <w:p>
      <w:pPr>
        <w:shd w:fill="1E3A5F" w:val="clear"/>
        <w:spacing w:after="200" w:before="200"/>
        <w:ind w:left="200"/>
      </w:pPr>
      <w:r>
        <w:rPr>
          <w:rFonts w:ascii="Calibri" w:cs="Calibri" w:eastAsia="Calibri" w:hAnsi="Calibri"/>
          <w:b/>
          <w:bCs/>
          <w:color w:val="FFFFFF"/>
          <w:sz w:val="28"/>
          <w:szCs w:val="28"/>
        </w:rPr>
        <w:t xml:space="preserve">ISDA.3 | Events of Default, ISDA Schedule &amp; CSA</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SC3.1 - Identify events of default and termination events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ISDA.3</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Events of Default, ISDA Schedule &amp; CSA</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SC3.1 - Identify events of default and termination events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13-14</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Red warning light graphic</w:t>
            </w:r>
          </w:p>
        </w:tc>
        <w:tc>
          <w:tcPr>
            <w:tcW w:type="dxa" w:w="1800"/>
            <w:shd w:fill="FFFFFF" w:val="clear"/>
            <w:vAlign w:val="top"/>
          </w:tcPr>
          <w:p>
            <w:r>
              <w:rPr>
                <w:rFonts w:ascii="Calibri" w:cs="Calibri" w:eastAsia="Calibri" w:hAnsi="Calibri"/>
                <w:b w:val="false"/>
                <w:bCs w:val="false"/>
                <w:sz w:val="17"/>
                <w:szCs w:val="17"/>
              </w:rPr>
              <w:t xml:space="preserve">What Triggers a Default?</w:t>
            </w:r>
          </w:p>
        </w:tc>
        <w:tc>
          <w:tcPr>
            <w:tcW w:type="dxa" w:w="3500"/>
            <w:shd w:fill="FFFFFF" w:val="clear"/>
            <w:vAlign w:val="top"/>
          </w:tcPr>
          <w:p>
            <w:r>
              <w:rPr>
                <w:rFonts w:ascii="Calibri" w:cs="Calibri" w:eastAsia="Calibri" w:hAnsi="Calibri"/>
                <w:b w:val="false"/>
                <w:bCs w:val="false"/>
                <w:sz w:val="17"/>
                <w:szCs w:val="17"/>
              </w:rPr>
              <w:t xml:space="preserve">Aria: "Ryo, the IMA talks about Events of Default - how many are there and what sets them off?"</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13 - six default events listed</w:t>
            </w:r>
          </w:p>
        </w:tc>
        <w:tc>
          <w:tcPr>
            <w:tcW w:type="dxa" w:w="1800"/>
            <w:shd w:fill="F7F7F7" w:val="clear"/>
            <w:vAlign w:val="top"/>
          </w:tcPr>
          <w:p>
            <w:r>
              <w:rPr>
                <w:rFonts w:ascii="Calibri" w:cs="Calibri" w:eastAsia="Calibri" w:hAnsi="Calibri"/>
                <w:b w:val="false"/>
                <w:bCs w:val="false"/>
                <w:sz w:val="17"/>
                <w:szCs w:val="17"/>
              </w:rPr>
              <w:t xml:space="preserve">Six Events of Default</w:t>
            </w:r>
          </w:p>
        </w:tc>
        <w:tc>
          <w:tcPr>
            <w:tcW w:type="dxa" w:w="3500"/>
            <w:shd w:fill="F7F7F7" w:val="clear"/>
            <w:vAlign w:val="top"/>
          </w:tcPr>
          <w:p>
            <w:r>
              <w:rPr>
                <w:rFonts w:ascii="Calibri" w:cs="Calibri" w:eastAsia="Calibri" w:hAnsi="Calibri"/>
                <w:b w:val="false"/>
                <w:bCs w:val="false"/>
                <w:sz w:val="17"/>
                <w:szCs w:val="17"/>
              </w:rPr>
              <w:t xml:space="preserve">Ryo: "There are six Events of Default. First: Failure to Pay - when a party fails to make a required payment such as interest, principal, or margin when due."</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Events 2-3 appear on screen</w:t>
            </w:r>
          </w:p>
        </w:tc>
        <w:tc>
          <w:tcPr>
            <w:tcW w:type="dxa" w:w="1800"/>
            <w:shd w:fill="FFFFFF" w:val="clear"/>
            <w:vAlign w:val="top"/>
          </w:tcPr>
          <w:p>
            <w:r>
              <w:rPr>
                <w:rFonts w:ascii="Calibri" w:cs="Calibri" w:eastAsia="Calibri" w:hAnsi="Calibri"/>
                <w:b w:val="false"/>
                <w:bCs w:val="false"/>
                <w:sz w:val="17"/>
                <w:szCs w:val="17"/>
              </w:rPr>
              <w:t xml:space="preserve">Bankruptcy &amp; Cross Default</w:t>
            </w:r>
          </w:p>
        </w:tc>
        <w:tc>
          <w:tcPr>
            <w:tcW w:type="dxa" w:w="3500"/>
            <w:shd w:fill="FFFFFF" w:val="clear"/>
            <w:vAlign w:val="top"/>
          </w:tcPr>
          <w:p>
            <w:r>
              <w:rPr>
                <w:rFonts w:ascii="Calibri" w:cs="Calibri" w:eastAsia="Calibri" w:hAnsi="Calibri"/>
                <w:b w:val="false"/>
                <w:bCs w:val="false"/>
                <w:sz w:val="17"/>
                <w:szCs w:val="17"/>
              </w:rPr>
              <w:t xml:space="preserve">Ryo: "Second: Bankruptcy - if a party becomes insolvent or enters bankruptcy. Third: Cross Default - if a party defaults on a related financial agreement, it triggers default in the derivative contract too."</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Events 4-6 appear on screen</w:t>
            </w:r>
          </w:p>
        </w:tc>
        <w:tc>
          <w:tcPr>
            <w:tcW w:type="dxa" w:w="1800"/>
            <w:shd w:fill="F7F7F7" w:val="clear"/>
            <w:vAlign w:val="top"/>
          </w:tcPr>
          <w:p>
            <w:r>
              <w:rPr>
                <w:rFonts w:ascii="Calibri" w:cs="Calibri" w:eastAsia="Calibri" w:hAnsi="Calibri"/>
                <w:b w:val="false"/>
                <w:bCs w:val="false"/>
                <w:sz w:val="17"/>
                <w:szCs w:val="17"/>
              </w:rPr>
              <w:t xml:space="preserve">Credit Support &amp; Illegality</w:t>
            </w:r>
          </w:p>
        </w:tc>
        <w:tc>
          <w:tcPr>
            <w:tcW w:type="dxa" w:w="3500"/>
            <w:shd w:fill="F7F7F7" w:val="clear"/>
            <w:vAlign w:val="top"/>
          </w:tcPr>
          <w:p>
            <w:r>
              <w:rPr>
                <w:rFonts w:ascii="Calibri" w:cs="Calibri" w:eastAsia="Calibri" w:hAnsi="Calibri"/>
                <w:b w:val="false"/>
                <w:bCs w:val="false"/>
                <w:sz w:val="17"/>
                <w:szCs w:val="17"/>
              </w:rPr>
              <w:t xml:space="preserve">Ryo: "Fourth: Credit Support Default - failing to post required collateral. Fifth: Misrepresentation or Breach of Representations. Sixth: Illegality - if a change in law makes it illegal to maintain the transaction."</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Split screen: defaults vs terminations</w:t>
            </w:r>
          </w:p>
        </w:tc>
        <w:tc>
          <w:tcPr>
            <w:tcW w:type="dxa" w:w="1800"/>
            <w:shd w:fill="FFFFFF" w:val="clear"/>
            <w:vAlign w:val="top"/>
          </w:tcPr>
          <w:p>
            <w:r>
              <w:rPr>
                <w:rFonts w:ascii="Calibri" w:cs="Calibri" w:eastAsia="Calibri" w:hAnsi="Calibri"/>
                <w:b w:val="false"/>
                <w:bCs w:val="false"/>
                <w:sz w:val="17"/>
                <w:szCs w:val="17"/>
              </w:rPr>
              <w:t xml:space="preserve">Termination Events</w:t>
            </w:r>
          </w:p>
        </w:tc>
        <w:tc>
          <w:tcPr>
            <w:tcW w:type="dxa" w:w="3500"/>
            <w:shd w:fill="FFFFFF" w:val="clear"/>
            <w:vAlign w:val="top"/>
          </w:tcPr>
          <w:p>
            <w:r>
              <w:rPr>
                <w:rFonts w:ascii="Calibri" w:cs="Calibri" w:eastAsia="Calibri" w:hAnsi="Calibri"/>
                <w:b w:val="false"/>
                <w:bCs w:val="false"/>
                <w:sz w:val="17"/>
                <w:szCs w:val="17"/>
              </w:rPr>
              <w:t xml:space="preserve">Aria: "And Termination Events are different from Defaults?" Ryo: "Yes - Termination Events are not about fault. They include Force Majeure, Illegality, Tax Event, Termination for Convenience, and Credit Events in credit derivatives."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14 - termination events list</w:t>
            </w:r>
          </w:p>
        </w:tc>
        <w:tc>
          <w:tcPr>
            <w:tcW w:type="dxa" w:w="1800"/>
            <w:shd w:fill="F7F7F7" w:val="clear"/>
            <w:vAlign w:val="top"/>
          </w:tcPr>
          <w:p>
            <w:r>
              <w:rPr>
                <w:rFonts w:ascii="Calibri" w:cs="Calibri" w:eastAsia="Calibri" w:hAnsi="Calibri"/>
                <w:b w:val="false"/>
                <w:bCs w:val="false"/>
                <w:sz w:val="17"/>
                <w:szCs w:val="17"/>
              </w:rPr>
              <w:t xml:space="preserve">Force Majeure &amp; Tax</w:t>
            </w:r>
          </w:p>
        </w:tc>
        <w:tc>
          <w:tcPr>
            <w:tcW w:type="dxa" w:w="3500"/>
            <w:shd w:fill="F7F7F7" w:val="clear"/>
            <w:vAlign w:val="top"/>
          </w:tcPr>
          <w:p>
            <w:r>
              <w:rPr>
                <w:rFonts w:ascii="Calibri" w:cs="Calibri" w:eastAsia="Calibri" w:hAnsi="Calibri"/>
                <w:b w:val="false"/>
                <w:bCs w:val="false"/>
                <w:sz w:val="17"/>
                <w:szCs w:val="17"/>
              </w:rPr>
              <w:t xml:space="preserve">Ryo: "Force Majeure covers extraordinary events beyond parties' control - acts of war, natural disasters, government actions. Tax Events arise when a change in tax law creates adverse consequences for a party."</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two columns</w:t>
            </w:r>
          </w:p>
        </w:tc>
        <w:tc>
          <w:tcPr>
            <w:tcW w:type="dxa" w:w="1800"/>
            <w:shd w:fill="FFFFFF" w:val="clear"/>
            <w:vAlign w:val="top"/>
          </w:tcPr>
          <w:p>
            <w:r>
              <w:rPr>
                <w:rFonts w:ascii="Calibri" w:cs="Calibri" w:eastAsia="Calibri" w:hAnsi="Calibri"/>
                <w:b w:val="false"/>
                <w:bCs w:val="false"/>
                <w:sz w:val="17"/>
                <w:szCs w:val="17"/>
              </w:rPr>
              <w:t xml:space="preserve">Defaults vs Terminations</w:t>
            </w:r>
          </w:p>
        </w:tc>
        <w:tc>
          <w:tcPr>
            <w:tcW w:type="dxa" w:w="3500"/>
            <w:shd w:fill="FFFFFF" w:val="clear"/>
            <w:vAlign w:val="top"/>
          </w:tcPr>
          <w:p>
            <w:r>
              <w:rPr>
                <w:rFonts w:ascii="Calibri" w:cs="Calibri" w:eastAsia="Calibri" w:hAnsi="Calibri"/>
                <w:b w:val="false"/>
                <w:bCs w:val="false"/>
                <w:sz w:val="17"/>
                <w:szCs w:val="17"/>
              </w:rPr>
              <w:t xml:space="preserve">Aria: "Six Events of Default: failure to pay, bankruptcy, cross default, credit support default, misrepresentation, illegality. Five Termination Events: force majeure, illegality, tax event, termination for convenience, credit event."</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Schedule document preview on screen</w:t>
            </w:r>
          </w:p>
        </w:tc>
        <w:tc>
          <w:tcPr>
            <w:tcW w:type="dxa" w:w="1800"/>
            <w:shd w:fill="F7F7F7" w:val="clear"/>
            <w:vAlign w:val="top"/>
          </w:tcPr>
          <w:p>
            <w:r>
              <w:rPr>
                <w:rFonts w:ascii="Calibri" w:cs="Calibri" w:eastAsia="Calibri" w:hAnsi="Calibri"/>
                <w:b w:val="false"/>
                <w:bCs w:val="false"/>
                <w:sz w:val="17"/>
                <w:szCs w:val="17"/>
              </w:rPr>
              <w:t xml:space="preserve">Next: ISDA Schedule</w:t>
            </w:r>
          </w:p>
        </w:tc>
        <w:tc>
          <w:tcPr>
            <w:tcW w:type="dxa" w:w="3500"/>
            <w:shd w:fill="F7F7F7" w:val="clear"/>
            <w:vAlign w:val="top"/>
          </w:tcPr>
          <w:p>
            <w:r>
              <w:rPr>
                <w:rFonts w:ascii="Calibri" w:cs="Calibri" w:eastAsia="Calibri" w:hAnsi="Calibri"/>
                <w:b w:val="false"/>
                <w:bCs w:val="false"/>
                <w:sz w:val="17"/>
                <w:szCs w:val="17"/>
              </w:rPr>
              <w:t xml:space="preserve">Ryo: "Next - the ISDA Schedule, where firms customise the standard IMA for their specific relationship."</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SC3.2 - Explain ISDA Schedule customisation</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SC3.2 - Explain ISDA Schedule customisation</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ISDA.3</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Events of Default, ISDA Schedule &amp; CSA</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SC3.2 - Explain ISDA Schedule customisation</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 15</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Tailor measuring suit graphic</w:t>
            </w:r>
          </w:p>
        </w:tc>
        <w:tc>
          <w:tcPr>
            <w:tcW w:type="dxa" w:w="1800"/>
            <w:shd w:fill="FFFFFF" w:val="clear"/>
            <w:vAlign w:val="top"/>
          </w:tcPr>
          <w:p>
            <w:r>
              <w:rPr>
                <w:rFonts w:ascii="Calibri" w:cs="Calibri" w:eastAsia="Calibri" w:hAnsi="Calibri"/>
                <w:b w:val="false"/>
                <w:bCs w:val="false"/>
                <w:sz w:val="17"/>
                <w:szCs w:val="17"/>
              </w:rPr>
              <w:t xml:space="preserve">Bespoke Tailoring</w:t>
            </w:r>
          </w:p>
        </w:tc>
        <w:tc>
          <w:tcPr>
            <w:tcW w:type="dxa" w:w="3500"/>
            <w:shd w:fill="FFFFFF" w:val="clear"/>
            <w:vAlign w:val="top"/>
          </w:tcPr>
          <w:p>
            <w:r>
              <w:rPr>
                <w:rFonts w:ascii="Calibri" w:cs="Calibri" w:eastAsia="Calibri" w:hAnsi="Calibri"/>
                <w:b w:val="false"/>
                <w:bCs w:val="false"/>
                <w:sz w:val="17"/>
                <w:szCs w:val="17"/>
              </w:rPr>
              <w:t xml:space="preserve">Aria: "Ryo, if the IMA is off-the-rack, is the Schedule the bespoke tailoring?"</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15 - PARTY SPECIFIC label highlighted</w:t>
            </w:r>
          </w:p>
        </w:tc>
        <w:tc>
          <w:tcPr>
            <w:tcW w:type="dxa" w:w="1800"/>
            <w:shd w:fill="F7F7F7" w:val="clear"/>
            <w:vAlign w:val="top"/>
          </w:tcPr>
          <w:p>
            <w:r>
              <w:rPr>
                <w:rFonts w:ascii="Calibri" w:cs="Calibri" w:eastAsia="Calibri" w:hAnsi="Calibri"/>
                <w:b w:val="false"/>
                <w:bCs w:val="false"/>
                <w:sz w:val="17"/>
                <w:szCs w:val="17"/>
              </w:rPr>
              <w:t xml:space="preserve">Party Specific</w:t>
            </w:r>
          </w:p>
        </w:tc>
        <w:tc>
          <w:tcPr>
            <w:tcW w:type="dxa" w:w="3500"/>
            <w:shd w:fill="F7F7F7" w:val="clear"/>
            <w:vAlign w:val="top"/>
          </w:tcPr>
          <w:p>
            <w:r>
              <w:rPr>
                <w:rFonts w:ascii="Calibri" w:cs="Calibri" w:eastAsia="Calibri" w:hAnsi="Calibri"/>
                <w:b w:val="false"/>
                <w:bCs w:val="false"/>
                <w:sz w:val="17"/>
                <w:szCs w:val="17"/>
              </w:rPr>
              <w:t xml:space="preserve">Ryo: "Perfect analogy. The Schedule is the second legal document after the IMA and records the particular arrangements desired by both organisations, over and above the IMA content. It is party-specific."</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Amendment arrows and addition symbols</w:t>
            </w:r>
          </w:p>
        </w:tc>
        <w:tc>
          <w:tcPr>
            <w:tcW w:type="dxa" w:w="1800"/>
            <w:shd w:fill="FFFFFF" w:val="clear"/>
            <w:vAlign w:val="top"/>
          </w:tcPr>
          <w:p>
            <w:r>
              <w:rPr>
                <w:rFonts w:ascii="Calibri" w:cs="Calibri" w:eastAsia="Calibri" w:hAnsi="Calibri"/>
                <w:b w:val="false"/>
                <w:bCs w:val="false"/>
                <w:sz w:val="17"/>
                <w:szCs w:val="17"/>
              </w:rPr>
              <w:t xml:space="preserve">Amend and Add Terms</w:t>
            </w:r>
          </w:p>
        </w:tc>
        <w:tc>
          <w:tcPr>
            <w:tcW w:type="dxa" w:w="3500"/>
            <w:shd w:fill="FFFFFF" w:val="clear"/>
            <w:vAlign w:val="top"/>
          </w:tcPr>
          <w:p>
            <w:r>
              <w:rPr>
                <w:rFonts w:ascii="Calibri" w:cs="Calibri" w:eastAsia="Calibri" w:hAnsi="Calibri"/>
                <w:b w:val="false"/>
                <w:bCs w:val="false"/>
                <w:sz w:val="17"/>
                <w:szCs w:val="17"/>
              </w:rPr>
              <w:t xml:space="preserve">Ryo: "The Schedule is used to alter the terms of and add terms to the pre-printed standard ISDA Master Agreement. The Schedule is incorporated into, supplements, and forms part of the IMA."</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Negotiation timeline - 3+ months shown</w:t>
            </w:r>
          </w:p>
        </w:tc>
        <w:tc>
          <w:tcPr>
            <w:tcW w:type="dxa" w:w="1800"/>
            <w:shd w:fill="F7F7F7" w:val="clear"/>
            <w:vAlign w:val="top"/>
          </w:tcPr>
          <w:p>
            <w:r>
              <w:rPr>
                <w:rFonts w:ascii="Calibri" w:cs="Calibri" w:eastAsia="Calibri" w:hAnsi="Calibri"/>
                <w:b w:val="false"/>
                <w:bCs w:val="false"/>
                <w:sz w:val="17"/>
                <w:szCs w:val="17"/>
              </w:rPr>
              <w:t xml:space="preserve">3 Months to Negotiate</w:t>
            </w:r>
          </w:p>
        </w:tc>
        <w:tc>
          <w:tcPr>
            <w:tcW w:type="dxa" w:w="3500"/>
            <w:shd w:fill="F7F7F7" w:val="clear"/>
            <w:vAlign w:val="top"/>
          </w:tcPr>
          <w:p>
            <w:r>
              <w:rPr>
                <w:rFonts w:ascii="Calibri" w:cs="Calibri" w:eastAsia="Calibri" w:hAnsi="Calibri"/>
                <w:b w:val="false"/>
                <w:bCs w:val="false"/>
                <w:sz w:val="17"/>
                <w:szCs w:val="17"/>
              </w:rPr>
              <w:t xml:space="preserve">Ryo: "Here is the part that surprises people - the Schedule typically takes at least three months to negotiate. It can be shorter or longer depending on the complexity of the provisions and the responsiveness of the parties."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shocked expression graphic</w:t>
            </w:r>
          </w:p>
        </w:tc>
        <w:tc>
          <w:tcPr>
            <w:tcW w:type="dxa" w:w="1800"/>
            <w:shd w:fill="FFFFFF" w:val="clear"/>
            <w:vAlign w:val="top"/>
          </w:tcPr>
          <w:p>
            <w:r>
              <w:rPr>
                <w:rFonts w:ascii="Calibri" w:cs="Calibri" w:eastAsia="Calibri" w:hAnsi="Calibri"/>
                <w:b w:val="false"/>
                <w:bCs w:val="false"/>
                <w:sz w:val="17"/>
                <w:szCs w:val="17"/>
              </w:rPr>
              <w:t xml:space="preserve">Three Months?!</w:t>
            </w:r>
          </w:p>
        </w:tc>
        <w:tc>
          <w:tcPr>
            <w:tcW w:type="dxa" w:w="3500"/>
            <w:shd w:fill="FFFFFF" w:val="clear"/>
            <w:vAlign w:val="top"/>
          </w:tcPr>
          <w:p>
            <w:r>
              <w:rPr>
                <w:rFonts w:ascii="Calibri" w:cs="Calibri" w:eastAsia="Calibri" w:hAnsi="Calibri"/>
                <w:b w:val="false"/>
                <w:bCs w:val="false"/>
                <w:sz w:val="17"/>
                <w:szCs w:val="17"/>
              </w:rPr>
              <w:t xml:space="preserve">Aria: "Three months just to negotiate the Schedule?" Ryo: "The Schedule is what negotiators negotiate - it is where both parties agree on their specific arrangements, demanding careful attention."</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IMA plus Schedule combined diagram</w:t>
            </w:r>
          </w:p>
        </w:tc>
        <w:tc>
          <w:tcPr>
            <w:tcW w:type="dxa" w:w="1800"/>
            <w:shd w:fill="F7F7F7" w:val="clear"/>
            <w:vAlign w:val="top"/>
          </w:tcPr>
          <w:p>
            <w:r>
              <w:rPr>
                <w:rFonts w:ascii="Calibri" w:cs="Calibri" w:eastAsia="Calibri" w:hAnsi="Calibri"/>
                <w:b w:val="false"/>
                <w:bCs w:val="false"/>
                <w:sz w:val="17"/>
                <w:szCs w:val="17"/>
              </w:rPr>
              <w:t xml:space="preserve">IMA + Schedule = Complete</w:t>
            </w:r>
          </w:p>
        </w:tc>
        <w:tc>
          <w:tcPr>
            <w:tcW w:type="dxa" w:w="3500"/>
            <w:shd w:fill="F7F7F7" w:val="clear"/>
            <w:vAlign w:val="top"/>
          </w:tcPr>
          <w:p>
            <w:r>
              <w:rPr>
                <w:rFonts w:ascii="Calibri" w:cs="Calibri" w:eastAsia="Calibri" w:hAnsi="Calibri"/>
                <w:b w:val="false"/>
                <w:bCs w:val="false"/>
                <w:sz w:val="17"/>
                <w:szCs w:val="17"/>
              </w:rPr>
              <w:t xml:space="preserve">Ryo: "Once negotiation is complete and both parties have signed, the documents state the names of the two organisations and are dated. Together the IMA and Schedule form the complete bilateral agreement."</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Schedule bullets</w:t>
            </w:r>
          </w:p>
        </w:tc>
        <w:tc>
          <w:tcPr>
            <w:tcW w:type="dxa" w:w="1800"/>
            <w:shd w:fill="FFFFFF" w:val="clear"/>
            <w:vAlign w:val="top"/>
          </w:tcPr>
          <w:p>
            <w:r>
              <w:rPr>
                <w:rFonts w:ascii="Calibri" w:cs="Calibri" w:eastAsia="Calibri" w:hAnsi="Calibri"/>
                <w:b w:val="false"/>
                <w:bCs w:val="false"/>
                <w:sz w:val="17"/>
                <w:szCs w:val="17"/>
              </w:rPr>
              <w:t xml:space="preserve">Schedule Summary</w:t>
            </w:r>
          </w:p>
        </w:tc>
        <w:tc>
          <w:tcPr>
            <w:tcW w:type="dxa" w:w="3500"/>
            <w:shd w:fill="FFFFFF" w:val="clear"/>
            <w:vAlign w:val="top"/>
          </w:tcPr>
          <w:p>
            <w:r>
              <w:rPr>
                <w:rFonts w:ascii="Calibri" w:cs="Calibri" w:eastAsia="Calibri" w:hAnsi="Calibri"/>
                <w:b w:val="false"/>
                <w:bCs w:val="false"/>
                <w:sz w:val="17"/>
                <w:szCs w:val="17"/>
              </w:rPr>
              <w:t xml:space="preserve">Aria: "Schedule recap: second document after IMA, party-specific, adds or amends standard terms, takes at least three months to negotiate, once signed names both organisations and is dated."</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CSA document preview on screen</w:t>
            </w:r>
          </w:p>
        </w:tc>
        <w:tc>
          <w:tcPr>
            <w:tcW w:type="dxa" w:w="1800"/>
            <w:shd w:fill="F7F7F7" w:val="clear"/>
            <w:vAlign w:val="top"/>
          </w:tcPr>
          <w:p>
            <w:r>
              <w:rPr>
                <w:rFonts w:ascii="Calibri" w:cs="Calibri" w:eastAsia="Calibri" w:hAnsi="Calibri"/>
                <w:b w:val="false"/>
                <w:bCs w:val="false"/>
                <w:sz w:val="17"/>
                <w:szCs w:val="17"/>
              </w:rPr>
              <w:t xml:space="preserve">Next: Credit Support Annex</w:t>
            </w:r>
          </w:p>
        </w:tc>
        <w:tc>
          <w:tcPr>
            <w:tcW w:type="dxa" w:w="3500"/>
            <w:shd w:fill="F7F7F7" w:val="clear"/>
            <w:vAlign w:val="top"/>
          </w:tcPr>
          <w:p>
            <w:r>
              <w:rPr>
                <w:rFonts w:ascii="Calibri" w:cs="Calibri" w:eastAsia="Calibri" w:hAnsi="Calibri"/>
                <w:b w:val="false"/>
                <w:bCs w:val="false"/>
                <w:sz w:val="17"/>
                <w:szCs w:val="17"/>
              </w:rPr>
              <w:t xml:space="preserve">Ryo: "Next - the Credit Support Annex, which handles the collateral side of the relationship."</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SC3.3 - Explain Credit Support Annex (CSA) purpose</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SC3.3 - Explain Credit Support Annex (CSA) purpose</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ISDA.3</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Events of Default, ISDA Schedule &amp; CSA</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SC3.3 - Explain Credit Support Annex (CSA) purpose</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16-17</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Collateral vault graphic</w:t>
            </w:r>
          </w:p>
        </w:tc>
        <w:tc>
          <w:tcPr>
            <w:tcW w:type="dxa" w:w="1800"/>
            <w:shd w:fill="FFFFFF" w:val="clear"/>
            <w:vAlign w:val="top"/>
          </w:tcPr>
          <w:p>
            <w:r>
              <w:rPr>
                <w:rFonts w:ascii="Calibri" w:cs="Calibri" w:eastAsia="Calibri" w:hAnsi="Calibri"/>
                <w:b w:val="false"/>
                <w:bCs w:val="false"/>
                <w:sz w:val="17"/>
                <w:szCs w:val="17"/>
              </w:rPr>
              <w:t xml:space="preserve">What is the CSA?</w:t>
            </w:r>
          </w:p>
        </w:tc>
        <w:tc>
          <w:tcPr>
            <w:tcW w:type="dxa" w:w="3500"/>
            <w:shd w:fill="FFFFFF" w:val="clear"/>
            <w:vAlign w:val="top"/>
          </w:tcPr>
          <w:p>
            <w:r>
              <w:rPr>
                <w:rFonts w:ascii="Calibri" w:cs="Calibri" w:eastAsia="Calibri" w:hAnsi="Calibri"/>
                <w:b w:val="false"/>
                <w:bCs w:val="false"/>
                <w:sz w:val="17"/>
                <w:szCs w:val="17"/>
              </w:rPr>
              <w:t xml:space="preserve">Aria: "Ryo, we have done the IMA and the Schedule. What does the CSA do that those two do not?"</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16 - CSA definition on screen</w:t>
            </w:r>
          </w:p>
        </w:tc>
        <w:tc>
          <w:tcPr>
            <w:tcW w:type="dxa" w:w="1800"/>
            <w:shd w:fill="F7F7F7" w:val="clear"/>
            <w:vAlign w:val="top"/>
          </w:tcPr>
          <w:p>
            <w:r>
              <w:rPr>
                <w:rFonts w:ascii="Calibri" w:cs="Calibri" w:eastAsia="Calibri" w:hAnsi="Calibri"/>
                <w:b w:val="false"/>
                <w:bCs w:val="false"/>
                <w:sz w:val="17"/>
                <w:szCs w:val="17"/>
              </w:rPr>
              <w:t xml:space="preserve">Third Legal Document</w:t>
            </w:r>
          </w:p>
        </w:tc>
        <w:tc>
          <w:tcPr>
            <w:tcW w:type="dxa" w:w="3500"/>
            <w:shd w:fill="F7F7F7" w:val="clear"/>
            <w:vAlign w:val="top"/>
          </w:tcPr>
          <w:p>
            <w:r>
              <w:rPr>
                <w:rFonts w:ascii="Calibri" w:cs="Calibri" w:eastAsia="Calibri" w:hAnsi="Calibri"/>
                <w:b w:val="false"/>
                <w:bCs w:val="false"/>
                <w:sz w:val="17"/>
                <w:szCs w:val="17"/>
              </w:rPr>
              <w:t xml:space="preserve">Ryo: "The Credit Support Annex is the third legal document, recording the particular arrangements relating specifically to the posting of OTC derivative-related collateral between the two parties."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Optional document callout graphic</w:t>
            </w:r>
          </w:p>
        </w:tc>
        <w:tc>
          <w:tcPr>
            <w:tcW w:type="dxa" w:w="1800"/>
            <w:shd w:fill="FFFFFF" w:val="clear"/>
            <w:vAlign w:val="top"/>
          </w:tcPr>
          <w:p>
            <w:r>
              <w:rPr>
                <w:rFonts w:ascii="Calibri" w:cs="Calibri" w:eastAsia="Calibri" w:hAnsi="Calibri"/>
                <w:b w:val="false"/>
                <w:bCs w:val="false"/>
                <w:sz w:val="17"/>
                <w:szCs w:val="17"/>
              </w:rPr>
              <w:t xml:space="preserve">Optional but Common</w:t>
            </w:r>
          </w:p>
        </w:tc>
        <w:tc>
          <w:tcPr>
            <w:tcW w:type="dxa" w:w="3500"/>
            <w:shd w:fill="FFFFFF" w:val="clear"/>
            <w:vAlign w:val="top"/>
          </w:tcPr>
          <w:p>
            <w:r>
              <w:rPr>
                <w:rFonts w:ascii="Calibri" w:cs="Calibri" w:eastAsia="Calibri" w:hAnsi="Calibri"/>
                <w:b w:val="false"/>
                <w:bCs w:val="false"/>
                <w:sz w:val="17"/>
                <w:szCs w:val="17"/>
              </w:rPr>
              <w:t xml:space="preserve">Ryo: "It is possible to have an ISDA agreement without a CSA - but normally not a CSA without an ISDA. The CSA is an optional document used when both parties agree to use collateral to cover risk exposures."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Collateral types list on screen</w:t>
            </w:r>
          </w:p>
        </w:tc>
        <w:tc>
          <w:tcPr>
            <w:tcW w:type="dxa" w:w="1800"/>
            <w:shd w:fill="F7F7F7" w:val="clear"/>
            <w:vAlign w:val="top"/>
          </w:tcPr>
          <w:p>
            <w:r>
              <w:rPr>
                <w:rFonts w:ascii="Calibri" w:cs="Calibri" w:eastAsia="Calibri" w:hAnsi="Calibri"/>
                <w:b w:val="false"/>
                <w:bCs w:val="false"/>
                <w:sz w:val="17"/>
                <w:szCs w:val="17"/>
              </w:rPr>
              <w:t xml:space="preserve">Types of Collateral</w:t>
            </w:r>
          </w:p>
        </w:tc>
        <w:tc>
          <w:tcPr>
            <w:tcW w:type="dxa" w:w="3500"/>
            <w:shd w:fill="F7F7F7" w:val="clear"/>
            <w:vAlign w:val="top"/>
          </w:tcPr>
          <w:p>
            <w:r>
              <w:rPr>
                <w:rFonts w:ascii="Calibri" w:cs="Calibri" w:eastAsia="Calibri" w:hAnsi="Calibri"/>
                <w:b w:val="false"/>
                <w:bCs w:val="false"/>
                <w:sz w:val="17"/>
                <w:szCs w:val="17"/>
              </w:rPr>
              <w:t xml:space="preserve">Ryo: "The CSA covers types of collateral - cash collateral may be used for all derivatives transactions - as well as the Threshold Amount, Minimum Transfer, and Independent Amount."</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Valuation frequency diagram</w:t>
            </w:r>
          </w:p>
        </w:tc>
        <w:tc>
          <w:tcPr>
            <w:tcW w:type="dxa" w:w="1800"/>
            <w:shd w:fill="FFFFFF" w:val="clear"/>
            <w:vAlign w:val="top"/>
          </w:tcPr>
          <w:p>
            <w:r>
              <w:rPr>
                <w:rFonts w:ascii="Calibri" w:cs="Calibri" w:eastAsia="Calibri" w:hAnsi="Calibri"/>
                <w:b w:val="false"/>
                <w:bCs w:val="false"/>
                <w:sz w:val="17"/>
                <w:szCs w:val="17"/>
              </w:rPr>
              <w:t xml:space="preserve">Valuation and Pricing</w:t>
            </w:r>
          </w:p>
        </w:tc>
        <w:tc>
          <w:tcPr>
            <w:tcW w:type="dxa" w:w="3500"/>
            <w:shd w:fill="FFFFFF" w:val="clear"/>
            <w:vAlign w:val="top"/>
          </w:tcPr>
          <w:p>
            <w:r>
              <w:rPr>
                <w:rFonts w:ascii="Calibri" w:cs="Calibri" w:eastAsia="Calibri" w:hAnsi="Calibri"/>
                <w:b w:val="false"/>
                <w:bCs w:val="false"/>
                <w:sz w:val="17"/>
                <w:szCs w:val="17"/>
              </w:rPr>
              <w:t xml:space="preserve">Ryo: "The CSA also sets out the Valuation Frequency and Source for Pricing - so both parties know exactly how and when collateral values are assessed."</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Slide 17 definitions section</w:t>
            </w:r>
          </w:p>
        </w:tc>
        <w:tc>
          <w:tcPr>
            <w:tcW w:type="dxa" w:w="1800"/>
            <w:shd w:fill="F7F7F7" w:val="clear"/>
            <w:vAlign w:val="top"/>
          </w:tcPr>
          <w:p>
            <w:r>
              <w:rPr>
                <w:rFonts w:ascii="Calibri" w:cs="Calibri" w:eastAsia="Calibri" w:hAnsi="Calibri"/>
                <w:b w:val="false"/>
                <w:bCs w:val="false"/>
                <w:sz w:val="17"/>
                <w:szCs w:val="17"/>
              </w:rPr>
              <w:t xml:space="preserve">ISDA Definitions</w:t>
            </w:r>
          </w:p>
        </w:tc>
        <w:tc>
          <w:tcPr>
            <w:tcW w:type="dxa" w:w="3500"/>
            <w:shd w:fill="F7F7F7" w:val="clear"/>
            <w:vAlign w:val="top"/>
          </w:tcPr>
          <w:p>
            <w:r>
              <w:rPr>
                <w:rFonts w:ascii="Calibri" w:cs="Calibri" w:eastAsia="Calibri" w:hAnsi="Calibri"/>
                <w:b w:val="false"/>
                <w:bCs w:val="false"/>
                <w:sz w:val="17"/>
                <w:szCs w:val="17"/>
              </w:rPr>
              <w:t xml:space="preserve">Aria: "And there are also ISDA Definitions?" Ryo: "Yes - all significant terms are defined in Section 14 or as parties agree in the Schedule. ISDA has also prepared specialist sets of definitions for specific products."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CSA summary</w:t>
            </w:r>
          </w:p>
        </w:tc>
        <w:tc>
          <w:tcPr>
            <w:tcW w:type="dxa" w:w="1800"/>
            <w:shd w:fill="FFFFFF" w:val="clear"/>
            <w:vAlign w:val="top"/>
          </w:tcPr>
          <w:p>
            <w:r>
              <w:rPr>
                <w:rFonts w:ascii="Calibri" w:cs="Calibri" w:eastAsia="Calibri" w:hAnsi="Calibri"/>
                <w:b w:val="false"/>
                <w:bCs w:val="false"/>
                <w:sz w:val="17"/>
                <w:szCs w:val="17"/>
              </w:rPr>
              <w:t xml:space="preserve">CSA Summary</w:t>
            </w:r>
          </w:p>
        </w:tc>
        <w:tc>
          <w:tcPr>
            <w:tcW w:type="dxa" w:w="3500"/>
            <w:shd w:fill="FFFFFF" w:val="clear"/>
            <w:vAlign w:val="top"/>
          </w:tcPr>
          <w:p>
            <w:r>
              <w:rPr>
                <w:rFonts w:ascii="Calibri" w:cs="Calibri" w:eastAsia="Calibri" w:hAnsi="Calibri"/>
                <w:b w:val="false"/>
                <w:bCs w:val="false"/>
                <w:sz w:val="17"/>
                <w:szCs w:val="17"/>
              </w:rPr>
              <w:t xml:space="preserve">Aria: "CSA recap: third legal document, records collateral posting arrangements, optional but standard in practice, covers collateral types, threshold amounts, minimum transfer, independent amount, and valuation frequency."</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OTC markets preview graphic</w:t>
            </w:r>
          </w:p>
        </w:tc>
        <w:tc>
          <w:tcPr>
            <w:tcW w:type="dxa" w:w="1800"/>
            <w:shd w:fill="F7F7F7" w:val="clear"/>
            <w:vAlign w:val="top"/>
          </w:tcPr>
          <w:p>
            <w:r>
              <w:rPr>
                <w:rFonts w:ascii="Calibri" w:cs="Calibri" w:eastAsia="Calibri" w:hAnsi="Calibri"/>
                <w:b w:val="false"/>
                <w:bCs w:val="false"/>
                <w:sz w:val="17"/>
                <w:szCs w:val="17"/>
              </w:rPr>
              <w:t xml:space="preserve">Next: OTC Market</w:t>
            </w:r>
          </w:p>
        </w:tc>
        <w:tc>
          <w:tcPr>
            <w:tcW w:type="dxa" w:w="3500"/>
            <w:shd w:fill="F7F7F7" w:val="clear"/>
            <w:vAlign w:val="top"/>
          </w:tcPr>
          <w:p>
            <w:r>
              <w:rPr>
                <w:rFonts w:ascii="Calibri" w:cs="Calibri" w:eastAsia="Calibri" w:hAnsi="Calibri"/>
                <w:b w:val="false"/>
                <w:bCs w:val="false"/>
                <w:sz w:val="17"/>
                <w:szCs w:val="17"/>
              </w:rPr>
              <w:t xml:space="preserve">Ryo: "With ISDA documentation covered, we now move to the market where it operates - Introduction to OTC Markets."</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ISDA.3 complete - Next: ISDA.4 OTC Market Definition &amp; Characteristics</w:t>
      </w:r>
    </w:p>
    <w:p>
      <w:r>
        <w:br w:type="page"/>
      </w:r>
    </w:p>
    <w:p>
      <w:pPr>
        <w:shd w:fill="1E3A5F" w:val="clear"/>
        <w:spacing w:after="200" w:before="200"/>
        <w:ind w:left="200"/>
      </w:pPr>
      <w:r>
        <w:rPr>
          <w:rFonts w:ascii="Calibri" w:cs="Calibri" w:eastAsia="Calibri" w:hAnsi="Calibri"/>
          <w:b/>
          <w:bCs/>
          <w:color w:val="FFFFFF"/>
          <w:sz w:val="28"/>
          <w:szCs w:val="28"/>
        </w:rPr>
        <w:t xml:space="preserve">ISDA.4 | OTC Market - Definition &amp; Characteristics</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SC4.1 - Define OTC market</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ISDA.4</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Market - Definition &amp; Characteristics</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SC4.1 - Define OTC market</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 19</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Exchange floor vs phone call graphic</w:t>
            </w:r>
          </w:p>
        </w:tc>
        <w:tc>
          <w:tcPr>
            <w:tcW w:type="dxa" w:w="1800"/>
            <w:shd w:fill="FFFFFF" w:val="clear"/>
            <w:vAlign w:val="top"/>
          </w:tcPr>
          <w:p>
            <w:r>
              <w:rPr>
                <w:rFonts w:ascii="Calibri" w:cs="Calibri" w:eastAsia="Calibri" w:hAnsi="Calibri"/>
                <w:b w:val="false"/>
                <w:bCs w:val="false"/>
                <w:sz w:val="17"/>
                <w:szCs w:val="17"/>
              </w:rPr>
              <w:t xml:space="preserve">Exchange vs OTC</w:t>
            </w:r>
          </w:p>
        </w:tc>
        <w:tc>
          <w:tcPr>
            <w:tcW w:type="dxa" w:w="3500"/>
            <w:shd w:fill="FFFFFF" w:val="clear"/>
            <w:vAlign w:val="top"/>
          </w:tcPr>
          <w:p>
            <w:r>
              <w:rPr>
                <w:rFonts w:ascii="Calibri" w:cs="Calibri" w:eastAsia="Calibri" w:hAnsi="Calibri"/>
                <w:b w:val="false"/>
                <w:bCs w:val="false"/>
                <w:sz w:val="17"/>
                <w:szCs w:val="17"/>
              </w:rPr>
              <w:t xml:space="preserve">Aria: "Ryo, how is the OTC market different from something like the NYSE?"</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19 - OTC definition on screen</w:t>
            </w:r>
          </w:p>
        </w:tc>
        <w:tc>
          <w:tcPr>
            <w:tcW w:type="dxa" w:w="1800"/>
            <w:shd w:fill="F7F7F7" w:val="clear"/>
            <w:vAlign w:val="top"/>
          </w:tcPr>
          <w:p>
            <w:r>
              <w:rPr>
                <w:rFonts w:ascii="Calibri" w:cs="Calibri" w:eastAsia="Calibri" w:hAnsi="Calibri"/>
                <w:b w:val="false"/>
                <w:bCs w:val="false"/>
                <w:sz w:val="17"/>
                <w:szCs w:val="17"/>
              </w:rPr>
              <w:t xml:space="preserve">Off-Exchange Market</w:t>
            </w:r>
          </w:p>
        </w:tc>
        <w:tc>
          <w:tcPr>
            <w:tcW w:type="dxa" w:w="3500"/>
            <w:shd w:fill="F7F7F7" w:val="clear"/>
            <w:vAlign w:val="top"/>
          </w:tcPr>
          <w:p>
            <w:r>
              <w:rPr>
                <w:rFonts w:ascii="Calibri" w:cs="Calibri" w:eastAsia="Calibri" w:hAnsi="Calibri"/>
                <w:b w:val="false"/>
                <w:bCs w:val="false"/>
                <w:sz w:val="17"/>
                <w:szCs w:val="17"/>
              </w:rPr>
              <w:t xml:space="preserve">Ryo: "The OTC - Over-the-Counter - market, also known as the off-exchange market, is a decentralised financial market where trading takes place directly between participants, typically over electronic networks or via telephone."</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No central exchange graphic with cross</w:t>
            </w:r>
          </w:p>
        </w:tc>
        <w:tc>
          <w:tcPr>
            <w:tcW w:type="dxa" w:w="1800"/>
            <w:shd w:fill="FFFFFF" w:val="clear"/>
            <w:vAlign w:val="top"/>
          </w:tcPr>
          <w:p>
            <w:r>
              <w:rPr>
                <w:rFonts w:ascii="Calibri" w:cs="Calibri" w:eastAsia="Calibri" w:hAnsi="Calibri"/>
                <w:b w:val="false"/>
                <w:bCs w:val="false"/>
                <w:sz w:val="17"/>
                <w:szCs w:val="17"/>
              </w:rPr>
              <w:t xml:space="preserve">No Central Exchange</w:t>
            </w:r>
          </w:p>
        </w:tc>
        <w:tc>
          <w:tcPr>
            <w:tcW w:type="dxa" w:w="3500"/>
            <w:shd w:fill="FFFFFF" w:val="clear"/>
            <w:vAlign w:val="top"/>
          </w:tcPr>
          <w:p>
            <w:r>
              <w:rPr>
                <w:rFonts w:ascii="Calibri" w:cs="Calibri" w:eastAsia="Calibri" w:hAnsi="Calibri"/>
                <w:b w:val="false"/>
                <w:bCs w:val="false"/>
                <w:sz w:val="17"/>
                <w:szCs w:val="17"/>
              </w:rPr>
              <w:t xml:space="preserve">Ryo: "In the OTC market, trading does not occur on a centralised exchange or organised trading floor, as it does in traditional exchange markets like the New York Stock Exchange or NASDAQ."</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Range of instruments icon set</w:t>
            </w:r>
          </w:p>
        </w:tc>
        <w:tc>
          <w:tcPr>
            <w:tcW w:type="dxa" w:w="1800"/>
            <w:shd w:fill="F7F7F7" w:val="clear"/>
            <w:vAlign w:val="top"/>
          </w:tcPr>
          <w:p>
            <w:r>
              <w:rPr>
                <w:rFonts w:ascii="Calibri" w:cs="Calibri" w:eastAsia="Calibri" w:hAnsi="Calibri"/>
                <w:b w:val="false"/>
                <w:bCs w:val="false"/>
                <w:sz w:val="17"/>
                <w:szCs w:val="17"/>
              </w:rPr>
              <w:t xml:space="preserve">Diverse Instruments</w:t>
            </w:r>
          </w:p>
        </w:tc>
        <w:tc>
          <w:tcPr>
            <w:tcW w:type="dxa" w:w="3500"/>
            <w:shd w:fill="F7F7F7" w:val="clear"/>
            <w:vAlign w:val="top"/>
          </w:tcPr>
          <w:p>
            <w:r>
              <w:rPr>
                <w:rFonts w:ascii="Calibri" w:cs="Calibri" w:eastAsia="Calibri" w:hAnsi="Calibri"/>
                <w:b w:val="false"/>
                <w:bCs w:val="false"/>
                <w:sz w:val="17"/>
                <w:szCs w:val="17"/>
              </w:rPr>
              <w:t xml:space="preserve">Ryo: "OTC markets trade a wide variety of financial instruments including stocks, bonds, currencies, commodities, and derivatives such as options, swaps, interest rate swaps, credit default swaps, forwards, and SLBs."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"So it is everywhere and nowhere?"</w:t>
            </w:r>
          </w:p>
        </w:tc>
        <w:tc>
          <w:tcPr>
            <w:tcW w:type="dxa" w:w="1800"/>
            <w:shd w:fill="FFFFFF" w:val="clear"/>
            <w:vAlign w:val="top"/>
          </w:tcPr>
          <w:p>
            <w:r>
              <w:rPr>
                <w:rFonts w:ascii="Calibri" w:cs="Calibri" w:eastAsia="Calibri" w:hAnsi="Calibri"/>
                <w:b w:val="false"/>
                <w:bCs w:val="false"/>
                <w:sz w:val="17"/>
                <w:szCs w:val="17"/>
              </w:rPr>
              <w:t xml:space="preserve">Decentralised</w:t>
            </w:r>
          </w:p>
        </w:tc>
        <w:tc>
          <w:tcPr>
            <w:tcW w:type="dxa" w:w="3500"/>
            <w:shd w:fill="FFFFFF" w:val="clear"/>
            <w:vAlign w:val="top"/>
          </w:tcPr>
          <w:p>
            <w:r>
              <w:rPr>
                <w:rFonts w:ascii="Calibri" w:cs="Calibri" w:eastAsia="Calibri" w:hAnsi="Calibri"/>
                <w:b w:val="false"/>
                <w:bCs w:val="false"/>
                <w:sz w:val="17"/>
                <w:szCs w:val="17"/>
              </w:rPr>
              <w:t xml:space="preserve">Aria: "So there is no single OTC marketplace - it is everywhere?" Ryo: "Exactly. OTC trading occurs bilaterally between buyers and sellers, often facilitated by dealers or brokers, with no physical location."</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Forex market globe graphic</w:t>
            </w:r>
          </w:p>
        </w:tc>
        <w:tc>
          <w:tcPr>
            <w:tcW w:type="dxa" w:w="1800"/>
            <w:shd w:fill="F7F7F7" w:val="clear"/>
            <w:vAlign w:val="top"/>
          </w:tcPr>
          <w:p>
            <w:r>
              <w:rPr>
                <w:rFonts w:ascii="Calibri" w:cs="Calibri" w:eastAsia="Calibri" w:hAnsi="Calibri"/>
                <w:b w:val="false"/>
                <w:bCs w:val="false"/>
                <w:sz w:val="17"/>
                <w:szCs w:val="17"/>
              </w:rPr>
              <w:t xml:space="preserve">Largest OTC: Forex</w:t>
            </w:r>
          </w:p>
        </w:tc>
        <w:tc>
          <w:tcPr>
            <w:tcW w:type="dxa" w:w="3500"/>
            <w:shd w:fill="F7F7F7" w:val="clear"/>
            <w:vAlign w:val="top"/>
          </w:tcPr>
          <w:p>
            <w:r>
              <w:rPr>
                <w:rFonts w:ascii="Calibri" w:cs="Calibri" w:eastAsia="Calibri" w:hAnsi="Calibri"/>
                <w:b w:val="false"/>
                <w:bCs w:val="false"/>
                <w:sz w:val="17"/>
                <w:szCs w:val="17"/>
              </w:rPr>
              <w:t xml:space="preserve">Ryo: "The largest OTC market in the world is the Forex - Foreign Exchange - market, where currencies are traded in a decentralised manner."</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OTC definition</w:t>
            </w:r>
          </w:p>
        </w:tc>
        <w:tc>
          <w:tcPr>
            <w:tcW w:type="dxa" w:w="1800"/>
            <w:shd w:fill="FFFFFF" w:val="clear"/>
            <w:vAlign w:val="top"/>
          </w:tcPr>
          <w:p>
            <w:r>
              <w:rPr>
                <w:rFonts w:ascii="Calibri" w:cs="Calibri" w:eastAsia="Calibri" w:hAnsi="Calibri"/>
                <w:b w:val="false"/>
                <w:bCs w:val="false"/>
                <w:sz w:val="17"/>
                <w:szCs w:val="17"/>
              </w:rPr>
              <w:t xml:space="preserve">OTC Definition</w:t>
            </w:r>
          </w:p>
        </w:tc>
        <w:tc>
          <w:tcPr>
            <w:tcW w:type="dxa" w:w="3500"/>
            <w:shd w:fill="FFFFFF" w:val="clear"/>
            <w:vAlign w:val="top"/>
          </w:tcPr>
          <w:p>
            <w:r>
              <w:rPr>
                <w:rFonts w:ascii="Calibri" w:cs="Calibri" w:eastAsia="Calibri" w:hAnsi="Calibri"/>
                <w:b w:val="false"/>
                <w:bCs w:val="false"/>
                <w:sz w:val="17"/>
                <w:szCs w:val="17"/>
              </w:rPr>
              <w:t xml:space="preserve">Aria: "OTC defined: a decentralised, off-exchange market where financial instruments trade directly between participants via electronic networks or telephone, without a central exchange."</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Seven characteristics icons preview</w:t>
            </w:r>
          </w:p>
        </w:tc>
        <w:tc>
          <w:tcPr>
            <w:tcW w:type="dxa" w:w="1800"/>
            <w:shd w:fill="F7F7F7" w:val="clear"/>
            <w:vAlign w:val="top"/>
          </w:tcPr>
          <w:p>
            <w:r>
              <w:rPr>
                <w:rFonts w:ascii="Calibri" w:cs="Calibri" w:eastAsia="Calibri" w:hAnsi="Calibri"/>
                <w:b w:val="false"/>
                <w:bCs w:val="false"/>
                <w:sz w:val="17"/>
                <w:szCs w:val="17"/>
              </w:rPr>
              <w:t xml:space="preserve">Next: OTC Characteristics</w:t>
            </w:r>
          </w:p>
        </w:tc>
        <w:tc>
          <w:tcPr>
            <w:tcW w:type="dxa" w:w="3500"/>
            <w:shd w:fill="F7F7F7" w:val="clear"/>
            <w:vAlign w:val="top"/>
          </w:tcPr>
          <w:p>
            <w:r>
              <w:rPr>
                <w:rFonts w:ascii="Calibri" w:cs="Calibri" w:eastAsia="Calibri" w:hAnsi="Calibri"/>
                <w:b w:val="false"/>
                <w:bCs w:val="false"/>
                <w:sz w:val="17"/>
                <w:szCs w:val="17"/>
              </w:rPr>
              <w:t xml:space="preserve">Ryo: "Next we examine the key characteristics that make the OTC market unique."</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SC4.2 - Identify key OTC characteristics</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SC4.2 - Identify key OTC characteristics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ISDA.4</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Market - Definition &amp; Characteristics</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SC4.2 - Identify key OTC characteristics (bilateral, bespoke, no central exchange)</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20-22</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Characteristics wheel graphic</w:t>
            </w:r>
          </w:p>
        </w:tc>
        <w:tc>
          <w:tcPr>
            <w:tcW w:type="dxa" w:w="1800"/>
            <w:shd w:fill="FFFFFF" w:val="clear"/>
            <w:vAlign w:val="top"/>
          </w:tcPr>
          <w:p>
            <w:r>
              <w:rPr>
                <w:rFonts w:ascii="Calibri" w:cs="Calibri" w:eastAsia="Calibri" w:hAnsi="Calibri"/>
                <w:b w:val="false"/>
                <w:bCs w:val="false"/>
                <w:sz w:val="17"/>
                <w:szCs w:val="17"/>
              </w:rPr>
              <w:t xml:space="preserve">Seven Characteristics</w:t>
            </w:r>
          </w:p>
        </w:tc>
        <w:tc>
          <w:tcPr>
            <w:tcW w:type="dxa" w:w="3500"/>
            <w:shd w:fill="FFFFFF" w:val="clear"/>
            <w:vAlign w:val="top"/>
          </w:tcPr>
          <w:p>
            <w:r>
              <w:rPr>
                <w:rFonts w:ascii="Calibri" w:cs="Calibri" w:eastAsia="Calibri" w:hAnsi="Calibri"/>
                <w:b w:val="false"/>
                <w:bCs w:val="false"/>
                <w:sz w:val="17"/>
                <w:szCs w:val="17"/>
              </w:rPr>
              <w:t xml:space="preserve">Aria: "Ryo, slides 20 to 22 list key OTC characteristics. Walk me through them."</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20 - first three characteristics</w:t>
            </w:r>
          </w:p>
        </w:tc>
        <w:tc>
          <w:tcPr>
            <w:tcW w:type="dxa" w:w="1800"/>
            <w:shd w:fill="F7F7F7" w:val="clear"/>
            <w:vAlign w:val="top"/>
          </w:tcPr>
          <w:p>
            <w:r>
              <w:rPr>
                <w:rFonts w:ascii="Calibri" w:cs="Calibri" w:eastAsia="Calibri" w:hAnsi="Calibri"/>
                <w:b w:val="false"/>
                <w:bCs w:val="false"/>
                <w:sz w:val="17"/>
                <w:szCs w:val="17"/>
              </w:rPr>
              <w:t xml:space="preserve">Decentralisation</w:t>
            </w:r>
          </w:p>
        </w:tc>
        <w:tc>
          <w:tcPr>
            <w:tcW w:type="dxa" w:w="3500"/>
            <w:shd w:fill="F7F7F7" w:val="clear"/>
            <w:vAlign w:val="top"/>
          </w:tcPr>
          <w:p>
            <w:r>
              <w:rPr>
                <w:rFonts w:ascii="Calibri" w:cs="Calibri" w:eastAsia="Calibri" w:hAnsi="Calibri"/>
                <w:b w:val="false"/>
                <w:bCs w:val="false"/>
                <w:sz w:val="17"/>
                <w:szCs w:val="17"/>
              </w:rPr>
              <w:t xml:space="preserve">Ryo: "Characteristic one: Decentralisation - OTC trading occurs bilaterally between buyers and sellers with no physical location or central exchange. Two: Accessibility - the OTC market is accessible to financial institutions, corporations, individual investors, and government entities."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Diversity of instruments graphic</w:t>
            </w:r>
          </w:p>
        </w:tc>
        <w:tc>
          <w:tcPr>
            <w:tcW w:type="dxa" w:w="1800"/>
            <w:shd w:fill="FFFFFF" w:val="clear"/>
            <w:vAlign w:val="top"/>
          </w:tcPr>
          <w:p>
            <w:r>
              <w:rPr>
                <w:rFonts w:ascii="Calibri" w:cs="Calibri" w:eastAsia="Calibri" w:hAnsi="Calibri"/>
                <w:b w:val="false"/>
                <w:bCs w:val="false"/>
                <w:sz w:val="17"/>
                <w:szCs w:val="17"/>
              </w:rPr>
              <w:t xml:space="preserve">Diversity of Instruments</w:t>
            </w:r>
          </w:p>
        </w:tc>
        <w:tc>
          <w:tcPr>
            <w:tcW w:type="dxa" w:w="3500"/>
            <w:shd w:fill="FFFFFF" w:val="clear"/>
            <w:vAlign w:val="top"/>
          </w:tcPr>
          <w:p>
            <w:r>
              <w:rPr>
                <w:rFonts w:ascii="Calibri" w:cs="Calibri" w:eastAsia="Calibri" w:hAnsi="Calibri"/>
                <w:b w:val="false"/>
                <w:bCs w:val="false"/>
                <w:sz w:val="17"/>
                <w:szCs w:val="17"/>
              </w:rPr>
              <w:t xml:space="preserve">Ryo: "Three: Diversity of Instruments - OTC markets trade stocks, bonds, currencies, commodities, and derivatives such as options and swaps."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21 - customisation and transparency</w:t>
            </w:r>
          </w:p>
        </w:tc>
        <w:tc>
          <w:tcPr>
            <w:tcW w:type="dxa" w:w="1800"/>
            <w:shd w:fill="F7F7F7" w:val="clear"/>
            <w:vAlign w:val="top"/>
          </w:tcPr>
          <w:p>
            <w:r>
              <w:rPr>
                <w:rFonts w:ascii="Calibri" w:cs="Calibri" w:eastAsia="Calibri" w:hAnsi="Calibri"/>
                <w:b w:val="false"/>
                <w:bCs w:val="false"/>
                <w:sz w:val="17"/>
                <w:szCs w:val="17"/>
              </w:rPr>
              <w:t xml:space="preserve">Customisation</w:t>
            </w:r>
          </w:p>
        </w:tc>
        <w:tc>
          <w:tcPr>
            <w:tcW w:type="dxa" w:w="3500"/>
            <w:shd w:fill="F7F7F7" w:val="clear"/>
            <w:vAlign w:val="top"/>
          </w:tcPr>
          <w:p>
            <w:r>
              <w:rPr>
                <w:rFonts w:ascii="Calibri" w:cs="Calibri" w:eastAsia="Calibri" w:hAnsi="Calibri"/>
                <w:b w:val="false"/>
                <w:bCs w:val="false"/>
                <w:sz w:val="17"/>
                <w:szCs w:val="17"/>
              </w:rPr>
              <w:t xml:space="preserve">Ryo: "Four: Customisation - OTC transactions often involve customised or non-standardised contracts, allowing parties to tailor the terms to their specific needs. Five: Lack of Transparency - OTC transactions are generally not as transparent as exchange-traded transactions, and pricing and trade details may not be publicly disclosed."</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Counterparty risk diagram</w:t>
            </w:r>
          </w:p>
        </w:tc>
        <w:tc>
          <w:tcPr>
            <w:tcW w:type="dxa" w:w="1800"/>
            <w:shd w:fill="FFFFFF" w:val="clear"/>
            <w:vAlign w:val="top"/>
          </w:tcPr>
          <w:p>
            <w:r>
              <w:rPr>
                <w:rFonts w:ascii="Calibri" w:cs="Calibri" w:eastAsia="Calibri" w:hAnsi="Calibri"/>
                <w:b w:val="false"/>
                <w:bCs w:val="false"/>
                <w:sz w:val="17"/>
                <w:szCs w:val="17"/>
              </w:rPr>
              <w:t xml:space="preserve">Counterparty Risk</w:t>
            </w:r>
          </w:p>
        </w:tc>
        <w:tc>
          <w:tcPr>
            <w:tcW w:type="dxa" w:w="3500"/>
            <w:shd w:fill="FFFFFF" w:val="clear"/>
            <w:vAlign w:val="top"/>
          </w:tcPr>
          <w:p>
            <w:r>
              <w:rPr>
                <w:rFonts w:ascii="Calibri" w:cs="Calibri" w:eastAsia="Calibri" w:hAnsi="Calibri"/>
                <w:b w:val="false"/>
                <w:bCs w:val="false"/>
                <w:sz w:val="17"/>
                <w:szCs w:val="17"/>
              </w:rPr>
              <w:t xml:space="preserve">Ryo: "Six: Counterparty Risk - participants must consider the creditworthiness and financial stability of their trading partners, as there is no central guarantor."</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22 - regulation callout</w:t>
            </w:r>
          </w:p>
        </w:tc>
        <w:tc>
          <w:tcPr>
            <w:tcW w:type="dxa" w:w="1800"/>
            <w:shd w:fill="F7F7F7" w:val="clear"/>
            <w:vAlign w:val="top"/>
          </w:tcPr>
          <w:p>
            <w:r>
              <w:rPr>
                <w:rFonts w:ascii="Calibri" w:cs="Calibri" w:eastAsia="Calibri" w:hAnsi="Calibri"/>
                <w:b w:val="false"/>
                <w:bCs w:val="false"/>
                <w:sz w:val="17"/>
                <w:szCs w:val="17"/>
              </w:rPr>
              <w:t xml:space="preserve">Regulation</w:t>
            </w:r>
          </w:p>
        </w:tc>
        <w:tc>
          <w:tcPr>
            <w:tcW w:type="dxa" w:w="3500"/>
            <w:shd w:fill="F7F7F7" w:val="clear"/>
            <w:vAlign w:val="top"/>
          </w:tcPr>
          <w:p>
            <w:r>
              <w:rPr>
                <w:rFonts w:ascii="Calibri" w:cs="Calibri" w:eastAsia="Calibri" w:hAnsi="Calibri"/>
                <w:b w:val="false"/>
                <w:bCs w:val="false"/>
                <w:sz w:val="17"/>
                <w:szCs w:val="17"/>
              </w:rPr>
              <w:t xml:space="preserve">Ryo: "Seven: Regulation - OTC markets are subject to regulatory oversight, but the degree and type of regulation can vary by jurisdiction and asset class."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seven bullets</w:t>
            </w:r>
          </w:p>
        </w:tc>
        <w:tc>
          <w:tcPr>
            <w:tcW w:type="dxa" w:w="1800"/>
            <w:shd w:fill="FFFFFF" w:val="clear"/>
            <w:vAlign w:val="top"/>
          </w:tcPr>
          <w:p>
            <w:r>
              <w:rPr>
                <w:rFonts w:ascii="Calibri" w:cs="Calibri" w:eastAsia="Calibri" w:hAnsi="Calibri"/>
                <w:b w:val="false"/>
                <w:bCs w:val="false"/>
                <w:sz w:val="17"/>
                <w:szCs w:val="17"/>
              </w:rPr>
              <w:t xml:space="preserve">Seven OTC Traits</w:t>
            </w:r>
          </w:p>
        </w:tc>
        <w:tc>
          <w:tcPr>
            <w:tcW w:type="dxa" w:w="3500"/>
            <w:shd w:fill="FFFFFF" w:val="clear"/>
            <w:vAlign w:val="top"/>
          </w:tcPr>
          <w:p>
            <w:r>
              <w:rPr>
                <w:rFonts w:ascii="Calibri" w:cs="Calibri" w:eastAsia="Calibri" w:hAnsi="Calibri"/>
                <w:b w:val="false"/>
                <w:bCs w:val="false"/>
                <w:sz w:val="17"/>
                <w:szCs w:val="17"/>
              </w:rPr>
              <w:t xml:space="preserve">Aria: "Seven OTC characteristics: decentralisation, accessibility, diversity of instruments, customisation, lack of transparency, counterparty risk, and regulation. The OTC market is flexible but carries real bilateral risk."</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Key players preview graphic</w:t>
            </w:r>
          </w:p>
        </w:tc>
        <w:tc>
          <w:tcPr>
            <w:tcW w:type="dxa" w:w="1800"/>
            <w:shd w:fill="F7F7F7" w:val="clear"/>
            <w:vAlign w:val="top"/>
          </w:tcPr>
          <w:p>
            <w:r>
              <w:rPr>
                <w:rFonts w:ascii="Calibri" w:cs="Calibri" w:eastAsia="Calibri" w:hAnsi="Calibri"/>
                <w:b w:val="false"/>
                <w:bCs w:val="false"/>
                <w:sz w:val="17"/>
                <w:szCs w:val="17"/>
              </w:rPr>
              <w:t xml:space="preserve">Next: Key OTC Players</w:t>
            </w:r>
          </w:p>
        </w:tc>
        <w:tc>
          <w:tcPr>
            <w:tcW w:type="dxa" w:w="3500"/>
            <w:shd w:fill="F7F7F7" w:val="clear"/>
            <w:vAlign w:val="top"/>
          </w:tcPr>
          <w:p>
            <w:r>
              <w:rPr>
                <w:rFonts w:ascii="Calibri" w:cs="Calibri" w:eastAsia="Calibri" w:hAnsi="Calibri"/>
                <w:b w:val="false"/>
                <w:bCs w:val="false"/>
                <w:sz w:val="17"/>
                <w:szCs w:val="17"/>
              </w:rPr>
              <w:t xml:space="preserve">Ryo: "Now that we know what the OTC market is, let us meet the players who operate within it."</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ISDA.4 complete - Next: ISDA.5 Key Players in OTC Markets</w:t>
      </w:r>
    </w:p>
    <w:p>
      <w:r>
        <w:br w:type="page"/>
      </w:r>
    </w:p>
    <w:p>
      <w:pPr>
        <w:shd w:fill="1E3A5F" w:val="clear"/>
        <w:spacing w:after="200" w:before="200"/>
        <w:ind w:left="200"/>
      </w:pPr>
      <w:r>
        <w:rPr>
          <w:rFonts w:ascii="Calibri" w:cs="Calibri" w:eastAsia="Calibri" w:hAnsi="Calibri"/>
          <w:b/>
          <w:bCs/>
          <w:color w:val="FFFFFF"/>
          <w:sz w:val="28"/>
          <w:szCs w:val="28"/>
        </w:rPr>
        <w:t xml:space="preserve">ISDA.5 | Key Players in OTC Markets</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SC5.1 - Identify key OTC market participants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ISDA.5</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Key Players in OTC Markets</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SC5.1 - Identify key OTC market participants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24-27</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Crowded market with many player icons</w:t>
            </w:r>
          </w:p>
        </w:tc>
        <w:tc>
          <w:tcPr>
            <w:tcW w:type="dxa" w:w="1800"/>
            <w:shd w:fill="FFFFFF" w:val="clear"/>
            <w:vAlign w:val="top"/>
          </w:tcPr>
          <w:p>
            <w:r>
              <w:rPr>
                <w:rFonts w:ascii="Calibri" w:cs="Calibri" w:eastAsia="Calibri" w:hAnsi="Calibri"/>
                <w:b w:val="false"/>
                <w:bCs w:val="false"/>
                <w:sz w:val="17"/>
                <w:szCs w:val="17"/>
              </w:rPr>
              <w:t xml:space="preserve">Who is in the OTC market?</w:t>
            </w:r>
          </w:p>
        </w:tc>
        <w:tc>
          <w:tcPr>
            <w:tcW w:type="dxa" w:w="3500"/>
            <w:shd w:fill="FFFFFF" w:val="clear"/>
            <w:vAlign w:val="top"/>
          </w:tcPr>
          <w:p>
            <w:r>
              <w:rPr>
                <w:rFonts w:ascii="Calibri" w:cs="Calibri" w:eastAsia="Calibri" w:hAnsi="Calibri"/>
                <w:b w:val="false"/>
                <w:bCs w:val="false"/>
                <w:sz w:val="17"/>
                <w:szCs w:val="17"/>
              </w:rPr>
              <w:t xml:space="preserve">Aria: "Ryo, the OTC market sounds like a very crowded room. Who exactly is in there?"</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24 - Buy-Side section</w:t>
            </w:r>
          </w:p>
        </w:tc>
        <w:tc>
          <w:tcPr>
            <w:tcW w:type="dxa" w:w="1800"/>
            <w:shd w:fill="F7F7F7" w:val="clear"/>
            <w:vAlign w:val="top"/>
          </w:tcPr>
          <w:p>
            <w:r>
              <w:rPr>
                <w:rFonts w:ascii="Calibri" w:cs="Calibri" w:eastAsia="Calibri" w:hAnsi="Calibri"/>
                <w:b w:val="false"/>
                <w:bCs w:val="false"/>
                <w:sz w:val="17"/>
                <w:szCs w:val="17"/>
              </w:rPr>
              <w:t xml:space="preserve">Buy-Side Participants</w:t>
            </w:r>
          </w:p>
        </w:tc>
        <w:tc>
          <w:tcPr>
            <w:tcW w:type="dxa" w:w="3500"/>
            <w:shd w:fill="F7F7F7" w:val="clear"/>
            <w:vAlign w:val="top"/>
          </w:tcPr>
          <w:p>
            <w:r>
              <w:rPr>
                <w:rFonts w:ascii="Calibri" w:cs="Calibri" w:eastAsia="Calibri" w:hAnsi="Calibri"/>
                <w:b w:val="false"/>
                <w:bCs w:val="false"/>
                <w:sz w:val="17"/>
                <w:szCs w:val="17"/>
              </w:rPr>
              <w:t xml:space="preserve">Ryo: "Starting with Buy-Side: Individual investors - retail investors who trade OTC securities or derivatives. And Institutional investors - large organisations like mutual funds, pension funds, and insurance companies that trade OTC to manage their portfolios."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Slide 25 - Sell-Side section</w:t>
            </w:r>
          </w:p>
        </w:tc>
        <w:tc>
          <w:tcPr>
            <w:tcW w:type="dxa" w:w="1800"/>
            <w:shd w:fill="FFFFFF" w:val="clear"/>
            <w:vAlign w:val="top"/>
          </w:tcPr>
          <w:p>
            <w:r>
              <w:rPr>
                <w:rFonts w:ascii="Calibri" w:cs="Calibri" w:eastAsia="Calibri" w:hAnsi="Calibri"/>
                <w:b w:val="false"/>
                <w:bCs w:val="false"/>
                <w:sz w:val="17"/>
                <w:szCs w:val="17"/>
              </w:rPr>
              <w:t xml:space="preserve">Sell-Side Participants</w:t>
            </w:r>
          </w:p>
        </w:tc>
        <w:tc>
          <w:tcPr>
            <w:tcW w:type="dxa" w:w="3500"/>
            <w:shd w:fill="FFFFFF" w:val="clear"/>
            <w:vAlign w:val="top"/>
          </w:tcPr>
          <w:p>
            <w:r>
              <w:rPr>
                <w:rFonts w:ascii="Calibri" w:cs="Calibri" w:eastAsia="Calibri" w:hAnsi="Calibri"/>
                <w:b w:val="false"/>
                <w:bCs w:val="false"/>
                <w:sz w:val="17"/>
                <w:szCs w:val="17"/>
              </w:rPr>
              <w:t xml:space="preserve">Ryo: "On the Sell-Side: Broker-dealers act as intermediaries between buyers and sellers, executing OTC trades and providing market-making services. Market makers continuously quote bid and ask prices to maintain liquidity. Investment banks underwrite, trade, and advise. Trading desks handle OTC trading, risk management, and order execution within financial institutions."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Electronic platforms and ECN graphic</w:t>
            </w:r>
          </w:p>
        </w:tc>
        <w:tc>
          <w:tcPr>
            <w:tcW w:type="dxa" w:w="1800"/>
            <w:shd w:fill="F7F7F7" w:val="clear"/>
            <w:vAlign w:val="top"/>
          </w:tcPr>
          <w:p>
            <w:r>
              <w:rPr>
                <w:rFonts w:ascii="Calibri" w:cs="Calibri" w:eastAsia="Calibri" w:hAnsi="Calibri"/>
                <w:b w:val="false"/>
                <w:bCs w:val="false"/>
                <w:sz w:val="17"/>
                <w:szCs w:val="17"/>
              </w:rPr>
              <w:t xml:space="preserve">OTC Trading Platforms</w:t>
            </w:r>
          </w:p>
        </w:tc>
        <w:tc>
          <w:tcPr>
            <w:tcW w:type="dxa" w:w="3500"/>
            <w:shd w:fill="F7F7F7" w:val="clear"/>
            <w:vAlign w:val="top"/>
          </w:tcPr>
          <w:p>
            <w:r>
              <w:rPr>
                <w:rFonts w:ascii="Calibri" w:cs="Calibri" w:eastAsia="Calibri" w:hAnsi="Calibri"/>
                <w:b w:val="false"/>
                <w:bCs w:val="false"/>
                <w:sz w:val="17"/>
                <w:szCs w:val="17"/>
              </w:rPr>
              <w:t xml:space="preserve">Ryo: "There are also OTC Trading Platforms - electronic platforms like ECNs - Electronic Communication Networks - and alternative trading systems that facilitate OTC trading."</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Slide 26 - Intermediaries section</w:t>
            </w:r>
          </w:p>
        </w:tc>
        <w:tc>
          <w:tcPr>
            <w:tcW w:type="dxa" w:w="1800"/>
            <w:shd w:fill="FFFFFF" w:val="clear"/>
            <w:vAlign w:val="top"/>
          </w:tcPr>
          <w:p>
            <w:r>
              <w:rPr>
                <w:rFonts w:ascii="Calibri" w:cs="Calibri" w:eastAsia="Calibri" w:hAnsi="Calibri"/>
                <w:b w:val="false"/>
                <w:bCs w:val="false"/>
                <w:sz w:val="17"/>
                <w:szCs w:val="17"/>
              </w:rPr>
              <w:t xml:space="preserve">Intermediaries</w:t>
            </w:r>
          </w:p>
        </w:tc>
        <w:tc>
          <w:tcPr>
            <w:tcW w:type="dxa" w:w="3500"/>
            <w:shd w:fill="FFFFFF" w:val="clear"/>
            <w:vAlign w:val="top"/>
          </w:tcPr>
          <w:p>
            <w:r>
              <w:rPr>
                <w:rFonts w:ascii="Calibri" w:cs="Calibri" w:eastAsia="Calibri" w:hAnsi="Calibri"/>
                <w:b w:val="false"/>
                <w:bCs w:val="false"/>
                <w:sz w:val="17"/>
                <w:szCs w:val="17"/>
              </w:rPr>
              <w:t xml:space="preserve">Ryo: "Then intermediaries: Clearinghouses act as intermediaries in settlement, ensuring transactions are completed and guaranteeing financial integrity. Custodians hold and safeguard assets and provide settlement and record-keeping services. Transfer Agents maintain shareholder records."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27 - other market participants</w:t>
            </w:r>
          </w:p>
        </w:tc>
        <w:tc>
          <w:tcPr>
            <w:tcW w:type="dxa" w:w="1800"/>
            <w:shd w:fill="F7F7F7" w:val="clear"/>
            <w:vAlign w:val="top"/>
          </w:tcPr>
          <w:p>
            <w:r>
              <w:rPr>
                <w:rFonts w:ascii="Calibri" w:cs="Calibri" w:eastAsia="Calibri" w:hAnsi="Calibri"/>
                <w:b w:val="false"/>
                <w:bCs w:val="false"/>
                <w:sz w:val="17"/>
                <w:szCs w:val="17"/>
              </w:rPr>
              <w:t xml:space="preserve">Hedge Funds and Others</w:t>
            </w:r>
          </w:p>
        </w:tc>
        <w:tc>
          <w:tcPr>
            <w:tcW w:type="dxa" w:w="3500"/>
            <w:shd w:fill="F7F7F7" w:val="clear"/>
            <w:vAlign w:val="top"/>
          </w:tcPr>
          <w:p>
            <w:r>
              <w:rPr>
                <w:rFonts w:ascii="Calibri" w:cs="Calibri" w:eastAsia="Calibri" w:hAnsi="Calibri"/>
                <w:b w:val="false"/>
                <w:bCs w:val="false"/>
                <w:sz w:val="17"/>
                <w:szCs w:val="17"/>
              </w:rPr>
              <w:t xml:space="preserve">Ryo: "Finally: hedge funds and asset managers actively trade OTC to implement strategies. Data providers offer market data and analytics. Credit rating agencies assess creditworthiness. Legal and compliance professionals navigate the regulatory complexities of OTC markets."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three groups listed</w:t>
            </w:r>
          </w:p>
        </w:tc>
        <w:tc>
          <w:tcPr>
            <w:tcW w:type="dxa" w:w="1800"/>
            <w:shd w:fill="FFFFFF" w:val="clear"/>
            <w:vAlign w:val="top"/>
          </w:tcPr>
          <w:p>
            <w:r>
              <w:rPr>
                <w:rFonts w:ascii="Calibri" w:cs="Calibri" w:eastAsia="Calibri" w:hAnsi="Calibri"/>
                <w:b w:val="false"/>
                <w:bCs w:val="false"/>
                <w:sz w:val="17"/>
                <w:szCs w:val="17"/>
              </w:rPr>
              <w:t xml:space="preserve">Three OTC Groups</w:t>
            </w:r>
          </w:p>
        </w:tc>
        <w:tc>
          <w:tcPr>
            <w:tcW w:type="dxa" w:w="3500"/>
            <w:shd w:fill="FFFFFF" w:val="clear"/>
            <w:vAlign w:val="top"/>
          </w:tcPr>
          <w:p>
            <w:r>
              <w:rPr>
                <w:rFonts w:ascii="Calibri" w:cs="Calibri" w:eastAsia="Calibri" w:hAnsi="Calibri"/>
                <w:b w:val="false"/>
                <w:bCs w:val="false"/>
                <w:sz w:val="17"/>
                <w:szCs w:val="17"/>
              </w:rPr>
              <w:t xml:space="preserve">Aria: "OTC participants fall into three groups: buy-side investors; sell-side broker-dealers, market makers, investment banks, trading desks, and platforms; and intermediaries - clearinghouses, custodians, transfer agents - plus specialists like hedge funds, data providers, credit agencies, and legal professionals."</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Trade lifecycle diagram preview</w:t>
            </w:r>
          </w:p>
        </w:tc>
        <w:tc>
          <w:tcPr>
            <w:tcW w:type="dxa" w:w="1800"/>
            <w:shd w:fill="F7F7F7" w:val="clear"/>
            <w:vAlign w:val="top"/>
          </w:tcPr>
          <w:p>
            <w:r>
              <w:rPr>
                <w:rFonts w:ascii="Calibri" w:cs="Calibri" w:eastAsia="Calibri" w:hAnsi="Calibri"/>
                <w:b w:val="false"/>
                <w:bCs w:val="false"/>
                <w:sz w:val="17"/>
                <w:szCs w:val="17"/>
              </w:rPr>
              <w:t xml:space="preserve">Next: Explain Each Role</w:t>
            </w:r>
          </w:p>
        </w:tc>
        <w:tc>
          <w:tcPr>
            <w:tcW w:type="dxa" w:w="3500"/>
            <w:shd w:fill="F7F7F7" w:val="clear"/>
            <w:vAlign w:val="top"/>
          </w:tcPr>
          <w:p>
            <w:r>
              <w:rPr>
                <w:rFonts w:ascii="Calibri" w:cs="Calibri" w:eastAsia="Calibri" w:hAnsi="Calibri"/>
                <w:b w:val="false"/>
                <w:bCs w:val="false"/>
                <w:sz w:val="17"/>
                <w:szCs w:val="17"/>
              </w:rPr>
              <w:t xml:space="preserve">Ryo: "Next, we look more closely at each participant's specific role in the OTC market."</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SC5.2 - Explain each participant's role</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SC5.2 - Explain each participant's role</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ISDA.5</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Key Players in OTC Markets</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SC5.2 - Explain each participant's role</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24-27</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Role name cards on screen</w:t>
            </w:r>
          </w:p>
        </w:tc>
        <w:tc>
          <w:tcPr>
            <w:tcW w:type="dxa" w:w="1800"/>
            <w:shd w:fill="FFFFFF" w:val="clear"/>
            <w:vAlign w:val="top"/>
          </w:tcPr>
          <w:p>
            <w:r>
              <w:rPr>
                <w:rFonts w:ascii="Calibri" w:cs="Calibri" w:eastAsia="Calibri" w:hAnsi="Calibri"/>
                <w:b w:val="false"/>
                <w:bCs w:val="false"/>
                <w:sz w:val="17"/>
                <w:szCs w:val="17"/>
              </w:rPr>
              <w:t xml:space="preserve">Who Does What?</w:t>
            </w:r>
          </w:p>
        </w:tc>
        <w:tc>
          <w:tcPr>
            <w:tcW w:type="dxa" w:w="3500"/>
            <w:shd w:fill="FFFFFF" w:val="clear"/>
            <w:vAlign w:val="top"/>
          </w:tcPr>
          <w:p>
            <w:r>
              <w:rPr>
                <w:rFonts w:ascii="Calibri" w:cs="Calibri" w:eastAsia="Calibri" w:hAnsi="Calibri"/>
                <w:b w:val="false"/>
                <w:bCs w:val="false"/>
                <w:sz w:val="17"/>
                <w:szCs w:val="17"/>
              </w:rPr>
              <w:t xml:space="preserve">Aria: "Ryo, now I know who is in the OTC market - but what does each one actually do differently?"</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Broker-dealer function diagram</w:t>
            </w:r>
          </w:p>
        </w:tc>
        <w:tc>
          <w:tcPr>
            <w:tcW w:type="dxa" w:w="1800"/>
            <w:shd w:fill="F7F7F7" w:val="clear"/>
            <w:vAlign w:val="top"/>
          </w:tcPr>
          <w:p>
            <w:r>
              <w:rPr>
                <w:rFonts w:ascii="Calibri" w:cs="Calibri" w:eastAsia="Calibri" w:hAnsi="Calibri"/>
                <w:b w:val="false"/>
                <w:bCs w:val="false"/>
                <w:sz w:val="17"/>
                <w:szCs w:val="17"/>
              </w:rPr>
              <w:t xml:space="preserve">Broker-Dealers</w:t>
            </w:r>
          </w:p>
        </w:tc>
        <w:tc>
          <w:tcPr>
            <w:tcW w:type="dxa" w:w="3500"/>
            <w:shd w:fill="F7F7F7" w:val="clear"/>
            <w:vAlign w:val="top"/>
          </w:tcPr>
          <w:p>
            <w:r>
              <w:rPr>
                <w:rFonts w:ascii="Calibri" w:cs="Calibri" w:eastAsia="Calibri" w:hAnsi="Calibri"/>
                <w:b w:val="false"/>
                <w:bCs w:val="false"/>
                <w:sz w:val="17"/>
                <w:szCs w:val="17"/>
              </w:rPr>
              <w:t xml:space="preserve">Ryo: "Broker-dealers are intermediaries between buyers and sellers - they execute OTC trades on behalf of clients and provide market-making services. They may also take proprietary positions, trading for their own book."</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Market maker bid-ask spread graphic</w:t>
            </w:r>
          </w:p>
        </w:tc>
        <w:tc>
          <w:tcPr>
            <w:tcW w:type="dxa" w:w="1800"/>
            <w:shd w:fill="FFFFFF" w:val="clear"/>
            <w:vAlign w:val="top"/>
          </w:tcPr>
          <w:p>
            <w:r>
              <w:rPr>
                <w:rFonts w:ascii="Calibri" w:cs="Calibri" w:eastAsia="Calibri" w:hAnsi="Calibri"/>
                <w:b w:val="false"/>
                <w:bCs w:val="false"/>
                <w:sz w:val="17"/>
                <w:szCs w:val="17"/>
              </w:rPr>
              <w:t xml:space="preserve">Market Makers</w:t>
            </w:r>
          </w:p>
        </w:tc>
        <w:tc>
          <w:tcPr>
            <w:tcW w:type="dxa" w:w="3500"/>
            <w:shd w:fill="FFFFFF" w:val="clear"/>
            <w:vAlign w:val="top"/>
          </w:tcPr>
          <w:p>
            <w:r>
              <w:rPr>
                <w:rFonts w:ascii="Calibri" w:cs="Calibri" w:eastAsia="Calibri" w:hAnsi="Calibri"/>
                <w:b w:val="false"/>
                <w:bCs w:val="false"/>
                <w:sz w:val="17"/>
                <w:szCs w:val="17"/>
              </w:rPr>
              <w:t xml:space="preserve">Ryo: "Market makers facilitate trading by continuously quoting bid and ask prices for specific securities, helping to maintain liquidity. Without them, finding a counterparty for a bespoke OTC trade could take considerable time."</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Clearinghouse guarantee diagram</w:t>
            </w:r>
          </w:p>
        </w:tc>
        <w:tc>
          <w:tcPr>
            <w:tcW w:type="dxa" w:w="1800"/>
            <w:shd w:fill="F7F7F7" w:val="clear"/>
            <w:vAlign w:val="top"/>
          </w:tcPr>
          <w:p>
            <w:r>
              <w:rPr>
                <w:rFonts w:ascii="Calibri" w:cs="Calibri" w:eastAsia="Calibri" w:hAnsi="Calibri"/>
                <w:b w:val="false"/>
                <w:bCs w:val="false"/>
                <w:sz w:val="17"/>
                <w:szCs w:val="17"/>
              </w:rPr>
              <w:t xml:space="preserve">Clearinghouses</w:t>
            </w:r>
          </w:p>
        </w:tc>
        <w:tc>
          <w:tcPr>
            <w:tcW w:type="dxa" w:w="3500"/>
            <w:shd w:fill="F7F7F7" w:val="clear"/>
            <w:vAlign w:val="top"/>
          </w:tcPr>
          <w:p>
            <w:r>
              <w:rPr>
                <w:rFonts w:ascii="Calibri" w:cs="Calibri" w:eastAsia="Calibri" w:hAnsi="Calibri"/>
                <w:b w:val="false"/>
                <w:bCs w:val="false"/>
                <w:sz w:val="17"/>
                <w:szCs w:val="17"/>
              </w:rPr>
              <w:t xml:space="preserve">Ryo: "Clearinghouses act as intermediaries in the settlement process, ensuring transactions are completed and guaranteeing their financial integrity. This is particularly important in OTC derivatives where default risk is real."</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Custodian vault and record-keeping graphic</w:t>
            </w:r>
          </w:p>
        </w:tc>
        <w:tc>
          <w:tcPr>
            <w:tcW w:type="dxa" w:w="1800"/>
            <w:shd w:fill="FFFFFF" w:val="clear"/>
            <w:vAlign w:val="top"/>
          </w:tcPr>
          <w:p>
            <w:r>
              <w:rPr>
                <w:rFonts w:ascii="Calibri" w:cs="Calibri" w:eastAsia="Calibri" w:hAnsi="Calibri"/>
                <w:b w:val="false"/>
                <w:bCs w:val="false"/>
                <w:sz w:val="17"/>
                <w:szCs w:val="17"/>
              </w:rPr>
              <w:t xml:space="preserve">Custodians</w:t>
            </w:r>
          </w:p>
        </w:tc>
        <w:tc>
          <w:tcPr>
            <w:tcW w:type="dxa" w:w="3500"/>
            <w:shd w:fill="FFFFFF" w:val="clear"/>
            <w:vAlign w:val="top"/>
          </w:tcPr>
          <w:p>
            <w:r>
              <w:rPr>
                <w:rFonts w:ascii="Calibri" w:cs="Calibri" w:eastAsia="Calibri" w:hAnsi="Calibri"/>
                <w:b w:val="false"/>
                <w:bCs w:val="false"/>
                <w:sz w:val="17"/>
                <w:szCs w:val="17"/>
              </w:rPr>
              <w:t xml:space="preserve">Ryo: "Custodians hold and safeguard financial assets for clients. They also provide services related to settlement and record-keeping."</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ARIA: "What about hedge funds?"</w:t>
            </w:r>
          </w:p>
        </w:tc>
        <w:tc>
          <w:tcPr>
            <w:tcW w:type="dxa" w:w="1800"/>
            <w:shd w:fill="F7F7F7" w:val="clear"/>
            <w:vAlign w:val="top"/>
          </w:tcPr>
          <w:p>
            <w:r>
              <w:rPr>
                <w:rFonts w:ascii="Calibri" w:cs="Calibri" w:eastAsia="Calibri" w:hAnsi="Calibri"/>
                <w:b w:val="false"/>
                <w:bCs w:val="false"/>
                <w:sz w:val="17"/>
                <w:szCs w:val="17"/>
              </w:rPr>
              <w:t xml:space="preserve">Hedge Funds</w:t>
            </w:r>
          </w:p>
        </w:tc>
        <w:tc>
          <w:tcPr>
            <w:tcW w:type="dxa" w:w="3500"/>
            <w:shd w:fill="F7F7F7" w:val="clear"/>
            <w:vAlign w:val="top"/>
          </w:tcPr>
          <w:p>
            <w:r>
              <w:rPr>
                <w:rFonts w:ascii="Calibri" w:cs="Calibri" w:eastAsia="Calibri" w:hAnsi="Calibri"/>
                <w:b w:val="false"/>
                <w:bCs w:val="false"/>
                <w:sz w:val="17"/>
                <w:szCs w:val="17"/>
              </w:rPr>
              <w:t xml:space="preserve">Aria: "And hedge funds?" Ryo: "Hedge funds and asset managers actively trade in the OTC market to implement investment strategies and manage portfolios. Their size and leverage make them significant OTC participants."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role matrix</w:t>
            </w:r>
          </w:p>
        </w:tc>
        <w:tc>
          <w:tcPr>
            <w:tcW w:type="dxa" w:w="1800"/>
            <w:shd w:fill="FFFFFF" w:val="clear"/>
            <w:vAlign w:val="top"/>
          </w:tcPr>
          <w:p>
            <w:r>
              <w:rPr>
                <w:rFonts w:ascii="Calibri" w:cs="Calibri" w:eastAsia="Calibri" w:hAnsi="Calibri"/>
                <w:b w:val="false"/>
                <w:bCs w:val="false"/>
                <w:sz w:val="17"/>
                <w:szCs w:val="17"/>
              </w:rPr>
              <w:t xml:space="preserve">Role Summary</w:t>
            </w:r>
          </w:p>
        </w:tc>
        <w:tc>
          <w:tcPr>
            <w:tcW w:type="dxa" w:w="3500"/>
            <w:shd w:fill="FFFFFF" w:val="clear"/>
            <w:vAlign w:val="top"/>
          </w:tcPr>
          <w:p>
            <w:r>
              <w:rPr>
                <w:rFonts w:ascii="Calibri" w:cs="Calibri" w:eastAsia="Calibri" w:hAnsi="Calibri"/>
                <w:b w:val="false"/>
                <w:bCs w:val="false"/>
                <w:sz w:val="17"/>
                <w:szCs w:val="17"/>
              </w:rPr>
              <w:t xml:space="preserve">Aria: "Summary: broker-dealers execute and make markets; market makers provide continuous pricing; clearinghouses guarantee settlement; custodians safeguard assets; hedge funds implement strategies. Each role is essential to OTC market function."</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Trade lifecycle diagram preview</w:t>
            </w:r>
          </w:p>
        </w:tc>
        <w:tc>
          <w:tcPr>
            <w:tcW w:type="dxa" w:w="1800"/>
            <w:shd w:fill="F7F7F7" w:val="clear"/>
            <w:vAlign w:val="top"/>
          </w:tcPr>
          <w:p>
            <w:r>
              <w:rPr>
                <w:rFonts w:ascii="Calibri" w:cs="Calibri" w:eastAsia="Calibri" w:hAnsi="Calibri"/>
                <w:b w:val="false"/>
                <w:bCs w:val="false"/>
                <w:sz w:val="17"/>
                <w:szCs w:val="17"/>
              </w:rPr>
              <w:t xml:space="preserve">Next: OTC Trade Life Cycle</w:t>
            </w:r>
          </w:p>
        </w:tc>
        <w:tc>
          <w:tcPr>
            <w:tcW w:type="dxa" w:w="3500"/>
            <w:shd w:fill="F7F7F7" w:val="clear"/>
            <w:vAlign w:val="top"/>
          </w:tcPr>
          <w:p>
            <w:r>
              <w:rPr>
                <w:rFonts w:ascii="Calibri" w:cs="Calibri" w:eastAsia="Calibri" w:hAnsi="Calibri"/>
                <w:b w:val="false"/>
                <w:bCs w:val="false"/>
                <w:sz w:val="17"/>
                <w:szCs w:val="17"/>
              </w:rPr>
              <w:t xml:space="preserve">Ryo: "With the players established, we move to the OTC Trade Life Cycle - from initiation all the way through to settlement."</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ISDA.5 complete - Next: ISDA.6 OTC Trade Life Cycle Overview &amp; Initiation</w:t>
      </w:r>
    </w:p>
    <w:p>
      <w:r>
        <w:br w:type="page"/>
      </w:r>
    </w:p>
    <w:p>
      <w:pPr>
        <w:shd w:fill="1E3A5F" w:val="clear"/>
        <w:spacing w:after="200" w:before="200"/>
        <w:ind w:left="200"/>
      </w:pPr>
      <w:r>
        <w:rPr>
          <w:rFonts w:ascii="Calibri" w:cs="Calibri" w:eastAsia="Calibri" w:hAnsi="Calibri"/>
          <w:b/>
          <w:bCs/>
          <w:color w:val="FFFFFF"/>
          <w:sz w:val="28"/>
          <w:szCs w:val="28"/>
        </w:rPr>
        <w:t xml:space="preserve">ISDA.6 | OTC Trade Life Cycle - Overview &amp; Initiation</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SC6.1 - Identify all OTC TLC stages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ISDA.6</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Overview &amp; Initiation</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SC6.1 - Identify all OTC TLC stages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29-30</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Lifecycle wheel with empty stage labels</w:t>
            </w:r>
          </w:p>
        </w:tc>
        <w:tc>
          <w:tcPr>
            <w:tcW w:type="dxa" w:w="1800"/>
            <w:shd w:fill="FFFFFF" w:val="clear"/>
            <w:vAlign w:val="top"/>
          </w:tcPr>
          <w:p>
            <w:r>
              <w:rPr>
                <w:rFonts w:ascii="Calibri" w:cs="Calibri" w:eastAsia="Calibri" w:hAnsi="Calibri"/>
                <w:b w:val="false"/>
                <w:bCs w:val="false"/>
                <w:sz w:val="17"/>
                <w:szCs w:val="17"/>
              </w:rPr>
              <w:t xml:space="preserve">The Full TLC</w:t>
            </w:r>
          </w:p>
        </w:tc>
        <w:tc>
          <w:tcPr>
            <w:tcW w:type="dxa" w:w="3500"/>
            <w:shd w:fill="FFFFFF" w:val="clear"/>
            <w:vAlign w:val="top"/>
          </w:tcPr>
          <w:p>
            <w:r>
              <w:rPr>
                <w:rFonts w:ascii="Calibri" w:cs="Calibri" w:eastAsia="Calibri" w:hAnsi="Calibri"/>
                <w:b w:val="false"/>
                <w:bCs w:val="false"/>
                <w:sz w:val="17"/>
                <w:szCs w:val="17"/>
              </w:rPr>
              <w:t xml:space="preserve">Aria: "Ryo, the OTC trade life cycle has many steps. Can you map them all out?"</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29 - Front Office stages highlighted</w:t>
            </w:r>
          </w:p>
        </w:tc>
        <w:tc>
          <w:tcPr>
            <w:tcW w:type="dxa" w:w="1800"/>
            <w:shd w:fill="F7F7F7" w:val="clear"/>
            <w:vAlign w:val="top"/>
          </w:tcPr>
          <w:p>
            <w:r>
              <w:rPr>
                <w:rFonts w:ascii="Calibri" w:cs="Calibri" w:eastAsia="Calibri" w:hAnsi="Calibri"/>
                <w:b w:val="false"/>
                <w:bCs w:val="false"/>
                <w:sz w:val="17"/>
                <w:szCs w:val="17"/>
              </w:rPr>
              <w:t xml:space="preserve">Front Office</w:t>
            </w:r>
          </w:p>
        </w:tc>
        <w:tc>
          <w:tcPr>
            <w:tcW w:type="dxa" w:w="3500"/>
            <w:shd w:fill="F7F7F7" w:val="clear"/>
            <w:vAlign w:val="top"/>
          </w:tcPr>
          <w:p>
            <w:r>
              <w:rPr>
                <w:rFonts w:ascii="Calibri" w:cs="Calibri" w:eastAsia="Calibri" w:hAnsi="Calibri"/>
                <w:b w:val="false"/>
                <w:bCs w:val="false"/>
                <w:sz w:val="17"/>
                <w:szCs w:val="17"/>
              </w:rPr>
              <w:t xml:space="preserve">Ryo: "The lifecycle begins with Front Office activities: Trade Initiation, Trade Execution, Trade Reporting, Trade Capture, and Trade Enrichment."</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Middle Office stages highlighted</w:t>
            </w:r>
          </w:p>
        </w:tc>
        <w:tc>
          <w:tcPr>
            <w:tcW w:type="dxa" w:w="1800"/>
            <w:shd w:fill="FFFFFF" w:val="clear"/>
            <w:vAlign w:val="top"/>
          </w:tcPr>
          <w:p>
            <w:r>
              <w:rPr>
                <w:rFonts w:ascii="Calibri" w:cs="Calibri" w:eastAsia="Calibri" w:hAnsi="Calibri"/>
                <w:b w:val="false"/>
                <w:bCs w:val="false"/>
                <w:sz w:val="17"/>
                <w:szCs w:val="17"/>
              </w:rPr>
              <w:t xml:space="preserve">Middle Office</w:t>
            </w:r>
          </w:p>
        </w:tc>
        <w:tc>
          <w:tcPr>
            <w:tcW w:type="dxa" w:w="3500"/>
            <w:shd w:fill="FFFFFF" w:val="clear"/>
            <w:vAlign w:val="top"/>
          </w:tcPr>
          <w:p>
            <w:r>
              <w:rPr>
                <w:rFonts w:ascii="Calibri" w:cs="Calibri" w:eastAsia="Calibri" w:hAnsi="Calibri"/>
                <w:b w:val="false"/>
                <w:bCs w:val="false"/>
                <w:sz w:val="17"/>
                <w:szCs w:val="17"/>
              </w:rPr>
              <w:t xml:space="preserve">Ryo: "Middle Office handles: Trade Validation, Trade Verification, and Trade Affirmation and Confirmation."</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Operations stages highlighted</w:t>
            </w:r>
          </w:p>
        </w:tc>
        <w:tc>
          <w:tcPr>
            <w:tcW w:type="dxa" w:w="1800"/>
            <w:shd w:fill="F7F7F7" w:val="clear"/>
            <w:vAlign w:val="top"/>
          </w:tcPr>
          <w:p>
            <w:r>
              <w:rPr>
                <w:rFonts w:ascii="Calibri" w:cs="Calibri" w:eastAsia="Calibri" w:hAnsi="Calibri"/>
                <w:b w:val="false"/>
                <w:bCs w:val="false"/>
                <w:sz w:val="17"/>
                <w:szCs w:val="17"/>
              </w:rPr>
              <w:t xml:space="preserve">Operations</w:t>
            </w:r>
          </w:p>
        </w:tc>
        <w:tc>
          <w:tcPr>
            <w:tcW w:type="dxa" w:w="3500"/>
            <w:shd w:fill="F7F7F7" w:val="clear"/>
            <w:vAlign w:val="top"/>
          </w:tcPr>
          <w:p>
            <w:r>
              <w:rPr>
                <w:rFonts w:ascii="Calibri" w:cs="Calibri" w:eastAsia="Calibri" w:hAnsi="Calibri"/>
                <w:b w:val="false"/>
                <w:bCs w:val="false"/>
                <w:sz w:val="17"/>
                <w:szCs w:val="17"/>
              </w:rPr>
              <w:t xml:space="preserve">Ryo: "Then Operations handles: Transaction Reporting, Trade Settlement, and Trade Reconciliation. That is the full lifecycle - from initiation in the front office to final reconciliation in operations."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counting on fingers</w:t>
            </w:r>
          </w:p>
        </w:tc>
        <w:tc>
          <w:tcPr>
            <w:tcW w:type="dxa" w:w="1800"/>
            <w:shd w:fill="FFFFFF" w:val="clear"/>
            <w:vAlign w:val="top"/>
          </w:tcPr>
          <w:p>
            <w:r>
              <w:rPr>
                <w:rFonts w:ascii="Calibri" w:cs="Calibri" w:eastAsia="Calibri" w:hAnsi="Calibri"/>
                <w:b w:val="false"/>
                <w:bCs w:val="false"/>
                <w:sz w:val="17"/>
                <w:szCs w:val="17"/>
              </w:rPr>
              <w:t xml:space="preserve">Eleven Steps</w:t>
            </w:r>
          </w:p>
        </w:tc>
        <w:tc>
          <w:tcPr>
            <w:tcW w:type="dxa" w:w="3500"/>
            <w:shd w:fill="FFFFFF" w:val="clear"/>
            <w:vAlign w:val="top"/>
          </w:tcPr>
          <w:p>
            <w:r>
              <w:rPr>
                <w:rFonts w:ascii="Calibri" w:cs="Calibri" w:eastAsia="Calibri" w:hAnsi="Calibri"/>
                <w:b w:val="false"/>
                <w:bCs w:val="false"/>
                <w:sz w:val="17"/>
                <w:szCs w:val="17"/>
              </w:rPr>
              <w:t xml:space="preserve">Aria: "So there are eleven steps across three office layers?" Ryo: "Correct - front office five, middle office three, operations three. Each step has its own team and system requirements."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Three-layer diagram with arrows</w:t>
            </w:r>
          </w:p>
        </w:tc>
        <w:tc>
          <w:tcPr>
            <w:tcW w:type="dxa" w:w="1800"/>
            <w:shd w:fill="F7F7F7" w:val="clear"/>
            <w:vAlign w:val="top"/>
          </w:tcPr>
          <w:p>
            <w:r>
              <w:rPr>
                <w:rFonts w:ascii="Calibri" w:cs="Calibri" w:eastAsia="Calibri" w:hAnsi="Calibri"/>
                <w:b w:val="false"/>
                <w:bCs w:val="false"/>
                <w:sz w:val="17"/>
                <w:szCs w:val="17"/>
              </w:rPr>
              <w:t xml:space="preserve">Three-Layer Structure</w:t>
            </w:r>
          </w:p>
        </w:tc>
        <w:tc>
          <w:tcPr>
            <w:tcW w:type="dxa" w:w="3500"/>
            <w:shd w:fill="F7F7F7" w:val="clear"/>
            <w:vAlign w:val="top"/>
          </w:tcPr>
          <w:p>
            <w:r>
              <w:rPr>
                <w:rFonts w:ascii="Calibri" w:cs="Calibri" w:eastAsia="Calibri" w:hAnsi="Calibri"/>
                <w:b w:val="false"/>
                <w:bCs w:val="false"/>
                <w:sz w:val="17"/>
                <w:szCs w:val="17"/>
              </w:rPr>
              <w:t xml:space="preserve">Ryo: "The three layers reflect separation of duties - front office agrees the trade, middle office validates it, and operations settles it. Each layer is a checkpoint."</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all 11 steps listed</w:t>
            </w:r>
          </w:p>
        </w:tc>
        <w:tc>
          <w:tcPr>
            <w:tcW w:type="dxa" w:w="1800"/>
            <w:shd w:fill="FFFFFF" w:val="clear"/>
            <w:vAlign w:val="top"/>
          </w:tcPr>
          <w:p>
            <w:r>
              <w:rPr>
                <w:rFonts w:ascii="Calibri" w:cs="Calibri" w:eastAsia="Calibri" w:hAnsi="Calibri"/>
                <w:b w:val="false"/>
                <w:bCs w:val="false"/>
                <w:sz w:val="17"/>
                <w:szCs w:val="17"/>
              </w:rPr>
              <w:t xml:space="preserve">TLC Overview</w:t>
            </w:r>
          </w:p>
        </w:tc>
        <w:tc>
          <w:tcPr>
            <w:tcW w:type="dxa" w:w="3500"/>
            <w:shd w:fill="FFFFFF" w:val="clear"/>
            <w:vAlign w:val="top"/>
          </w:tcPr>
          <w:p>
            <w:r>
              <w:rPr>
                <w:rFonts w:ascii="Calibri" w:cs="Calibri" w:eastAsia="Calibri" w:hAnsi="Calibri"/>
                <w:b w:val="false"/>
                <w:bCs w:val="false"/>
                <w:sz w:val="17"/>
                <w:szCs w:val="17"/>
              </w:rPr>
              <w:t xml:space="preserve">Aria: "Full OTC TLC: Front Office - initiation, execution, reporting, capture, enrichment; Middle Office - validation, verification, affirmation and confirmation; Operations - transaction reporting, settlement, reconciliation."</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Trade initiation zoomed graphic</w:t>
            </w:r>
          </w:p>
        </w:tc>
        <w:tc>
          <w:tcPr>
            <w:tcW w:type="dxa" w:w="1800"/>
            <w:shd w:fill="F7F7F7" w:val="clear"/>
            <w:vAlign w:val="top"/>
          </w:tcPr>
          <w:p>
            <w:r>
              <w:rPr>
                <w:rFonts w:ascii="Calibri" w:cs="Calibri" w:eastAsia="Calibri" w:hAnsi="Calibri"/>
                <w:b w:val="false"/>
                <w:bCs w:val="false"/>
                <w:sz w:val="17"/>
                <w:szCs w:val="17"/>
              </w:rPr>
              <w:t xml:space="preserve">Next: Trade Initiation</w:t>
            </w:r>
          </w:p>
        </w:tc>
        <w:tc>
          <w:tcPr>
            <w:tcW w:type="dxa" w:w="3500"/>
            <w:shd w:fill="F7F7F7" w:val="clear"/>
            <w:vAlign w:val="top"/>
          </w:tcPr>
          <w:p>
            <w:r>
              <w:rPr>
                <w:rFonts w:ascii="Calibri" w:cs="Calibri" w:eastAsia="Calibri" w:hAnsi="Calibri"/>
                <w:b w:val="false"/>
                <w:bCs w:val="false"/>
                <w:sz w:val="17"/>
                <w:szCs w:val="17"/>
              </w:rPr>
              <w:t xml:space="preserve">Ryo: "Now let us look closely at Step 1 - Trade Initiation - where it all begins."</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SC6.2 - Explain trade initiation in OTC context</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SC6.2 - Explain trade initiation in OTC context</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ISDA.6</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Overview &amp; Initiation</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SC6.2 - Explain trade initiation in OTC context</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30-34</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Stakeholder meeting graphic</w:t>
            </w:r>
          </w:p>
        </w:tc>
        <w:tc>
          <w:tcPr>
            <w:tcW w:type="dxa" w:w="1800"/>
            <w:shd w:fill="FFFFFF" w:val="clear"/>
            <w:vAlign w:val="top"/>
          </w:tcPr>
          <w:p>
            <w:r>
              <w:rPr>
                <w:rFonts w:ascii="Calibri" w:cs="Calibri" w:eastAsia="Calibri" w:hAnsi="Calibri"/>
                <w:b w:val="false"/>
                <w:bCs w:val="false"/>
                <w:sz w:val="17"/>
                <w:szCs w:val="17"/>
              </w:rPr>
              <w:t xml:space="preserve">Who is at the Table?</w:t>
            </w:r>
          </w:p>
        </w:tc>
        <w:tc>
          <w:tcPr>
            <w:tcW w:type="dxa" w:w="3500"/>
            <w:shd w:fill="FFFFFF" w:val="clear"/>
            <w:vAlign w:val="top"/>
          </w:tcPr>
          <w:p>
            <w:r>
              <w:rPr>
                <w:rFonts w:ascii="Calibri" w:cs="Calibri" w:eastAsia="Calibri" w:hAnsi="Calibri"/>
                <w:b w:val="false"/>
                <w:bCs w:val="false"/>
                <w:sz w:val="17"/>
                <w:szCs w:val="17"/>
              </w:rPr>
              <w:t xml:space="preserve">Aria: "Ryo, trade initiation involves a lot of teams. Why so many people just to start a trade?"</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30 - stakeholders list</w:t>
            </w:r>
          </w:p>
        </w:tc>
        <w:tc>
          <w:tcPr>
            <w:tcW w:type="dxa" w:w="1800"/>
            <w:shd w:fill="F7F7F7" w:val="clear"/>
            <w:vAlign w:val="top"/>
          </w:tcPr>
          <w:p>
            <w:r>
              <w:rPr>
                <w:rFonts w:ascii="Calibri" w:cs="Calibri" w:eastAsia="Calibri" w:hAnsi="Calibri"/>
                <w:b w:val="false"/>
                <w:bCs w:val="false"/>
                <w:sz w:val="17"/>
                <w:szCs w:val="17"/>
              </w:rPr>
              <w:t xml:space="preserve">Highly Customised</w:t>
            </w:r>
          </w:p>
        </w:tc>
        <w:tc>
          <w:tcPr>
            <w:tcW w:type="dxa" w:w="3500"/>
            <w:shd w:fill="F7F7F7" w:val="clear"/>
            <w:vAlign w:val="top"/>
          </w:tcPr>
          <w:p>
            <w:r>
              <w:rPr>
                <w:rFonts w:ascii="Calibri" w:cs="Calibri" w:eastAsia="Calibri" w:hAnsi="Calibri"/>
                <w:b w:val="false"/>
                <w:bCs w:val="false"/>
                <w:sz w:val="17"/>
                <w:szCs w:val="17"/>
              </w:rPr>
              <w:t xml:space="preserve">Ryo: "Trade initiation is highly customised. Traders bring all stakeholders together to discuss possibilities. A discussion about the client requirement and trade structure takes place."</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Legal and Compliance team icon</w:t>
            </w:r>
          </w:p>
        </w:tc>
        <w:tc>
          <w:tcPr>
            <w:tcW w:type="dxa" w:w="1800"/>
            <w:shd w:fill="FFFFFF" w:val="clear"/>
            <w:vAlign w:val="top"/>
          </w:tcPr>
          <w:p>
            <w:r>
              <w:rPr>
                <w:rFonts w:ascii="Calibri" w:cs="Calibri" w:eastAsia="Calibri" w:hAnsi="Calibri"/>
                <w:b w:val="false"/>
                <w:bCs w:val="false"/>
                <w:sz w:val="17"/>
                <w:szCs w:val="17"/>
              </w:rPr>
              <w:t xml:space="preserve">Legal &amp; Compliance</w:t>
            </w:r>
          </w:p>
        </w:tc>
        <w:tc>
          <w:tcPr>
            <w:tcW w:type="dxa" w:w="3500"/>
            <w:shd w:fill="FFFFFF" w:val="clear"/>
            <w:vAlign w:val="top"/>
          </w:tcPr>
          <w:p>
            <w:r>
              <w:rPr>
                <w:rFonts w:ascii="Calibri" w:cs="Calibri" w:eastAsia="Calibri" w:hAnsi="Calibri"/>
                <w:b w:val="false"/>
                <w:bCs w:val="false"/>
                <w:sz w:val="17"/>
                <w:szCs w:val="17"/>
              </w:rPr>
              <w:t xml:space="preserve">Ryo: "The Legal and Compliance Team ensures trade transactions are legally correct and compliant with company policies."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Operations, KYC, RDM team icons</w:t>
            </w:r>
          </w:p>
        </w:tc>
        <w:tc>
          <w:tcPr>
            <w:tcW w:type="dxa" w:w="1800"/>
            <w:shd w:fill="F7F7F7" w:val="clear"/>
            <w:vAlign w:val="top"/>
          </w:tcPr>
          <w:p>
            <w:r>
              <w:rPr>
                <w:rFonts w:ascii="Calibri" w:cs="Calibri" w:eastAsia="Calibri" w:hAnsi="Calibri"/>
                <w:b w:val="false"/>
                <w:bCs w:val="false"/>
                <w:sz w:val="17"/>
                <w:szCs w:val="17"/>
              </w:rPr>
              <w:t xml:space="preserve">Operations, KYC, RDM</w:t>
            </w:r>
          </w:p>
        </w:tc>
        <w:tc>
          <w:tcPr>
            <w:tcW w:type="dxa" w:w="3500"/>
            <w:shd w:fill="F7F7F7" w:val="clear"/>
            <w:vAlign w:val="top"/>
          </w:tcPr>
          <w:p>
            <w:r>
              <w:rPr>
                <w:rFonts w:ascii="Calibri" w:cs="Calibri" w:eastAsia="Calibri" w:hAnsi="Calibri"/>
                <w:b w:val="false"/>
                <w:bCs w:val="false"/>
                <w:sz w:val="17"/>
                <w:szCs w:val="17"/>
              </w:rPr>
              <w:t xml:space="preserve">Ryo: "Operations ensures the deal is recorded in the system and the system supports the customised OTC deal. The KYC Team onboards the client. The RDM Team sets up the data."</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Risk Management team icon</w:t>
            </w:r>
          </w:p>
        </w:tc>
        <w:tc>
          <w:tcPr>
            <w:tcW w:type="dxa" w:w="1800"/>
            <w:shd w:fill="FFFFFF" w:val="clear"/>
            <w:vAlign w:val="top"/>
          </w:tcPr>
          <w:p>
            <w:r>
              <w:rPr>
                <w:rFonts w:ascii="Calibri" w:cs="Calibri" w:eastAsia="Calibri" w:hAnsi="Calibri"/>
                <w:b w:val="false"/>
                <w:bCs w:val="false"/>
                <w:sz w:val="17"/>
                <w:szCs w:val="17"/>
              </w:rPr>
              <w:t xml:space="preserve">Risk Management</w:t>
            </w:r>
          </w:p>
        </w:tc>
        <w:tc>
          <w:tcPr>
            <w:tcW w:type="dxa" w:w="3500"/>
            <w:shd w:fill="FFFFFF" w:val="clear"/>
            <w:vAlign w:val="top"/>
          </w:tcPr>
          <w:p>
            <w:r>
              <w:rPr>
                <w:rFonts w:ascii="Calibri" w:cs="Calibri" w:eastAsia="Calibri" w:hAnsi="Calibri"/>
                <w:b w:val="false"/>
                <w:bCs w:val="false"/>
                <w:sz w:val="17"/>
                <w:szCs w:val="17"/>
              </w:rPr>
              <w:t xml:space="preserve">Ryo: "The Risk Management Team identifies the market risk and credit risk involved in the deal. All stakeholders ensure that static data is set up, IT is set up, and the trade is executed properly."</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31 - ISDA documents and execution platforms</w:t>
            </w:r>
          </w:p>
        </w:tc>
        <w:tc>
          <w:tcPr>
            <w:tcW w:type="dxa" w:w="1800"/>
            <w:shd w:fill="F7F7F7" w:val="clear"/>
            <w:vAlign w:val="top"/>
          </w:tcPr>
          <w:p>
            <w:r>
              <w:rPr>
                <w:rFonts w:ascii="Calibri" w:cs="Calibri" w:eastAsia="Calibri" w:hAnsi="Calibri"/>
                <w:b w:val="false"/>
                <w:bCs w:val="false"/>
                <w:sz w:val="17"/>
                <w:szCs w:val="17"/>
              </w:rPr>
              <w:t xml:space="preserve">ISDA Docs &amp; Execution</w:t>
            </w:r>
          </w:p>
        </w:tc>
        <w:tc>
          <w:tcPr>
            <w:tcW w:type="dxa" w:w="3500"/>
            <w:shd w:fill="F7F7F7" w:val="clear"/>
            <w:vAlign w:val="top"/>
          </w:tcPr>
          <w:p>
            <w:r>
              <w:rPr>
                <w:rFonts w:ascii="Calibri" w:cs="Calibri" w:eastAsia="Calibri" w:hAnsi="Calibri"/>
                <w:b w:val="false"/>
                <w:bCs w:val="false"/>
                <w:sz w:val="17"/>
                <w:szCs w:val="17"/>
              </w:rPr>
              <w:t xml:space="preserve">Ryo: "Trade Execution follows - orders are placed by telephone or via an order management system. Platforms used include Reuters/EBS, Single Dealer Platforms, Multi-Dealer Platforms, ECNs, Voice Brokers, and SEFs."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team list</w:t>
            </w:r>
          </w:p>
        </w:tc>
        <w:tc>
          <w:tcPr>
            <w:tcW w:type="dxa" w:w="1800"/>
            <w:shd w:fill="FFFFFF" w:val="clear"/>
            <w:vAlign w:val="top"/>
          </w:tcPr>
          <w:p>
            <w:r>
              <w:rPr>
                <w:rFonts w:ascii="Calibri" w:cs="Calibri" w:eastAsia="Calibri" w:hAnsi="Calibri"/>
                <w:b w:val="false"/>
                <w:bCs w:val="false"/>
                <w:sz w:val="17"/>
                <w:szCs w:val="17"/>
              </w:rPr>
              <w:t xml:space="preserve">Initiation Summary</w:t>
            </w:r>
          </w:p>
        </w:tc>
        <w:tc>
          <w:tcPr>
            <w:tcW w:type="dxa" w:w="3500"/>
            <w:shd w:fill="FFFFFF" w:val="clear"/>
            <w:vAlign w:val="top"/>
          </w:tcPr>
          <w:p>
            <w:r>
              <w:rPr>
                <w:rFonts w:ascii="Calibri" w:cs="Calibri" w:eastAsia="Calibri" w:hAnsi="Calibri"/>
                <w:b w:val="false"/>
                <w:bCs w:val="false"/>
                <w:sz w:val="17"/>
                <w:szCs w:val="17"/>
              </w:rPr>
              <w:t xml:space="preserve">Aria: "Trade Initiation brings together Legal, Operations, KYC, RDM, and Risk Management teams to ensure the OTC deal is legally sound, operationally supported, and client data is set up before any trade is captured."</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Validation diagram preview</w:t>
            </w:r>
          </w:p>
        </w:tc>
        <w:tc>
          <w:tcPr>
            <w:tcW w:type="dxa" w:w="1800"/>
            <w:shd w:fill="F7F7F7" w:val="clear"/>
            <w:vAlign w:val="top"/>
          </w:tcPr>
          <w:p>
            <w:r>
              <w:rPr>
                <w:rFonts w:ascii="Calibri" w:cs="Calibri" w:eastAsia="Calibri" w:hAnsi="Calibri"/>
                <w:b w:val="false"/>
                <w:bCs w:val="false"/>
                <w:sz w:val="17"/>
                <w:szCs w:val="17"/>
              </w:rPr>
              <w:t xml:space="preserve">Next: Validation &amp; Matching</w:t>
            </w:r>
          </w:p>
        </w:tc>
        <w:tc>
          <w:tcPr>
            <w:tcW w:type="dxa" w:w="3500"/>
            <w:shd w:fill="F7F7F7" w:val="clear"/>
            <w:vAlign w:val="top"/>
          </w:tcPr>
          <w:p>
            <w:r>
              <w:rPr>
                <w:rFonts w:ascii="Calibri" w:cs="Calibri" w:eastAsia="Calibri" w:hAnsi="Calibri"/>
                <w:b w:val="false"/>
                <w:bCs w:val="false"/>
                <w:sz w:val="17"/>
                <w:szCs w:val="17"/>
              </w:rPr>
              <w:t xml:space="preserve">Ryo: "Next - Trade Validation and Trade Matching in the Middle Office."</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ISDA.6 complete - Next: ISDA.7 OTC Trade Life Cycle Validation &amp; Matching</w:t>
      </w:r>
    </w:p>
    <w:p>
      <w:r>
        <w:br w:type="page"/>
      </w:r>
    </w:p>
    <w:p>
      <w:pPr>
        <w:shd w:fill="1E3A5F" w:val="clear"/>
        <w:spacing w:after="200" w:before="200"/>
        <w:ind w:left="200"/>
      </w:pPr>
      <w:r>
        <w:rPr>
          <w:rFonts w:ascii="Calibri" w:cs="Calibri" w:eastAsia="Calibri" w:hAnsi="Calibri"/>
          <w:b/>
          <w:bCs/>
          <w:color w:val="FFFFFF"/>
          <w:sz w:val="28"/>
          <w:szCs w:val="28"/>
        </w:rPr>
        <w:t xml:space="preserve">ISDA.7 | OTC Trade Life Cycle - Validation &amp; Matching</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SC7.1 - Identify validation checks in OTC</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ISDA.7</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Validation &amp; Matching</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SC7.1 - Identify validation checks in OTC</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35-36</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Checklist graphic with tick boxes</w:t>
            </w:r>
          </w:p>
        </w:tc>
        <w:tc>
          <w:tcPr>
            <w:tcW w:type="dxa" w:w="1800"/>
            <w:shd w:fill="FFFFFF" w:val="clear"/>
            <w:vAlign w:val="top"/>
          </w:tcPr>
          <w:p>
            <w:r>
              <w:rPr>
                <w:rFonts w:ascii="Calibri" w:cs="Calibri" w:eastAsia="Calibri" w:hAnsi="Calibri"/>
                <w:b w:val="false"/>
                <w:bCs w:val="false"/>
                <w:sz w:val="17"/>
                <w:szCs w:val="17"/>
              </w:rPr>
              <w:t xml:space="preserve">What Gets Validated?</w:t>
            </w:r>
          </w:p>
        </w:tc>
        <w:tc>
          <w:tcPr>
            <w:tcW w:type="dxa" w:w="3500"/>
            <w:shd w:fill="FFFFFF" w:val="clear"/>
            <w:vAlign w:val="top"/>
          </w:tcPr>
          <w:p>
            <w:r>
              <w:rPr>
                <w:rFonts w:ascii="Calibri" w:cs="Calibri" w:eastAsia="Calibri" w:hAnsi="Calibri"/>
                <w:b w:val="false"/>
                <w:bCs w:val="false"/>
                <w:sz w:val="17"/>
                <w:szCs w:val="17"/>
              </w:rPr>
              <w:t xml:space="preserve">Aria: "Ryo, after a trade is captured, what exactly does Trade Validation check?"</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35 - Trade Enrichment section</w:t>
            </w:r>
          </w:p>
        </w:tc>
        <w:tc>
          <w:tcPr>
            <w:tcW w:type="dxa" w:w="1800"/>
            <w:shd w:fill="F7F7F7" w:val="clear"/>
            <w:vAlign w:val="top"/>
          </w:tcPr>
          <w:p>
            <w:r>
              <w:rPr>
                <w:rFonts w:ascii="Calibri" w:cs="Calibri" w:eastAsia="Calibri" w:hAnsi="Calibri"/>
                <w:b w:val="false"/>
                <w:bCs w:val="false"/>
                <w:sz w:val="17"/>
                <w:szCs w:val="17"/>
              </w:rPr>
              <w:t xml:space="preserve">Trade Enrichment First</w:t>
            </w:r>
          </w:p>
        </w:tc>
        <w:tc>
          <w:tcPr>
            <w:tcW w:type="dxa" w:w="3500"/>
            <w:shd w:fill="F7F7F7" w:val="clear"/>
            <w:vAlign w:val="top"/>
          </w:tcPr>
          <w:p>
            <w:r>
              <w:rPr>
                <w:rFonts w:ascii="Calibri" w:cs="Calibri" w:eastAsia="Calibri" w:hAnsi="Calibri"/>
                <w:b w:val="false"/>
                <w:bCs w:val="false"/>
                <w:sz w:val="17"/>
                <w:szCs w:val="17"/>
              </w:rPr>
              <w:t xml:space="preserve">Ryo: "Before validation, there is Trade Enrichment. Cash payments are made by appointing a cash correspondent - a nostro - for a particular currency, then issuing a settlement instruction to that nostro for individual cash payments."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SSI static data repository graphic</w:t>
            </w:r>
          </w:p>
        </w:tc>
        <w:tc>
          <w:tcPr>
            <w:tcW w:type="dxa" w:w="1800"/>
            <w:shd w:fill="FFFFFF" w:val="clear"/>
            <w:vAlign w:val="top"/>
          </w:tcPr>
          <w:p>
            <w:r>
              <w:rPr>
                <w:rFonts w:ascii="Calibri" w:cs="Calibri" w:eastAsia="Calibri" w:hAnsi="Calibri"/>
                <w:b w:val="false"/>
                <w:bCs w:val="false"/>
                <w:sz w:val="17"/>
                <w:szCs w:val="17"/>
              </w:rPr>
              <w:t xml:space="preserve">SSIs and Static Data</w:t>
            </w:r>
          </w:p>
        </w:tc>
        <w:tc>
          <w:tcPr>
            <w:tcW w:type="dxa" w:w="3500"/>
            <w:shd w:fill="FFFFFF" w:val="clear"/>
            <w:vAlign w:val="top"/>
          </w:tcPr>
          <w:p>
            <w:r>
              <w:rPr>
                <w:rFonts w:ascii="Calibri" w:cs="Calibri" w:eastAsia="Calibri" w:hAnsi="Calibri"/>
                <w:b w:val="false"/>
                <w:bCs w:val="false"/>
                <w:sz w:val="17"/>
                <w:szCs w:val="17"/>
              </w:rPr>
              <w:t xml:space="preserve">Ryo: "Deadlines are applied by nostros for receipt of settlement instructions relative to the value date. Standing Settlement Instructions - SSIs - are stored in the firm's static data repository to facilitate payment of cash to counterparties."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36 - Additional Rules list</w:t>
            </w:r>
          </w:p>
        </w:tc>
        <w:tc>
          <w:tcPr>
            <w:tcW w:type="dxa" w:w="1800"/>
            <w:shd w:fill="F7F7F7" w:val="clear"/>
            <w:vAlign w:val="top"/>
          </w:tcPr>
          <w:p>
            <w:r>
              <w:rPr>
                <w:rFonts w:ascii="Calibri" w:cs="Calibri" w:eastAsia="Calibri" w:hAnsi="Calibri"/>
                <w:b w:val="false"/>
                <w:bCs w:val="false"/>
                <w:sz w:val="17"/>
                <w:szCs w:val="17"/>
              </w:rPr>
              <w:t xml:space="preserve">Additional Validation Rules</w:t>
            </w:r>
          </w:p>
        </w:tc>
        <w:tc>
          <w:tcPr>
            <w:tcW w:type="dxa" w:w="3500"/>
            <w:shd w:fill="F7F7F7" w:val="clear"/>
            <w:vAlign w:val="top"/>
          </w:tcPr>
          <w:p>
            <w:r>
              <w:rPr>
                <w:rFonts w:ascii="Calibri" w:cs="Calibri" w:eastAsia="Calibri" w:hAnsi="Calibri"/>
                <w:b w:val="false"/>
                <w:bCs w:val="false"/>
                <w:sz w:val="17"/>
                <w:szCs w:val="17"/>
              </w:rPr>
              <w:t xml:space="preserve">Ryo: "Trade Validation includes Additional Rules - specific categories requiring extra checks: trades due to settle on a Free of Payment basis, trades with a cash value at or above a certain figure, and trades in a specific transaction type."</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More validation flags on screen</w:t>
            </w:r>
          </w:p>
        </w:tc>
        <w:tc>
          <w:tcPr>
            <w:tcW w:type="dxa" w:w="1800"/>
            <w:shd w:fill="FFFFFF" w:val="clear"/>
            <w:vAlign w:val="top"/>
          </w:tcPr>
          <w:p>
            <w:r>
              <w:rPr>
                <w:rFonts w:ascii="Calibri" w:cs="Calibri" w:eastAsia="Calibri" w:hAnsi="Calibri"/>
                <w:b w:val="false"/>
                <w:bCs w:val="false"/>
                <w:sz w:val="17"/>
                <w:szCs w:val="17"/>
              </w:rPr>
              <w:t xml:space="preserve">More Validation Flags</w:t>
            </w:r>
          </w:p>
        </w:tc>
        <w:tc>
          <w:tcPr>
            <w:tcW w:type="dxa" w:w="3500"/>
            <w:shd w:fill="FFFFFF" w:val="clear"/>
            <w:vAlign w:val="top"/>
          </w:tcPr>
          <w:p>
            <w:r>
              <w:rPr>
                <w:rFonts w:ascii="Calibri" w:cs="Calibri" w:eastAsia="Calibri" w:hAnsi="Calibri"/>
                <w:b w:val="false"/>
                <w:bCs w:val="false"/>
                <w:sz w:val="17"/>
                <w:szCs w:val="17"/>
              </w:rPr>
              <w:t xml:space="preserve">Ryo: "Also flagged for additional validation: trades with a specific counterparty, trades due to settle at a specific custodian, trades with a value date in the past, all amended trades, and all cancelled trades."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ARIA: "That is a lot of flags"</w:t>
            </w:r>
          </w:p>
        </w:tc>
        <w:tc>
          <w:tcPr>
            <w:tcW w:type="dxa" w:w="1800"/>
            <w:shd w:fill="F7F7F7" w:val="clear"/>
            <w:vAlign w:val="top"/>
          </w:tcPr>
          <w:p>
            <w:r>
              <w:rPr>
                <w:rFonts w:ascii="Calibri" w:cs="Calibri" w:eastAsia="Calibri" w:hAnsi="Calibri"/>
                <w:b w:val="false"/>
                <w:bCs w:val="false"/>
                <w:sz w:val="17"/>
                <w:szCs w:val="17"/>
              </w:rPr>
              <w:t xml:space="preserve">Eight Validation Categories</w:t>
            </w:r>
          </w:p>
        </w:tc>
        <w:tc>
          <w:tcPr>
            <w:tcW w:type="dxa" w:w="3500"/>
            <w:shd w:fill="F7F7F7" w:val="clear"/>
            <w:vAlign w:val="top"/>
          </w:tcPr>
          <w:p>
            <w:r>
              <w:rPr>
                <w:rFonts w:ascii="Calibri" w:cs="Calibri" w:eastAsia="Calibri" w:hAnsi="Calibri"/>
                <w:b w:val="false"/>
                <w:bCs w:val="false"/>
                <w:sz w:val="17"/>
                <w:szCs w:val="17"/>
              </w:rPr>
              <w:t xml:space="preserve">Aria: "Eight categories get extra scrutiny: FOP trades, high-value trades, specific transaction types, specific counterparties, specific custodians, past value dates, amendments, and cancellations."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validation bullets</w:t>
            </w:r>
          </w:p>
        </w:tc>
        <w:tc>
          <w:tcPr>
            <w:tcW w:type="dxa" w:w="1800"/>
            <w:shd w:fill="FFFFFF" w:val="clear"/>
            <w:vAlign w:val="top"/>
          </w:tcPr>
          <w:p>
            <w:r>
              <w:rPr>
                <w:rFonts w:ascii="Calibri" w:cs="Calibri" w:eastAsia="Calibri" w:hAnsi="Calibri"/>
                <w:b w:val="false"/>
                <w:bCs w:val="false"/>
                <w:sz w:val="17"/>
                <w:szCs w:val="17"/>
              </w:rPr>
              <w:t xml:space="preserve">Validation Summary</w:t>
            </w:r>
          </w:p>
        </w:tc>
        <w:tc>
          <w:tcPr>
            <w:tcW w:type="dxa" w:w="3500"/>
            <w:shd w:fill="FFFFFF" w:val="clear"/>
            <w:vAlign w:val="top"/>
          </w:tcPr>
          <w:p>
            <w:r>
              <w:rPr>
                <w:rFonts w:ascii="Calibri" w:cs="Calibri" w:eastAsia="Calibri" w:hAnsi="Calibri"/>
                <w:b w:val="false"/>
                <w:bCs w:val="false"/>
                <w:sz w:val="17"/>
                <w:szCs w:val="17"/>
              </w:rPr>
              <w:t xml:space="preserve">Aria: "Validation recap: Trade Enrichment adds SSI and nostro data. Additional Rules flag eight categories for extra checking including FOP, high-value, past value date, amendments, and cancellations. Trade details are also validated through RDM and verified with the Front Office."</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Confirmation matching graphic preview</w:t>
            </w:r>
          </w:p>
        </w:tc>
        <w:tc>
          <w:tcPr>
            <w:tcW w:type="dxa" w:w="1800"/>
            <w:shd w:fill="F7F7F7" w:val="clear"/>
            <w:vAlign w:val="top"/>
          </w:tcPr>
          <w:p>
            <w:r>
              <w:rPr>
                <w:rFonts w:ascii="Calibri" w:cs="Calibri" w:eastAsia="Calibri" w:hAnsi="Calibri"/>
                <w:b w:val="false"/>
                <w:bCs w:val="false"/>
                <w:sz w:val="17"/>
                <w:szCs w:val="17"/>
              </w:rPr>
              <w:t xml:space="preserve">Next: Trade Matching</w:t>
            </w:r>
          </w:p>
        </w:tc>
        <w:tc>
          <w:tcPr>
            <w:tcW w:type="dxa" w:w="3500"/>
            <w:shd w:fill="F7F7F7" w:val="clear"/>
            <w:vAlign w:val="top"/>
          </w:tcPr>
          <w:p>
            <w:r>
              <w:rPr>
                <w:rFonts w:ascii="Calibri" w:cs="Calibri" w:eastAsia="Calibri" w:hAnsi="Calibri"/>
                <w:b w:val="false"/>
                <w:bCs w:val="false"/>
                <w:sz w:val="17"/>
                <w:szCs w:val="17"/>
              </w:rPr>
              <w:t xml:space="preserve">Ryo: "Next - Trade Affirmation and Confirmation, where both counterparties agree the economic terms of the trade."</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SC7.2 - Explain trade matching and affirmation</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SC7.2 - Explain trade matching and affirmation</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ISDA.7</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Validation &amp; Matching</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SC7.2 - Explain trade matching and affirmation</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37-40</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Two documents aligning and merging graphic</w:t>
            </w:r>
          </w:p>
        </w:tc>
        <w:tc>
          <w:tcPr>
            <w:tcW w:type="dxa" w:w="1800"/>
            <w:shd w:fill="FFFFFF" w:val="clear"/>
            <w:vAlign w:val="top"/>
          </w:tcPr>
          <w:p>
            <w:r>
              <w:rPr>
                <w:rFonts w:ascii="Calibri" w:cs="Calibri" w:eastAsia="Calibri" w:hAnsi="Calibri"/>
                <w:b w:val="false"/>
                <w:bCs w:val="false"/>
                <w:sz w:val="17"/>
                <w:szCs w:val="17"/>
              </w:rPr>
              <w:t xml:space="preserve">Affirmation vs Confirmation</w:t>
            </w:r>
          </w:p>
        </w:tc>
        <w:tc>
          <w:tcPr>
            <w:tcW w:type="dxa" w:w="3500"/>
            <w:shd w:fill="FFFFFF" w:val="clear"/>
            <w:vAlign w:val="top"/>
          </w:tcPr>
          <w:p>
            <w:r>
              <w:rPr>
                <w:rFonts w:ascii="Calibri" w:cs="Calibri" w:eastAsia="Calibri" w:hAnsi="Calibri"/>
                <w:b w:val="false"/>
                <w:bCs w:val="false"/>
                <w:sz w:val="17"/>
                <w:szCs w:val="17"/>
              </w:rPr>
              <w:t xml:space="preserve">Aria: "Ryo, what is the difference between trade affirmation and confirmation? They sound the same."</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37 - Affirmation definition</w:t>
            </w:r>
          </w:p>
        </w:tc>
        <w:tc>
          <w:tcPr>
            <w:tcW w:type="dxa" w:w="1800"/>
            <w:shd w:fill="F7F7F7" w:val="clear"/>
            <w:vAlign w:val="top"/>
          </w:tcPr>
          <w:p>
            <w:r>
              <w:rPr>
                <w:rFonts w:ascii="Calibri" w:cs="Calibri" w:eastAsia="Calibri" w:hAnsi="Calibri"/>
                <w:b w:val="false"/>
                <w:bCs w:val="false"/>
                <w:sz w:val="17"/>
                <w:szCs w:val="17"/>
              </w:rPr>
              <w:t xml:space="preserve">Affirmation First</w:t>
            </w:r>
          </w:p>
        </w:tc>
        <w:tc>
          <w:tcPr>
            <w:tcW w:type="dxa" w:w="3500"/>
            <w:shd w:fill="F7F7F7" w:val="clear"/>
            <w:vAlign w:val="top"/>
          </w:tcPr>
          <w:p>
            <w:r>
              <w:rPr>
                <w:rFonts w:ascii="Calibri" w:cs="Calibri" w:eastAsia="Calibri" w:hAnsi="Calibri"/>
                <w:b w:val="false"/>
                <w:bCs w:val="false"/>
                <w:sz w:val="17"/>
                <w:szCs w:val="17"/>
              </w:rPr>
              <w:t xml:space="preserve">Ryo: "Affirmation comes first - counterparties initially affirm the key economic details of their trades before sending outgoing confirmations. ICE Link platform is an example of the affirmation model, providing trade affirmation services between sell-side firms and their buy-side clients."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Confirmation detail view</w:t>
            </w:r>
          </w:p>
        </w:tc>
        <w:tc>
          <w:tcPr>
            <w:tcW w:type="dxa" w:w="1800"/>
            <w:shd w:fill="FFFFFF" w:val="clear"/>
            <w:vAlign w:val="top"/>
          </w:tcPr>
          <w:p>
            <w:r>
              <w:rPr>
                <w:rFonts w:ascii="Calibri" w:cs="Calibri" w:eastAsia="Calibri" w:hAnsi="Calibri"/>
                <w:b w:val="false"/>
                <w:bCs w:val="false"/>
                <w:sz w:val="17"/>
                <w:szCs w:val="17"/>
              </w:rPr>
              <w:t xml:space="preserve">Then Confirmation</w:t>
            </w:r>
          </w:p>
        </w:tc>
        <w:tc>
          <w:tcPr>
            <w:tcW w:type="dxa" w:w="3500"/>
            <w:shd w:fill="FFFFFF" w:val="clear"/>
            <w:vAlign w:val="top"/>
          </w:tcPr>
          <w:p>
            <w:r>
              <w:rPr>
                <w:rFonts w:ascii="Calibri" w:cs="Calibri" w:eastAsia="Calibri" w:hAnsi="Calibri"/>
                <w:b w:val="false"/>
                <w:bCs w:val="false"/>
                <w:sz w:val="17"/>
                <w:szCs w:val="17"/>
              </w:rPr>
              <w:t xml:space="preserve">Ryo: "A Confirmation provides a more detailed view of a transaction at one point in time and should be sent as soon as possible. It is also a legal document and is in addition to the ISDA documents signed prior to the first trade."</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ISDA Bookstore templates graphic</w:t>
            </w:r>
          </w:p>
        </w:tc>
        <w:tc>
          <w:tcPr>
            <w:tcW w:type="dxa" w:w="1800"/>
            <w:shd w:fill="F7F7F7" w:val="clear"/>
            <w:vAlign w:val="top"/>
          </w:tcPr>
          <w:p>
            <w:r>
              <w:rPr>
                <w:rFonts w:ascii="Calibri" w:cs="Calibri" w:eastAsia="Calibri" w:hAnsi="Calibri"/>
                <w:b w:val="false"/>
                <w:bCs w:val="false"/>
                <w:sz w:val="17"/>
                <w:szCs w:val="17"/>
              </w:rPr>
              <w:t xml:space="preserve">ISDA Templates</w:t>
            </w:r>
          </w:p>
        </w:tc>
        <w:tc>
          <w:tcPr>
            <w:tcW w:type="dxa" w:w="3500"/>
            <w:shd w:fill="F7F7F7" w:val="clear"/>
            <w:vAlign w:val="top"/>
          </w:tcPr>
          <w:p>
            <w:r>
              <w:rPr>
                <w:rFonts w:ascii="Calibri" w:cs="Calibri" w:eastAsia="Calibri" w:hAnsi="Calibri"/>
                <w:b w:val="false"/>
                <w:bCs w:val="false"/>
                <w:sz w:val="17"/>
                <w:szCs w:val="17"/>
              </w:rPr>
              <w:t xml:space="preserve">Ryo: "To standardise the confirmation format, ISDA has prepared a set of templates available on ISDA's Bookstore. The primary purpose of issuing confirmations is to ensure that counterparties agree on the economic terms of the trade."</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Timeline: 1-5 days after trade date</w:t>
            </w:r>
          </w:p>
        </w:tc>
        <w:tc>
          <w:tcPr>
            <w:tcW w:type="dxa" w:w="1800"/>
            <w:shd w:fill="FFFFFF" w:val="clear"/>
            <w:vAlign w:val="top"/>
          </w:tcPr>
          <w:p>
            <w:r>
              <w:rPr>
                <w:rFonts w:ascii="Calibri" w:cs="Calibri" w:eastAsia="Calibri" w:hAnsi="Calibri"/>
                <w:b w:val="false"/>
                <w:bCs w:val="false"/>
                <w:sz w:val="17"/>
                <w:szCs w:val="17"/>
              </w:rPr>
              <w:t xml:space="preserve">Timing of Confirmation</w:t>
            </w:r>
          </w:p>
        </w:tc>
        <w:tc>
          <w:tcPr>
            <w:tcW w:type="dxa" w:w="3500"/>
            <w:shd w:fill="FFFFFF" w:val="clear"/>
            <w:vAlign w:val="top"/>
          </w:tcPr>
          <w:p>
            <w:r>
              <w:rPr>
                <w:rFonts w:ascii="Calibri" w:cs="Calibri" w:eastAsia="Calibri" w:hAnsi="Calibri"/>
                <w:b w:val="false"/>
                <w:bCs w:val="false"/>
                <w:sz w:val="17"/>
                <w:szCs w:val="17"/>
              </w:rPr>
              <w:t xml:space="preserve">Ryo: "Dealers generally send out confirmations between one and five days after the trade date, usually by fax or telex. MarkitSERV is an example of the confirmation matching model, used when two sell-side firms trade with one another."</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39-40 - Short Form vs Long Form</w:t>
            </w:r>
          </w:p>
        </w:tc>
        <w:tc>
          <w:tcPr>
            <w:tcW w:type="dxa" w:w="1800"/>
            <w:shd w:fill="F7F7F7" w:val="clear"/>
            <w:vAlign w:val="top"/>
          </w:tcPr>
          <w:p>
            <w:r>
              <w:rPr>
                <w:rFonts w:ascii="Calibri" w:cs="Calibri" w:eastAsia="Calibri" w:hAnsi="Calibri"/>
                <w:b w:val="false"/>
                <w:bCs w:val="false"/>
                <w:sz w:val="17"/>
                <w:szCs w:val="17"/>
              </w:rPr>
              <w:t xml:space="preserve">Short and Long Form</w:t>
            </w:r>
          </w:p>
        </w:tc>
        <w:tc>
          <w:tcPr>
            <w:tcW w:type="dxa" w:w="3500"/>
            <w:shd w:fill="F7F7F7" w:val="clear"/>
            <w:vAlign w:val="top"/>
          </w:tcPr>
          <w:p>
            <w:r>
              <w:rPr>
                <w:rFonts w:ascii="Calibri" w:cs="Calibri" w:eastAsia="Calibri" w:hAnsi="Calibri"/>
                <w:b w:val="false"/>
                <w:bCs w:val="false"/>
                <w:sz w:val="17"/>
                <w:szCs w:val="17"/>
              </w:rPr>
              <w:t xml:space="preserve">Ryo: "A Short Form confirmation is a concise, simplified document to streamline execution. But if the firm and counterparty execute a product not covered by existing legal documentation - for example a variance swap - a Long Form confirmation must be issued and signed by the counterparty."</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affirmation and confirmation summary</w:t>
            </w:r>
          </w:p>
        </w:tc>
        <w:tc>
          <w:tcPr>
            <w:tcW w:type="dxa" w:w="1800"/>
            <w:shd w:fill="FFFFFF" w:val="clear"/>
            <w:vAlign w:val="top"/>
          </w:tcPr>
          <w:p>
            <w:r>
              <w:rPr>
                <w:rFonts w:ascii="Calibri" w:cs="Calibri" w:eastAsia="Calibri" w:hAnsi="Calibri"/>
                <w:b w:val="false"/>
                <w:bCs w:val="false"/>
                <w:sz w:val="17"/>
                <w:szCs w:val="17"/>
              </w:rPr>
              <w:t xml:space="preserve">Affirmation &amp; Confirmation</w:t>
            </w:r>
          </w:p>
        </w:tc>
        <w:tc>
          <w:tcPr>
            <w:tcW w:type="dxa" w:w="3500"/>
            <w:shd w:fill="FFFFFF" w:val="clear"/>
            <w:vAlign w:val="top"/>
          </w:tcPr>
          <w:p>
            <w:r>
              <w:rPr>
                <w:rFonts w:ascii="Calibri" w:cs="Calibri" w:eastAsia="Calibri" w:hAnsi="Calibri"/>
                <w:b w:val="false"/>
                <w:bCs w:val="false"/>
                <w:sz w:val="17"/>
                <w:szCs w:val="17"/>
              </w:rPr>
              <w:t xml:space="preserve">Aria: "Summary: Affirmation confirms key economic terms quickly via ICE Link for buy and sell-side. Confirmation is a detailed legal document using ISDA templates, sent within 1 to 5 days. Short Form for covered products, Long Form for new product types. MarkitSERV matches sell-side confirmations."</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Settlement flow preview</w:t>
            </w:r>
          </w:p>
        </w:tc>
        <w:tc>
          <w:tcPr>
            <w:tcW w:type="dxa" w:w="1800"/>
            <w:shd w:fill="F7F7F7" w:val="clear"/>
            <w:vAlign w:val="top"/>
          </w:tcPr>
          <w:p>
            <w:r>
              <w:rPr>
                <w:rFonts w:ascii="Calibri" w:cs="Calibri" w:eastAsia="Calibri" w:hAnsi="Calibri"/>
                <w:b w:val="false"/>
                <w:bCs w:val="false"/>
                <w:sz w:val="17"/>
                <w:szCs w:val="17"/>
              </w:rPr>
              <w:t xml:space="preserve">Next: Confirmation &amp; Settlement</w:t>
            </w:r>
          </w:p>
        </w:tc>
        <w:tc>
          <w:tcPr>
            <w:tcW w:type="dxa" w:w="3500"/>
            <w:shd w:fill="F7F7F7" w:val="clear"/>
            <w:vAlign w:val="top"/>
          </w:tcPr>
          <w:p>
            <w:r>
              <w:rPr>
                <w:rFonts w:ascii="Calibri" w:cs="Calibri" w:eastAsia="Calibri" w:hAnsi="Calibri"/>
                <w:b w:val="false"/>
                <w:bCs w:val="false"/>
                <w:sz w:val="17"/>
                <w:szCs w:val="17"/>
              </w:rPr>
              <w:t xml:space="preserve">Ryo: "Next - the full OTC Confirmation and Settlement process, including clearing models and settlement instruction flows."</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ISDA.7 complete - Next: ISDA.8 OTC Trade Life Cycle Confirmation &amp; Settlement</w:t>
      </w:r>
    </w:p>
    <w:p>
      <w:r>
        <w:br w:type="page"/>
      </w:r>
    </w:p>
    <w:p>
      <w:pPr>
        <w:shd w:fill="1E3A5F" w:val="clear"/>
        <w:spacing w:after="200" w:before="200"/>
        <w:ind w:left="200"/>
      </w:pPr>
      <w:r>
        <w:rPr>
          <w:rFonts w:ascii="Calibri" w:cs="Calibri" w:eastAsia="Calibri" w:hAnsi="Calibri"/>
          <w:b/>
          <w:bCs/>
          <w:color w:val="FFFFFF"/>
          <w:sz w:val="28"/>
          <w:szCs w:val="28"/>
        </w:rPr>
        <w:t xml:space="preserve">ISDA.8 | OTC Trade Life Cycle - Confirmation &amp; Settlement</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SC8.1 - Explain OTC confirmation process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ISDA.8</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Confirmation &amp; Settlement</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SC8.1 - Explain OTC confirmation process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41-45</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Regulator icon with reporting arrow</w:t>
            </w:r>
          </w:p>
        </w:tc>
        <w:tc>
          <w:tcPr>
            <w:tcW w:type="dxa" w:w="1800"/>
            <w:shd w:fill="FFFFFF" w:val="clear"/>
            <w:vAlign w:val="top"/>
          </w:tcPr>
          <w:p>
            <w:r>
              <w:rPr>
                <w:rFonts w:ascii="Calibri" w:cs="Calibri" w:eastAsia="Calibri" w:hAnsi="Calibri"/>
                <w:b w:val="false"/>
                <w:bCs w:val="false"/>
                <w:sz w:val="17"/>
                <w:szCs w:val="17"/>
              </w:rPr>
              <w:t xml:space="preserve">Why Report to Regulator?</w:t>
            </w:r>
          </w:p>
        </w:tc>
        <w:tc>
          <w:tcPr>
            <w:tcW w:type="dxa" w:w="3500"/>
            <w:shd w:fill="FFFFFF" w:val="clear"/>
            <w:vAlign w:val="top"/>
          </w:tcPr>
          <w:p>
            <w:r>
              <w:rPr>
                <w:rFonts w:ascii="Calibri" w:cs="Calibri" w:eastAsia="Calibri" w:hAnsi="Calibri"/>
                <w:b w:val="false"/>
                <w:bCs w:val="false"/>
                <w:sz w:val="17"/>
                <w:szCs w:val="17"/>
              </w:rPr>
              <w:t xml:space="preserve">Aria: "Ryo, we have confirmed the trade between counterparties - but there is also transaction reporting to the regulator?"</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41 - Transaction Reporting section</w:t>
            </w:r>
          </w:p>
        </w:tc>
        <w:tc>
          <w:tcPr>
            <w:tcW w:type="dxa" w:w="1800"/>
            <w:shd w:fill="F7F7F7" w:val="clear"/>
            <w:vAlign w:val="top"/>
          </w:tcPr>
          <w:p>
            <w:r>
              <w:rPr>
                <w:rFonts w:ascii="Calibri" w:cs="Calibri" w:eastAsia="Calibri" w:hAnsi="Calibri"/>
                <w:b w:val="false"/>
                <w:bCs w:val="false"/>
                <w:sz w:val="17"/>
                <w:szCs w:val="17"/>
              </w:rPr>
              <w:t xml:space="preserve">Approved Reporting Mechanisms</w:t>
            </w:r>
          </w:p>
        </w:tc>
        <w:tc>
          <w:tcPr>
            <w:tcW w:type="dxa" w:w="3500"/>
            <w:shd w:fill="F7F7F7" w:val="clear"/>
            <w:vAlign w:val="top"/>
          </w:tcPr>
          <w:p>
            <w:r>
              <w:rPr>
                <w:rFonts w:ascii="Calibri" w:cs="Calibri" w:eastAsia="Calibri" w:hAnsi="Calibri"/>
                <w:b w:val="false"/>
                <w:bCs w:val="false"/>
                <w:sz w:val="17"/>
                <w:szCs w:val="17"/>
              </w:rPr>
              <w:t xml:space="preserve">Ryo: "Yes - Transaction Reporting. Transactions can be reported to the regulator by firms using systems known as Approved Reporting Mechanisms, or ARMs."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Slide 42 - CCIL and RBI logos</w:t>
            </w:r>
          </w:p>
        </w:tc>
        <w:tc>
          <w:tcPr>
            <w:tcW w:type="dxa" w:w="1800"/>
            <w:shd w:fill="FFFFFF" w:val="clear"/>
            <w:vAlign w:val="top"/>
          </w:tcPr>
          <w:p>
            <w:r>
              <w:rPr>
                <w:rFonts w:ascii="Calibri" w:cs="Calibri" w:eastAsia="Calibri" w:hAnsi="Calibri"/>
                <w:b w:val="false"/>
                <w:bCs w:val="false"/>
                <w:sz w:val="17"/>
                <w:szCs w:val="17"/>
              </w:rPr>
              <w:t xml:space="preserve">CCIL in India</w:t>
            </w:r>
          </w:p>
        </w:tc>
        <w:tc>
          <w:tcPr>
            <w:tcW w:type="dxa" w:w="3500"/>
            <w:shd w:fill="FFFFFF" w:val="clear"/>
            <w:vAlign w:val="top"/>
          </w:tcPr>
          <w:p>
            <w:r>
              <w:rPr>
                <w:rFonts w:ascii="Calibri" w:cs="Calibri" w:eastAsia="Calibri" w:hAnsi="Calibri"/>
                <w:b w:val="false"/>
                <w:bCs w:val="false"/>
                <w:sz w:val="17"/>
                <w:szCs w:val="17"/>
              </w:rPr>
              <w:t xml:space="preserve">Ryo: "In India, CCIL - the Clearing Corporation of India - has been designated as a Trade Repository by RBI to develop and provide a platform for market participants to report OTC derivatives deals executed in India."</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45 - two parallel streams graphic</w:t>
            </w:r>
          </w:p>
        </w:tc>
        <w:tc>
          <w:tcPr>
            <w:tcW w:type="dxa" w:w="1800"/>
            <w:shd w:fill="F7F7F7" w:val="clear"/>
            <w:vAlign w:val="top"/>
          </w:tcPr>
          <w:p>
            <w:r>
              <w:rPr>
                <w:rFonts w:ascii="Calibri" w:cs="Calibri" w:eastAsia="Calibri" w:hAnsi="Calibri"/>
                <w:b w:val="false"/>
                <w:bCs w:val="false"/>
                <w:sz w:val="17"/>
                <w:szCs w:val="17"/>
              </w:rPr>
              <w:t xml:space="preserve">Trade &amp; Collateral Processing</w:t>
            </w:r>
          </w:p>
        </w:tc>
        <w:tc>
          <w:tcPr>
            <w:tcW w:type="dxa" w:w="3500"/>
            <w:shd w:fill="F7F7F7" w:val="clear"/>
            <w:vAlign w:val="top"/>
          </w:tcPr>
          <w:p>
            <w:r>
              <w:rPr>
                <w:rFonts w:ascii="Calibri" w:cs="Calibri" w:eastAsia="Calibri" w:hAnsi="Calibri"/>
                <w:b w:val="false"/>
                <w:bCs w:val="false"/>
                <w:sz w:val="17"/>
                <w:szCs w:val="17"/>
              </w:rPr>
              <w:t xml:space="preserve">Ryo: "From an operations perspective, an OTC derivative trade involves two parallel streams: Trade Processing - which includes the confirmation and affirmation process and settlement of OTC trades - and Collateral Processing."</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Collateral processing steps listed</w:t>
            </w:r>
          </w:p>
        </w:tc>
        <w:tc>
          <w:tcPr>
            <w:tcW w:type="dxa" w:w="1800"/>
            <w:shd w:fill="FFFFFF" w:val="clear"/>
            <w:vAlign w:val="top"/>
          </w:tcPr>
          <w:p>
            <w:r>
              <w:rPr>
                <w:rFonts w:ascii="Calibri" w:cs="Calibri" w:eastAsia="Calibri" w:hAnsi="Calibri"/>
                <w:b w:val="false"/>
                <w:bCs w:val="false"/>
                <w:sz w:val="17"/>
                <w:szCs w:val="17"/>
              </w:rPr>
              <w:t xml:space="preserve">Collateral Processing</w:t>
            </w:r>
          </w:p>
        </w:tc>
        <w:tc>
          <w:tcPr>
            <w:tcW w:type="dxa" w:w="3500"/>
            <w:shd w:fill="FFFFFF" w:val="clear"/>
            <w:vAlign w:val="top"/>
          </w:tcPr>
          <w:p>
            <w:r>
              <w:rPr>
                <w:rFonts w:ascii="Calibri" w:cs="Calibri" w:eastAsia="Calibri" w:hAnsi="Calibri"/>
                <w:b w:val="false"/>
                <w:bCs w:val="false"/>
                <w:sz w:val="17"/>
                <w:szCs w:val="17"/>
              </w:rPr>
              <w:t xml:space="preserve">Ryo: "Collateral Processing involves: identification of counterparty exposure, mitigation of exposures via issuance or receipt of margin calls, and movement of assets to or from the counterparty to settle the margin calls."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IRS payment calculation graphic</w:t>
            </w:r>
          </w:p>
        </w:tc>
        <w:tc>
          <w:tcPr>
            <w:tcW w:type="dxa" w:w="1800"/>
            <w:shd w:fill="F7F7F7" w:val="clear"/>
            <w:vAlign w:val="top"/>
          </w:tcPr>
          <w:p>
            <w:r>
              <w:rPr>
                <w:rFonts w:ascii="Calibri" w:cs="Calibri" w:eastAsia="Calibri" w:hAnsi="Calibri"/>
                <w:b w:val="false"/>
                <w:bCs w:val="false"/>
                <w:sz w:val="17"/>
                <w:szCs w:val="17"/>
              </w:rPr>
              <w:t xml:space="preserve">IRS Cash Flow Example</w:t>
            </w:r>
          </w:p>
        </w:tc>
        <w:tc>
          <w:tcPr>
            <w:tcW w:type="dxa" w:w="3500"/>
            <w:shd w:fill="F7F7F7" w:val="clear"/>
            <w:vAlign w:val="top"/>
          </w:tcPr>
          <w:p>
            <w:r>
              <w:rPr>
                <w:rFonts w:ascii="Calibri" w:cs="Calibri" w:eastAsia="Calibri" w:hAnsi="Calibri"/>
                <w:b w:val="false"/>
                <w:bCs w:val="false"/>
                <w:sz w:val="17"/>
                <w:szCs w:val="17"/>
              </w:rPr>
              <w:t xml:space="preserve">Ryo: "For an interest rate swap, both parties must: calculate the net differential between the fixed and floating rate for the period, determine which party makes the net payment, and ensure payment is made on the due date."</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two streams diagram</w:t>
            </w:r>
          </w:p>
        </w:tc>
        <w:tc>
          <w:tcPr>
            <w:tcW w:type="dxa" w:w="1800"/>
            <w:shd w:fill="FFFFFF" w:val="clear"/>
            <w:vAlign w:val="top"/>
          </w:tcPr>
          <w:p>
            <w:r>
              <w:rPr>
                <w:rFonts w:ascii="Calibri" w:cs="Calibri" w:eastAsia="Calibri" w:hAnsi="Calibri"/>
                <w:b w:val="false"/>
                <w:bCs w:val="false"/>
                <w:sz w:val="17"/>
                <w:szCs w:val="17"/>
              </w:rPr>
              <w:t xml:space="preserve">Confirmation Process</w:t>
            </w:r>
          </w:p>
        </w:tc>
        <w:tc>
          <w:tcPr>
            <w:tcW w:type="dxa" w:w="3500"/>
            <w:shd w:fill="FFFFFF" w:val="clear"/>
            <w:vAlign w:val="top"/>
          </w:tcPr>
          <w:p>
            <w:r>
              <w:rPr>
                <w:rFonts w:ascii="Calibri" w:cs="Calibri" w:eastAsia="Calibri" w:hAnsi="Calibri"/>
                <w:b w:val="false"/>
                <w:bCs w:val="false"/>
                <w:sz w:val="17"/>
                <w:szCs w:val="17"/>
              </w:rPr>
              <w:t xml:space="preserve">Aria: "OTC confirmation flow: trade confirmed via ISDA templates, reported to regulator via ARMs - CCIL in India - then two parallel streams begin: Trade Processing for cash flows and Collateral Processing for margin management."</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Clearing model graphic preview</w:t>
            </w:r>
          </w:p>
        </w:tc>
        <w:tc>
          <w:tcPr>
            <w:tcW w:type="dxa" w:w="1800"/>
            <w:shd w:fill="F7F7F7" w:val="clear"/>
            <w:vAlign w:val="top"/>
          </w:tcPr>
          <w:p>
            <w:r>
              <w:rPr>
                <w:rFonts w:ascii="Calibri" w:cs="Calibri" w:eastAsia="Calibri" w:hAnsi="Calibri"/>
                <w:b w:val="false"/>
                <w:bCs w:val="false"/>
                <w:sz w:val="17"/>
                <w:szCs w:val="17"/>
              </w:rPr>
              <w:t xml:space="preserve">Next: Clearing Models</w:t>
            </w:r>
          </w:p>
        </w:tc>
        <w:tc>
          <w:tcPr>
            <w:tcW w:type="dxa" w:w="3500"/>
            <w:shd w:fill="F7F7F7" w:val="clear"/>
            <w:vAlign w:val="top"/>
          </w:tcPr>
          <w:p>
            <w:r>
              <w:rPr>
                <w:rFonts w:ascii="Calibri" w:cs="Calibri" w:eastAsia="Calibri" w:hAnsi="Calibri"/>
                <w:b w:val="false"/>
                <w:bCs w:val="false"/>
                <w:sz w:val="17"/>
                <w:szCs w:val="17"/>
              </w:rPr>
              <w:t xml:space="preserve">Ryo: "Next - the two OTC clearing models: Cleared and Non-Cleared."</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SC8.2 - Identify OTC clearing models</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SC8.2 - Identify OTC clearing models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ISDA.8</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Confirmation &amp; Settlement</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SC8.2 - Identify OTC clearing models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IDENTIFY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47-49</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Two path diagram: cleared path vs bilateral path</w:t>
            </w:r>
          </w:p>
        </w:tc>
        <w:tc>
          <w:tcPr>
            <w:tcW w:type="dxa" w:w="1800"/>
            <w:shd w:fill="FFFFFF" w:val="clear"/>
            <w:vAlign w:val="top"/>
          </w:tcPr>
          <w:p>
            <w:r>
              <w:rPr>
                <w:rFonts w:ascii="Calibri" w:cs="Calibri" w:eastAsia="Calibri" w:hAnsi="Calibri"/>
                <w:b w:val="false"/>
                <w:bCs w:val="false"/>
                <w:sz w:val="17"/>
                <w:szCs w:val="17"/>
              </w:rPr>
              <w:t xml:space="preserve">Cleared or Not?</w:t>
            </w:r>
          </w:p>
        </w:tc>
        <w:tc>
          <w:tcPr>
            <w:tcW w:type="dxa" w:w="3500"/>
            <w:shd w:fill="FFFFFF" w:val="clear"/>
            <w:vAlign w:val="top"/>
          </w:tcPr>
          <w:p>
            <w:r>
              <w:rPr>
                <w:rFonts w:ascii="Calibri" w:cs="Calibri" w:eastAsia="Calibri" w:hAnsi="Calibri"/>
                <w:b w:val="false"/>
                <w:bCs w:val="false"/>
                <w:sz w:val="17"/>
                <w:szCs w:val="17"/>
              </w:rPr>
              <w:t xml:space="preserve">Aria: "Ryo, I keep hearing about cleared and non-cleared OTC - what is the actual difference?"</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47 - two types of OTC contracts</w:t>
            </w:r>
          </w:p>
        </w:tc>
        <w:tc>
          <w:tcPr>
            <w:tcW w:type="dxa" w:w="1800"/>
            <w:shd w:fill="F7F7F7" w:val="clear"/>
            <w:vAlign w:val="top"/>
          </w:tcPr>
          <w:p>
            <w:r>
              <w:rPr>
                <w:rFonts w:ascii="Calibri" w:cs="Calibri" w:eastAsia="Calibri" w:hAnsi="Calibri"/>
                <w:b w:val="false"/>
                <w:bCs w:val="false"/>
                <w:sz w:val="17"/>
                <w:szCs w:val="17"/>
              </w:rPr>
              <w:t xml:space="preserve">Two Types</w:t>
            </w:r>
          </w:p>
        </w:tc>
        <w:tc>
          <w:tcPr>
            <w:tcW w:type="dxa" w:w="3500"/>
            <w:shd w:fill="F7F7F7" w:val="clear"/>
            <w:vAlign w:val="top"/>
          </w:tcPr>
          <w:p>
            <w:r>
              <w:rPr>
                <w:rFonts w:ascii="Calibri" w:cs="Calibri" w:eastAsia="Calibri" w:hAnsi="Calibri"/>
                <w:b w:val="false"/>
                <w:bCs w:val="false"/>
                <w:sz w:val="17"/>
                <w:szCs w:val="17"/>
              </w:rPr>
              <w:t xml:space="preserve">Ryo: "There are two types of OTC derivative contracts: Cleared OTC derivatives and Non-Cleared OTC derivatives. Traditionally, OTC derivatives are non-cleared and parties settle directly with each other."</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Non-cleared bilateral flow diagram</w:t>
            </w:r>
          </w:p>
        </w:tc>
        <w:tc>
          <w:tcPr>
            <w:tcW w:type="dxa" w:w="1800"/>
            <w:shd w:fill="FFFFFF" w:val="clear"/>
            <w:vAlign w:val="top"/>
          </w:tcPr>
          <w:p>
            <w:r>
              <w:rPr>
                <w:rFonts w:ascii="Calibri" w:cs="Calibri" w:eastAsia="Calibri" w:hAnsi="Calibri"/>
                <w:b w:val="false"/>
                <w:bCs w:val="false"/>
                <w:sz w:val="17"/>
                <w:szCs w:val="17"/>
              </w:rPr>
              <w:t xml:space="preserve">Non-Cleared: Bilateral</w:t>
            </w:r>
          </w:p>
        </w:tc>
        <w:tc>
          <w:tcPr>
            <w:tcW w:type="dxa" w:w="3500"/>
            <w:shd w:fill="FFFFFF" w:val="clear"/>
            <w:vAlign w:val="top"/>
          </w:tcPr>
          <w:p>
            <w:r>
              <w:rPr>
                <w:rFonts w:ascii="Calibri" w:cs="Calibri" w:eastAsia="Calibri" w:hAnsi="Calibri"/>
                <w:b w:val="false"/>
                <w:bCs w:val="false"/>
                <w:sz w:val="17"/>
                <w:szCs w:val="17"/>
              </w:rPr>
              <w:t xml:space="preserve">Ryo: "In non-cleared OTC, payments and deliveries are made directly between the two parties. Both parties take credit risk on each other performing their obligations or remaining solvent - there is no central guarantor."</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48 - Cleared OTC model with SEF and CCP</w:t>
            </w:r>
          </w:p>
        </w:tc>
        <w:tc>
          <w:tcPr>
            <w:tcW w:type="dxa" w:w="1800"/>
            <w:shd w:fill="F7F7F7" w:val="clear"/>
            <w:vAlign w:val="top"/>
          </w:tcPr>
          <w:p>
            <w:r>
              <w:rPr>
                <w:rFonts w:ascii="Calibri" w:cs="Calibri" w:eastAsia="Calibri" w:hAnsi="Calibri"/>
                <w:b w:val="false"/>
                <w:bCs w:val="false"/>
                <w:sz w:val="17"/>
                <w:szCs w:val="17"/>
              </w:rPr>
              <w:t xml:space="preserve">Cleared OTC: SEFs and CCPs</w:t>
            </w:r>
          </w:p>
        </w:tc>
        <w:tc>
          <w:tcPr>
            <w:tcW w:type="dxa" w:w="3500"/>
            <w:shd w:fill="F7F7F7" w:val="clear"/>
            <w:vAlign w:val="top"/>
          </w:tcPr>
          <w:p>
            <w:r>
              <w:rPr>
                <w:rFonts w:ascii="Calibri" w:cs="Calibri" w:eastAsia="Calibri" w:hAnsi="Calibri"/>
                <w:b w:val="false"/>
                <w:bCs w:val="false"/>
                <w:sz w:val="17"/>
                <w:szCs w:val="17"/>
              </w:rPr>
              <w:t xml:space="preserve">Ryo: "Cleared OTC derivatives are traded on licensed trading venues known as Swap Execution Facilities - SEFs - or Multilateral Trading Facilities - MTFs. They are settled via CCP platforms."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Dodd-Frank Act reference graphic</w:t>
            </w:r>
          </w:p>
        </w:tc>
        <w:tc>
          <w:tcPr>
            <w:tcW w:type="dxa" w:w="1800"/>
            <w:shd w:fill="FFFFFF" w:val="clear"/>
            <w:vAlign w:val="top"/>
          </w:tcPr>
          <w:p>
            <w:r>
              <w:rPr>
                <w:rFonts w:ascii="Calibri" w:cs="Calibri" w:eastAsia="Calibri" w:hAnsi="Calibri"/>
                <w:b w:val="false"/>
                <w:bCs w:val="false"/>
                <w:sz w:val="17"/>
                <w:szCs w:val="17"/>
              </w:rPr>
              <w:t xml:space="preserve">SEFs Under Dodd-Frank</w:t>
            </w:r>
          </w:p>
        </w:tc>
        <w:tc>
          <w:tcPr>
            <w:tcW w:type="dxa" w:w="3500"/>
            <w:shd w:fill="FFFFFF" w:val="clear"/>
            <w:vAlign w:val="top"/>
          </w:tcPr>
          <w:p>
            <w:r>
              <w:rPr>
                <w:rFonts w:ascii="Calibri" w:cs="Calibri" w:eastAsia="Calibri" w:hAnsi="Calibri"/>
                <w:b w:val="false"/>
                <w:bCs w:val="false"/>
                <w:sz w:val="17"/>
                <w:szCs w:val="17"/>
              </w:rPr>
              <w:t xml:space="preserve">Ryo: "SEFs are trading platforms intended for swaps products and are mandated under the Dodd-Frank Wall Street Reform Act of 2010. Because of the complex nature of swaps, these platforms are not exchanges but function as counterparty matching services."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SEC CFTC and MiFID II regulatory overlay</w:t>
            </w:r>
          </w:p>
        </w:tc>
        <w:tc>
          <w:tcPr>
            <w:tcW w:type="dxa" w:w="1800"/>
            <w:shd w:fill="F7F7F7" w:val="clear"/>
            <w:vAlign w:val="top"/>
          </w:tcPr>
          <w:p>
            <w:r>
              <w:rPr>
                <w:rFonts w:ascii="Calibri" w:cs="Calibri" w:eastAsia="Calibri" w:hAnsi="Calibri"/>
                <w:b w:val="false"/>
                <w:bCs w:val="false"/>
                <w:sz w:val="17"/>
                <w:szCs w:val="17"/>
              </w:rPr>
              <w:t xml:space="preserve">Regulatory Oversight</w:t>
            </w:r>
          </w:p>
        </w:tc>
        <w:tc>
          <w:tcPr>
            <w:tcW w:type="dxa" w:w="3500"/>
            <w:shd w:fill="F7F7F7" w:val="clear"/>
            <w:vAlign w:val="top"/>
          </w:tcPr>
          <w:p>
            <w:r>
              <w:rPr>
                <w:rFonts w:ascii="Calibri" w:cs="Calibri" w:eastAsia="Calibri" w:hAnsi="Calibri"/>
                <w:b w:val="false"/>
                <w:bCs w:val="false"/>
                <w:sz w:val="17"/>
                <w:szCs w:val="17"/>
              </w:rPr>
              <w:t xml:space="preserve">Ryo: "Swaps traded on SEFs fall under the oversight of both the SEC and CFTC. In Europe, MTFs are governed by the Markets in Financial Instruments Directive, MiFID II."</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two model comparison</w:t>
            </w:r>
          </w:p>
        </w:tc>
        <w:tc>
          <w:tcPr>
            <w:tcW w:type="dxa" w:w="1800"/>
            <w:shd w:fill="FFFFFF" w:val="clear"/>
            <w:vAlign w:val="top"/>
          </w:tcPr>
          <w:p>
            <w:r>
              <w:rPr>
                <w:rFonts w:ascii="Calibri" w:cs="Calibri" w:eastAsia="Calibri" w:hAnsi="Calibri"/>
                <w:b w:val="false"/>
                <w:bCs w:val="false"/>
                <w:sz w:val="17"/>
                <w:szCs w:val="17"/>
              </w:rPr>
              <w:t xml:space="preserve">Clearing Models</w:t>
            </w:r>
          </w:p>
        </w:tc>
        <w:tc>
          <w:tcPr>
            <w:tcW w:type="dxa" w:w="3500"/>
            <w:shd w:fill="FFFFFF" w:val="clear"/>
            <w:vAlign w:val="top"/>
          </w:tcPr>
          <w:p>
            <w:r>
              <w:rPr>
                <w:rFonts w:ascii="Calibri" w:cs="Calibri" w:eastAsia="Calibri" w:hAnsi="Calibri"/>
                <w:b w:val="false"/>
                <w:bCs w:val="false"/>
                <w:sz w:val="17"/>
                <w:szCs w:val="17"/>
              </w:rPr>
              <w:t xml:space="preserve">Aria: "Two OTC clearing models: Non-Cleared - bilateral, direct settlement, full credit risk between parties. Cleared - traded on SEFs or MTFs, settled via CCPs, regulated under Dodd-Frank and MiFID II. Cleared trades add a central guarantor to reduce default risk."</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Settlement instructions flow preview</w:t>
            </w:r>
          </w:p>
        </w:tc>
        <w:tc>
          <w:tcPr>
            <w:tcW w:type="dxa" w:w="1800"/>
            <w:shd w:fill="F7F7F7" w:val="clear"/>
            <w:vAlign w:val="top"/>
          </w:tcPr>
          <w:p>
            <w:r>
              <w:rPr>
                <w:rFonts w:ascii="Calibri" w:cs="Calibri" w:eastAsia="Calibri" w:hAnsi="Calibri"/>
                <w:b w:val="false"/>
                <w:bCs w:val="false"/>
                <w:sz w:val="17"/>
                <w:szCs w:val="17"/>
              </w:rPr>
              <w:t xml:space="preserve">Next: Settlement Instructions</w:t>
            </w:r>
          </w:p>
        </w:tc>
        <w:tc>
          <w:tcPr>
            <w:tcW w:type="dxa" w:w="3500"/>
            <w:shd w:fill="F7F7F7" w:val="clear"/>
            <w:vAlign w:val="top"/>
          </w:tcPr>
          <w:p>
            <w:r>
              <w:rPr>
                <w:rFonts w:ascii="Calibri" w:cs="Calibri" w:eastAsia="Calibri" w:hAnsi="Calibri"/>
                <w:b w:val="false"/>
                <w:bCs w:val="false"/>
                <w:sz w:val="17"/>
                <w:szCs w:val="17"/>
              </w:rPr>
              <w:t xml:space="preserve">Ryo: "Next - how settlement instructions flow to custodians after trade agreement."</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SC8.3 - Explain settlement instruction flow</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SC8.3 - Explain settlement instruction flow</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ISDA.8</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Confirmation &amp; Settlement</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SC8.3 - Explain settlement instruction flow</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50-51</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Custodian and bank flow diagram</w:t>
            </w:r>
          </w:p>
        </w:tc>
        <w:tc>
          <w:tcPr>
            <w:tcW w:type="dxa" w:w="1800"/>
            <w:shd w:fill="FFFFFF" w:val="clear"/>
            <w:vAlign w:val="top"/>
          </w:tcPr>
          <w:p>
            <w:r>
              <w:rPr>
                <w:rFonts w:ascii="Calibri" w:cs="Calibri" w:eastAsia="Calibri" w:hAnsi="Calibri"/>
                <w:b w:val="false"/>
                <w:bCs w:val="false"/>
                <w:sz w:val="17"/>
                <w:szCs w:val="17"/>
              </w:rPr>
              <w:t xml:space="preserve">How Do Instructions Reach Custodians?</w:t>
            </w:r>
          </w:p>
        </w:tc>
        <w:tc>
          <w:tcPr>
            <w:tcW w:type="dxa" w:w="3500"/>
            <w:shd w:fill="FFFFFF" w:val="clear"/>
            <w:vAlign w:val="top"/>
          </w:tcPr>
          <w:p>
            <w:r>
              <w:rPr>
                <w:rFonts w:ascii="Calibri" w:cs="Calibri" w:eastAsia="Calibri" w:hAnsi="Calibri"/>
                <w:b w:val="false"/>
                <w:bCs w:val="false"/>
                <w:sz w:val="17"/>
                <w:szCs w:val="17"/>
              </w:rPr>
              <w:t xml:space="preserve">Aria: "Ryo, once the trade is agreed, how do settlement instructions actually get to custodians?"</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Slides 50-51 - Settlement Instructions to Custodians</w:t>
            </w:r>
          </w:p>
        </w:tc>
        <w:tc>
          <w:tcPr>
            <w:tcW w:type="dxa" w:w="1800"/>
            <w:shd w:fill="F7F7F7" w:val="clear"/>
            <w:vAlign w:val="top"/>
          </w:tcPr>
          <w:p>
            <w:r>
              <w:rPr>
                <w:rFonts w:ascii="Calibri" w:cs="Calibri" w:eastAsia="Calibri" w:hAnsi="Calibri"/>
                <w:b w:val="false"/>
                <w:bCs w:val="false"/>
                <w:sz w:val="17"/>
                <w:szCs w:val="17"/>
              </w:rPr>
              <w:t xml:space="preserve">SSI Flow to Custodians</w:t>
            </w:r>
          </w:p>
        </w:tc>
        <w:tc>
          <w:tcPr>
            <w:tcW w:type="dxa" w:w="3500"/>
            <w:shd w:fill="F7F7F7" w:val="clear"/>
            <w:vAlign w:val="top"/>
          </w:tcPr>
          <w:p>
            <w:r>
              <w:rPr>
                <w:rFonts w:ascii="Calibri" w:cs="Calibri" w:eastAsia="Calibri" w:hAnsi="Calibri"/>
                <w:b w:val="false"/>
                <w:bCs w:val="false"/>
                <w:sz w:val="17"/>
                <w:szCs w:val="17"/>
              </w:rPr>
              <w:t xml:space="preserve">Ryo: "Slides 50 and 51 show the Settlement Instructions to Custodians process. Settlement instructions flow from the firm to its appointed custodians, who then execute the cash or securities movements on behalf of the parties."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Nostro appointment and currency diagram</w:t>
            </w:r>
          </w:p>
        </w:tc>
        <w:tc>
          <w:tcPr>
            <w:tcW w:type="dxa" w:w="1800"/>
            <w:shd w:fill="FFFFFF" w:val="clear"/>
            <w:vAlign w:val="top"/>
          </w:tcPr>
          <w:p>
            <w:r>
              <w:rPr>
                <w:rFonts w:ascii="Calibri" w:cs="Calibri" w:eastAsia="Calibri" w:hAnsi="Calibri"/>
                <w:b w:val="false"/>
                <w:bCs w:val="false"/>
                <w:sz w:val="17"/>
                <w:szCs w:val="17"/>
              </w:rPr>
              <w:t xml:space="preserve">Nostro Accounts</w:t>
            </w:r>
          </w:p>
        </w:tc>
        <w:tc>
          <w:tcPr>
            <w:tcW w:type="dxa" w:w="3500"/>
            <w:shd w:fill="FFFFFF" w:val="clear"/>
            <w:vAlign w:val="top"/>
          </w:tcPr>
          <w:p>
            <w:r>
              <w:rPr>
                <w:rFonts w:ascii="Calibri" w:cs="Calibri" w:eastAsia="Calibri" w:hAnsi="Calibri"/>
                <w:b w:val="false"/>
                <w:bCs w:val="false"/>
                <w:sz w:val="17"/>
                <w:szCs w:val="17"/>
              </w:rPr>
              <w:t xml:space="preserve">Ryo: "As covered in Trade Enrichment: a firm appoints a cash correspondent - a nostro account - for a particular currency. Settlement instructions are then issued to that nostro for individual cash payments relative to the value date."</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SSI static data repository graphic</w:t>
            </w:r>
          </w:p>
        </w:tc>
        <w:tc>
          <w:tcPr>
            <w:tcW w:type="dxa" w:w="1800"/>
            <w:shd w:fill="F7F7F7" w:val="clear"/>
            <w:vAlign w:val="top"/>
          </w:tcPr>
          <w:p>
            <w:r>
              <w:rPr>
                <w:rFonts w:ascii="Calibri" w:cs="Calibri" w:eastAsia="Calibri" w:hAnsi="Calibri"/>
                <w:b w:val="false"/>
                <w:bCs w:val="false"/>
                <w:sz w:val="17"/>
                <w:szCs w:val="17"/>
              </w:rPr>
              <w:t xml:space="preserve">SSI Repository</w:t>
            </w:r>
          </w:p>
        </w:tc>
        <w:tc>
          <w:tcPr>
            <w:tcW w:type="dxa" w:w="3500"/>
            <w:shd w:fill="F7F7F7" w:val="clear"/>
            <w:vAlign w:val="top"/>
          </w:tcPr>
          <w:p>
            <w:r>
              <w:rPr>
                <w:rFonts w:ascii="Calibri" w:cs="Calibri" w:eastAsia="Calibri" w:hAnsi="Calibri"/>
                <w:b w:val="false"/>
                <w:bCs w:val="false"/>
                <w:sz w:val="17"/>
                <w:szCs w:val="17"/>
              </w:rPr>
              <w:t xml:space="preserve">Ryo: "Standing Settlement Instructions are stored in the firm's static data repository. These pre-authenticated instructions speed up the settlement process - the custodian knows exactly where to send funds without manual instruction each time."</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concerned expression graphic</w:t>
            </w:r>
          </w:p>
        </w:tc>
        <w:tc>
          <w:tcPr>
            <w:tcW w:type="dxa" w:w="1800"/>
            <w:shd w:fill="FFFFFF" w:val="clear"/>
            <w:vAlign w:val="top"/>
          </w:tcPr>
          <w:p>
            <w:r>
              <w:rPr>
                <w:rFonts w:ascii="Calibri" w:cs="Calibri" w:eastAsia="Calibri" w:hAnsi="Calibri"/>
                <w:b w:val="false"/>
                <w:bCs w:val="false"/>
                <w:sz w:val="17"/>
                <w:szCs w:val="17"/>
              </w:rPr>
              <w:t xml:space="preserve">Consequences of Wrong SSI</w:t>
            </w:r>
          </w:p>
        </w:tc>
        <w:tc>
          <w:tcPr>
            <w:tcW w:type="dxa" w:w="3500"/>
            <w:shd w:fill="FFFFFF" w:val="clear"/>
            <w:vAlign w:val="top"/>
          </w:tcPr>
          <w:p>
            <w:r>
              <w:rPr>
                <w:rFonts w:ascii="Calibri" w:cs="Calibri" w:eastAsia="Calibri" w:hAnsi="Calibri"/>
                <w:b w:val="false"/>
                <w:bCs w:val="false"/>
                <w:sz w:val="17"/>
                <w:szCs w:val="17"/>
              </w:rPr>
              <w:t xml:space="preserve">Aria: "What happens if the SSI details are wrong?" Ryo: "Let me tell you - it is one of the biggest sources of settlement failure in post-trade operations."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Risk warning and financial loss graphic</w:t>
            </w:r>
          </w:p>
        </w:tc>
        <w:tc>
          <w:tcPr>
            <w:tcW w:type="dxa" w:w="1800"/>
            <w:shd w:fill="F7F7F7" w:val="clear"/>
            <w:vAlign w:val="top"/>
          </w:tcPr>
          <w:p>
            <w:r>
              <w:rPr>
                <w:rFonts w:ascii="Calibri" w:cs="Calibri" w:eastAsia="Calibri" w:hAnsi="Calibri"/>
                <w:b w:val="false"/>
                <w:bCs w:val="false"/>
                <w:sz w:val="17"/>
                <w:szCs w:val="17"/>
              </w:rPr>
              <w:t xml:space="preserve">Wrong SSI Consequences</w:t>
            </w:r>
          </w:p>
        </w:tc>
        <w:tc>
          <w:tcPr>
            <w:tcW w:type="dxa" w:w="3500"/>
            <w:shd w:fill="F7F7F7" w:val="clear"/>
            <w:vAlign w:val="top"/>
          </w:tcPr>
          <w:p>
            <w:r>
              <w:rPr>
                <w:rFonts w:ascii="Calibri" w:cs="Calibri" w:eastAsia="Calibri" w:hAnsi="Calibri"/>
                <w:b w:val="false"/>
                <w:bCs w:val="false"/>
                <w:sz w:val="17"/>
                <w:szCs w:val="17"/>
              </w:rPr>
              <w:t xml:space="preserve">Ryo: "Wrong SSIs are a major cause of settlement failures, second only to lack of inventory. Incorrect instructions mean trades may fail to settle on time, requiring manual intervention that increases operational costs and delays the process."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instruction flow summary</w:t>
            </w:r>
          </w:p>
        </w:tc>
        <w:tc>
          <w:tcPr>
            <w:tcW w:type="dxa" w:w="1800"/>
            <w:shd w:fill="FFFFFF" w:val="clear"/>
            <w:vAlign w:val="top"/>
          </w:tcPr>
          <w:p>
            <w:r>
              <w:rPr>
                <w:rFonts w:ascii="Calibri" w:cs="Calibri" w:eastAsia="Calibri" w:hAnsi="Calibri"/>
                <w:b w:val="false"/>
                <w:bCs w:val="false"/>
                <w:sz w:val="17"/>
                <w:szCs w:val="17"/>
              </w:rPr>
              <w:t xml:space="preserve">Settlement Instruction Flow</w:t>
            </w:r>
          </w:p>
        </w:tc>
        <w:tc>
          <w:tcPr>
            <w:tcW w:type="dxa" w:w="3500"/>
            <w:shd w:fill="FFFFFF" w:val="clear"/>
            <w:vAlign w:val="top"/>
          </w:tcPr>
          <w:p>
            <w:r>
              <w:rPr>
                <w:rFonts w:ascii="Calibri" w:cs="Calibri" w:eastAsia="Calibri" w:hAnsi="Calibri"/>
                <w:b w:val="false"/>
                <w:bCs w:val="false"/>
                <w:sz w:val="17"/>
                <w:szCs w:val="17"/>
              </w:rPr>
              <w:t xml:space="preserve">Aria: "Settlement instruction flow: firm appoints nostro for each currency, SSIs stored in static data repository, instructions sent to custodians ahead of value date deadlines. Wrong SSIs cause settlement failures, increased costs, and potential regulatory penalties."</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SSI consequences detail preview</w:t>
            </w:r>
          </w:p>
        </w:tc>
        <w:tc>
          <w:tcPr>
            <w:tcW w:type="dxa" w:w="1800"/>
            <w:shd w:fill="F7F7F7" w:val="clear"/>
            <w:vAlign w:val="top"/>
          </w:tcPr>
          <w:p>
            <w:r>
              <w:rPr>
                <w:rFonts w:ascii="Calibri" w:cs="Calibri" w:eastAsia="Calibri" w:hAnsi="Calibri"/>
                <w:b w:val="false"/>
                <w:bCs w:val="false"/>
                <w:sz w:val="17"/>
                <w:szCs w:val="17"/>
              </w:rPr>
              <w:t xml:space="preserve">Next: Wrong SSI Consequences</w:t>
            </w:r>
          </w:p>
        </w:tc>
        <w:tc>
          <w:tcPr>
            <w:tcW w:type="dxa" w:w="3500"/>
            <w:shd w:fill="F7F7F7" w:val="clear"/>
            <w:vAlign w:val="top"/>
          </w:tcPr>
          <w:p>
            <w:r>
              <w:rPr>
                <w:rFonts w:ascii="Calibri" w:cs="Calibri" w:eastAsia="Calibri" w:hAnsi="Calibri"/>
                <w:b w:val="false"/>
                <w:bCs w:val="false"/>
                <w:sz w:val="17"/>
                <w:szCs w:val="17"/>
              </w:rPr>
              <w:t xml:space="preserve">Ryo: "Next - a dedicated look at all the consequences of wrong SSIs, from financial losses to regulatory penalties."</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SC8.SSI - Explain consequences of wrong SSI</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SC8.SSI - Explain consequences of wrong SSI</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ISDA.8</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 Confirmation &amp; Settlement</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SC8.SSI - Explain consequences of wrong SSI</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EXPLAIN</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50-51 + SSI Consequences PDF</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Red alarm and settlement failure graphic</w:t>
            </w:r>
          </w:p>
        </w:tc>
        <w:tc>
          <w:tcPr>
            <w:tcW w:type="dxa" w:w="1800"/>
            <w:shd w:fill="FFFFFF" w:val="clear"/>
            <w:vAlign w:val="top"/>
          </w:tcPr>
          <w:p>
            <w:r>
              <w:rPr>
                <w:rFonts w:ascii="Calibri" w:cs="Calibri" w:eastAsia="Calibri" w:hAnsi="Calibri"/>
                <w:b w:val="false"/>
                <w:bCs w:val="false"/>
                <w:sz w:val="17"/>
                <w:szCs w:val="17"/>
              </w:rPr>
              <w:t xml:space="preserve">Wrong SSI - What Happens?</w:t>
            </w:r>
          </w:p>
        </w:tc>
        <w:tc>
          <w:tcPr>
            <w:tcW w:type="dxa" w:w="3500"/>
            <w:shd w:fill="FFFFFF" w:val="clear"/>
            <w:vAlign w:val="top"/>
          </w:tcPr>
          <w:p>
            <w:r>
              <w:rPr>
                <w:rFonts w:ascii="Calibri" w:cs="Calibri" w:eastAsia="Calibri" w:hAnsi="Calibri"/>
                <w:b w:val="false"/>
                <w:bCs w:val="false"/>
                <w:sz w:val="17"/>
                <w:szCs w:val="17"/>
              </w:rPr>
              <w:t xml:space="preserve">Aria: "Ryo, you said wrong SSIs are a major cause of settlement failures. How serious are we talking?"</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Settlement failure cascade diagram</w:t>
            </w:r>
          </w:p>
        </w:tc>
        <w:tc>
          <w:tcPr>
            <w:tcW w:type="dxa" w:w="1800"/>
            <w:shd w:fill="F7F7F7" w:val="clear"/>
            <w:vAlign w:val="top"/>
          </w:tcPr>
          <w:p>
            <w:r>
              <w:rPr>
                <w:rFonts w:ascii="Calibri" w:cs="Calibri" w:eastAsia="Calibri" w:hAnsi="Calibri"/>
                <w:b w:val="false"/>
                <w:bCs w:val="false"/>
                <w:sz w:val="17"/>
                <w:szCs w:val="17"/>
              </w:rPr>
              <w:t xml:space="preserve">Settlement Failures</w:t>
            </w:r>
          </w:p>
        </w:tc>
        <w:tc>
          <w:tcPr>
            <w:tcW w:type="dxa" w:w="3500"/>
            <w:shd w:fill="F7F7F7" w:val="clear"/>
            <w:vAlign w:val="top"/>
          </w:tcPr>
          <w:p>
            <w:r>
              <w:rPr>
                <w:rFonts w:ascii="Calibri" w:cs="Calibri" w:eastAsia="Calibri" w:hAnsi="Calibri"/>
                <w:b w:val="false"/>
                <w:bCs w:val="false"/>
                <w:sz w:val="17"/>
                <w:szCs w:val="17"/>
              </w:rPr>
              <w:t xml:space="preserve">Ryo: "Very serious. Incorrect or missing SSIs can lead to settlement failures, financial losses, operational inefficiencies, and reputational damage. Wrong SSIs are the second most common cause of settlement failures, after lack of inventory."</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Buy-in and sell-out process diagram</w:t>
            </w:r>
          </w:p>
        </w:tc>
        <w:tc>
          <w:tcPr>
            <w:tcW w:type="dxa" w:w="1800"/>
            <w:shd w:fill="FFFFFF" w:val="clear"/>
            <w:vAlign w:val="top"/>
          </w:tcPr>
          <w:p>
            <w:r>
              <w:rPr>
                <w:rFonts w:ascii="Calibri" w:cs="Calibri" w:eastAsia="Calibri" w:hAnsi="Calibri"/>
                <w:b w:val="false"/>
                <w:bCs w:val="false"/>
                <w:sz w:val="17"/>
                <w:szCs w:val="17"/>
              </w:rPr>
              <w:t xml:space="preserve">Financial Losses</w:t>
            </w:r>
          </w:p>
        </w:tc>
        <w:tc>
          <w:tcPr>
            <w:tcW w:type="dxa" w:w="3500"/>
            <w:shd w:fill="FFFFFF" w:val="clear"/>
            <w:vAlign w:val="top"/>
          </w:tcPr>
          <w:p>
            <w:r>
              <w:rPr>
                <w:rFonts w:ascii="Calibri" w:cs="Calibri" w:eastAsia="Calibri" w:hAnsi="Calibri"/>
                <w:b w:val="false"/>
                <w:bCs w:val="false"/>
                <w:sz w:val="17"/>
                <w:szCs w:val="17"/>
              </w:rPr>
              <w:t xml:space="preserve">Ryo: "When settlement instructions are incorrect, trades fail to settle on time. This can trigger buy-in or sell-out notices - where the counterparty seeks to complete the trade at potentially higher costs - leading to direct financial losses. Delayed receipt of securities or funds can also result in missed investment opportunities and lost market gains."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Credit and liquidity risk escalation graphic</w:t>
            </w:r>
          </w:p>
        </w:tc>
        <w:tc>
          <w:tcPr>
            <w:tcW w:type="dxa" w:w="1800"/>
            <w:shd w:fill="F7F7F7" w:val="clear"/>
            <w:vAlign w:val="top"/>
          </w:tcPr>
          <w:p>
            <w:r>
              <w:rPr>
                <w:rFonts w:ascii="Calibri" w:cs="Calibri" w:eastAsia="Calibri" w:hAnsi="Calibri"/>
                <w:b w:val="false"/>
                <w:bCs w:val="false"/>
                <w:sz w:val="17"/>
                <w:szCs w:val="17"/>
              </w:rPr>
              <w:t xml:space="preserve">Risk Escalation</w:t>
            </w:r>
          </w:p>
        </w:tc>
        <w:tc>
          <w:tcPr>
            <w:tcW w:type="dxa" w:w="3500"/>
            <w:shd w:fill="F7F7F7" w:val="clear"/>
            <w:vAlign w:val="top"/>
          </w:tcPr>
          <w:p>
            <w:r>
              <w:rPr>
                <w:rFonts w:ascii="Calibri" w:cs="Calibri" w:eastAsia="Calibri" w:hAnsi="Calibri"/>
                <w:b w:val="false"/>
                <w:bCs w:val="false"/>
                <w:sz w:val="17"/>
                <w:szCs w:val="17"/>
              </w:rPr>
              <w:t xml:space="preserve">Ryo: "Incorrect SSIs increase settlement risk - both delivery risk, failure to deliver securities, and payment risk, failure to transfer funds - which can escalate credit and liquidity risks for both buyers and sellers. In cross-border transactions, errors in SSIs can exacerbate these risks due to time zone differences and differing regulatory requirements."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Compliance and penalty warning graphic</w:t>
            </w:r>
          </w:p>
        </w:tc>
        <w:tc>
          <w:tcPr>
            <w:tcW w:type="dxa" w:w="1800"/>
            <w:shd w:fill="FFFFFF" w:val="clear"/>
            <w:vAlign w:val="top"/>
          </w:tcPr>
          <w:p>
            <w:r>
              <w:rPr>
                <w:rFonts w:ascii="Calibri" w:cs="Calibri" w:eastAsia="Calibri" w:hAnsi="Calibri"/>
                <w:b w:val="false"/>
                <w:bCs w:val="false"/>
                <w:sz w:val="17"/>
                <w:szCs w:val="17"/>
              </w:rPr>
              <w:t xml:space="preserve">Regulatory Non-Compliance</w:t>
            </w:r>
          </w:p>
        </w:tc>
        <w:tc>
          <w:tcPr>
            <w:tcW w:type="dxa" w:w="3500"/>
            <w:shd w:fill="FFFFFF" w:val="clear"/>
            <w:vAlign w:val="top"/>
          </w:tcPr>
          <w:p>
            <w:r>
              <w:rPr>
                <w:rFonts w:ascii="Calibri" w:cs="Calibri" w:eastAsia="Calibri" w:hAnsi="Calibri"/>
                <w:b w:val="false"/>
                <w:bCs w:val="false"/>
                <w:sz w:val="17"/>
                <w:szCs w:val="17"/>
              </w:rPr>
              <w:t xml:space="preserve">Ryo: "Settlement instructions must comply with regulatory standards. Errors in SSIs can lead to non-compliance, potentially resulting in legal action, fines, or penalties, especially in jurisdictions with strict post-trade regulations. With the move toward T+1 settlement cycles, the window to correct errors is shrinking."</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Reputation damage and trust erosion graphic</w:t>
            </w:r>
          </w:p>
        </w:tc>
        <w:tc>
          <w:tcPr>
            <w:tcW w:type="dxa" w:w="1800"/>
            <w:shd w:fill="F7F7F7" w:val="clear"/>
            <w:vAlign w:val="top"/>
          </w:tcPr>
          <w:p>
            <w:r>
              <w:rPr>
                <w:rFonts w:ascii="Calibri" w:cs="Calibri" w:eastAsia="Calibri" w:hAnsi="Calibri"/>
                <w:b w:val="false"/>
                <w:bCs w:val="false"/>
                <w:sz w:val="17"/>
                <w:szCs w:val="17"/>
              </w:rPr>
              <w:t xml:space="preserve">Reputational Impact</w:t>
            </w:r>
          </w:p>
        </w:tc>
        <w:tc>
          <w:tcPr>
            <w:tcW w:type="dxa" w:w="3500"/>
            <w:shd w:fill="F7F7F7" w:val="clear"/>
            <w:vAlign w:val="top"/>
          </w:tcPr>
          <w:p>
            <w:r>
              <w:rPr>
                <w:rFonts w:ascii="Calibri" w:cs="Calibri" w:eastAsia="Calibri" w:hAnsi="Calibri"/>
                <w:b w:val="false"/>
                <w:bCs w:val="false"/>
                <w:sz w:val="17"/>
                <w:szCs w:val="17"/>
              </w:rPr>
              <w:t xml:space="preserve">Ryo: "Repeated errors in settlement instructions damage a firm's reputation, eroding trust with counterparties and clients, leading to loss of business, strained relationships, and reduced market confidence. Even automated SSI systems can still produce errors when there is insufficient discipline or manual overrides."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six consequences listed</w:t>
            </w:r>
          </w:p>
        </w:tc>
        <w:tc>
          <w:tcPr>
            <w:tcW w:type="dxa" w:w="1800"/>
            <w:shd w:fill="FFFFFF" w:val="clear"/>
            <w:vAlign w:val="top"/>
          </w:tcPr>
          <w:p>
            <w:r>
              <w:rPr>
                <w:rFonts w:ascii="Calibri" w:cs="Calibri" w:eastAsia="Calibri" w:hAnsi="Calibri"/>
                <w:b w:val="false"/>
                <w:bCs w:val="false"/>
                <w:sz w:val="17"/>
                <w:szCs w:val="17"/>
              </w:rPr>
              <w:t xml:space="preserve">Six Wrong-SSI Consequences</w:t>
            </w:r>
          </w:p>
        </w:tc>
        <w:tc>
          <w:tcPr>
            <w:tcW w:type="dxa" w:w="3500"/>
            <w:shd w:fill="FFFFFF" w:val="clear"/>
            <w:vAlign w:val="top"/>
          </w:tcPr>
          <w:p>
            <w:r>
              <w:rPr>
                <w:rFonts w:ascii="Calibri" w:cs="Calibri" w:eastAsia="Calibri" w:hAnsi="Calibri"/>
                <w:b w:val="false"/>
                <w:bCs w:val="false"/>
                <w:sz w:val="17"/>
                <w:szCs w:val="17"/>
              </w:rPr>
              <w:t xml:space="preserve">Aria: "Six consequences of wrong SSIs: settlement failures and trade disruptions; financial losses from buy-ins, sell-outs, or missed opportunities; increased credit and liquidity risks; regulatory non-compliance and legal penalties; reputational damage; and operational inefficiencies from manual intervention. Accurate, standardised, timely SSIs are critical."</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ISDA worked example preview</w:t>
            </w:r>
          </w:p>
        </w:tc>
        <w:tc>
          <w:tcPr>
            <w:tcW w:type="dxa" w:w="1800"/>
            <w:shd w:fill="F7F7F7" w:val="clear"/>
            <w:vAlign w:val="top"/>
          </w:tcPr>
          <w:p>
            <w:r>
              <w:rPr>
                <w:rFonts w:ascii="Calibri" w:cs="Calibri" w:eastAsia="Calibri" w:hAnsi="Calibri"/>
                <w:b w:val="false"/>
                <w:bCs w:val="false"/>
                <w:sz w:val="17"/>
                <w:szCs w:val="17"/>
              </w:rPr>
              <w:t xml:space="preserve">Next: Worked Example</w:t>
            </w:r>
          </w:p>
        </w:tc>
        <w:tc>
          <w:tcPr>
            <w:tcW w:type="dxa" w:w="3500"/>
            <w:shd w:fill="F7F7F7" w:val="clear"/>
            <w:vAlign w:val="top"/>
          </w:tcPr>
          <w:p>
            <w:r>
              <w:rPr>
                <w:rFonts w:ascii="Calibri" w:cs="Calibri" w:eastAsia="Calibri" w:hAnsi="Calibri"/>
                <w:b w:val="false"/>
                <w:bCs w:val="false"/>
                <w:sz w:val="17"/>
                <w:szCs w:val="17"/>
              </w:rPr>
              <w:t xml:space="preserve">Ryo: "With the full settlement and SSI picture clear, next we trace an actual ISDA-documented trade from initiation to settlement."</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ISDA.8 complete - Next: ISDA.9 OTC Trade Life Cycle with ISDA Worked Example</w:t>
      </w:r>
    </w:p>
    <w:p>
      <w:r>
        <w:br w:type="page"/>
      </w:r>
    </w:p>
    <w:p>
      <w:pPr>
        <w:shd w:fill="1E3A5F" w:val="clear"/>
        <w:spacing w:after="200" w:before="200"/>
        <w:ind w:left="200"/>
      </w:pPr>
      <w:r>
        <w:rPr>
          <w:rFonts w:ascii="Calibri" w:cs="Calibri" w:eastAsia="Calibri" w:hAnsi="Calibri"/>
          <w:b/>
          <w:bCs/>
          <w:color w:val="FFFFFF"/>
          <w:sz w:val="28"/>
          <w:szCs w:val="28"/>
        </w:rPr>
        <w:t xml:space="preserve">ISDA.9 | OTC Trade Life Cycle with ISDA - Worked Example</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SC9.1 - Identify ISDA documentation in trade context</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ISDA.9</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with ISDA - Worked Example</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SC9.1 - Identify ISDA documentation in trade context</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APPLY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53-54</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Bank A and Bank B icons facing each other</w:t>
            </w:r>
          </w:p>
        </w:tc>
        <w:tc>
          <w:tcPr>
            <w:tcW w:type="dxa" w:w="1800"/>
            <w:shd w:fill="FFFFFF" w:val="clear"/>
            <w:vAlign w:val="top"/>
          </w:tcPr>
          <w:p>
            <w:r>
              <w:rPr>
                <w:rFonts w:ascii="Calibri" w:cs="Calibri" w:eastAsia="Calibri" w:hAnsi="Calibri"/>
                <w:b w:val="false"/>
                <w:bCs w:val="false"/>
                <w:sz w:val="17"/>
                <w:szCs w:val="17"/>
              </w:rPr>
              <w:t xml:space="preserve">Real Trade Setup</w:t>
            </w:r>
          </w:p>
        </w:tc>
        <w:tc>
          <w:tcPr>
            <w:tcW w:type="dxa" w:w="3500"/>
            <w:shd w:fill="FFFFFF" w:val="clear"/>
            <w:vAlign w:val="top"/>
          </w:tcPr>
          <w:p>
            <w:r>
              <w:rPr>
                <w:rFonts w:ascii="Calibri" w:cs="Calibri" w:eastAsia="Calibri" w:hAnsi="Calibri"/>
                <w:b w:val="false"/>
                <w:bCs w:val="false"/>
                <w:sz w:val="17"/>
                <w:szCs w:val="17"/>
              </w:rPr>
              <w:t xml:space="preserve">Aria: "Ryo, can we trace a real example of the ISDA Master Agreement in action?"</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54 - Bank A and Bank B scenario text</w:t>
            </w:r>
          </w:p>
        </w:tc>
        <w:tc>
          <w:tcPr>
            <w:tcW w:type="dxa" w:w="1800"/>
            <w:shd w:fill="F7F7F7" w:val="clear"/>
            <w:vAlign w:val="top"/>
          </w:tcPr>
          <w:p>
            <w:r>
              <w:rPr>
                <w:rFonts w:ascii="Calibri" w:cs="Calibri" w:eastAsia="Calibri" w:hAnsi="Calibri"/>
                <w:b w:val="false"/>
                <w:bCs w:val="false"/>
                <w:sz w:val="17"/>
                <w:szCs w:val="17"/>
              </w:rPr>
              <w:t xml:space="preserve">Interest Rate Swap Scenario</w:t>
            </w:r>
          </w:p>
        </w:tc>
        <w:tc>
          <w:tcPr>
            <w:tcW w:type="dxa" w:w="3500"/>
            <w:shd w:fill="F7F7F7" w:val="clear"/>
            <w:vAlign w:val="top"/>
          </w:tcPr>
          <w:p>
            <w:r>
              <w:rPr>
                <w:rFonts w:ascii="Calibri" w:cs="Calibri" w:eastAsia="Calibri" w:hAnsi="Calibri"/>
                <w:b w:val="false"/>
                <w:bCs w:val="false"/>
                <w:sz w:val="17"/>
                <w:szCs w:val="17"/>
              </w:rPr>
              <w:t xml:space="preserve">Ryo: "Absolutely. The scenario from slide 54: Two financial institutions, Bank A and Bank B, decide to enter into an interest rate swap to manage their interest rate exposure. Bank A has a variable-rate loan while Bank B has a fixed-rate loan."</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Negotiation phase diagram with key terms</w:t>
            </w:r>
          </w:p>
        </w:tc>
        <w:tc>
          <w:tcPr>
            <w:tcW w:type="dxa" w:w="1800"/>
            <w:shd w:fill="FFFFFF" w:val="clear"/>
            <w:vAlign w:val="top"/>
          </w:tcPr>
          <w:p>
            <w:r>
              <w:rPr>
                <w:rFonts w:ascii="Calibri" w:cs="Calibri" w:eastAsia="Calibri" w:hAnsi="Calibri"/>
                <w:b w:val="false"/>
                <w:bCs w:val="false"/>
                <w:sz w:val="17"/>
                <w:szCs w:val="17"/>
              </w:rPr>
              <w:t xml:space="preserve">Negotiation Phase</w:t>
            </w:r>
          </w:p>
        </w:tc>
        <w:tc>
          <w:tcPr>
            <w:tcW w:type="dxa" w:w="3500"/>
            <w:shd w:fill="FFFFFF" w:val="clear"/>
            <w:vAlign w:val="top"/>
          </w:tcPr>
          <w:p>
            <w:r>
              <w:rPr>
                <w:rFonts w:ascii="Calibri" w:cs="Calibri" w:eastAsia="Calibri" w:hAnsi="Calibri"/>
                <w:b w:val="false"/>
                <w:bCs w:val="false"/>
                <w:sz w:val="17"/>
                <w:szCs w:val="17"/>
              </w:rPr>
              <w:t xml:space="preserve">Ryo: "The parties negotiate the key terms of the interest rate swap - the notional amount, fixed and floating interest rates, payment frequency, and maturity date. During this process, they use the ISDA Master Agreement as a starting point."</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Term sheet / short form confirmation graphic</w:t>
            </w:r>
          </w:p>
        </w:tc>
        <w:tc>
          <w:tcPr>
            <w:tcW w:type="dxa" w:w="1800"/>
            <w:shd w:fill="F7F7F7" w:val="clear"/>
            <w:vAlign w:val="top"/>
          </w:tcPr>
          <w:p>
            <w:r>
              <w:rPr>
                <w:rFonts w:ascii="Calibri" w:cs="Calibri" w:eastAsia="Calibri" w:hAnsi="Calibri"/>
                <w:b w:val="false"/>
                <w:bCs w:val="false"/>
                <w:sz w:val="17"/>
                <w:szCs w:val="17"/>
              </w:rPr>
              <w:t xml:space="preserve">Short Form Confirmation</w:t>
            </w:r>
          </w:p>
        </w:tc>
        <w:tc>
          <w:tcPr>
            <w:tcW w:type="dxa" w:w="3500"/>
            <w:shd w:fill="F7F7F7" w:val="clear"/>
            <w:vAlign w:val="top"/>
          </w:tcPr>
          <w:p>
            <w:r>
              <w:rPr>
                <w:rFonts w:ascii="Calibri" w:cs="Calibri" w:eastAsia="Calibri" w:hAnsi="Calibri"/>
                <w:b w:val="false"/>
                <w:bCs w:val="false"/>
                <w:sz w:val="17"/>
                <w:szCs w:val="17"/>
              </w:rPr>
              <w:t xml:space="preserve">Ryo: "Once terms are agreed, the parties use a short form confirmation or term sheet summarising the key details. This document references the ISDA Master Agreement for the full legal terms and conditions."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Legal review meeting graphic</w:t>
            </w:r>
          </w:p>
        </w:tc>
        <w:tc>
          <w:tcPr>
            <w:tcW w:type="dxa" w:w="1800"/>
            <w:shd w:fill="FFFFFF" w:val="clear"/>
            <w:vAlign w:val="top"/>
          </w:tcPr>
          <w:p>
            <w:r>
              <w:rPr>
                <w:rFonts w:ascii="Calibri" w:cs="Calibri" w:eastAsia="Calibri" w:hAnsi="Calibri"/>
                <w:b w:val="false"/>
                <w:bCs w:val="false"/>
                <w:sz w:val="17"/>
                <w:szCs w:val="17"/>
              </w:rPr>
              <w:t xml:space="preserve">Legal Review</w:t>
            </w:r>
          </w:p>
        </w:tc>
        <w:tc>
          <w:tcPr>
            <w:tcW w:type="dxa" w:w="3500"/>
            <w:shd w:fill="FFFFFF" w:val="clear"/>
            <w:vAlign w:val="top"/>
          </w:tcPr>
          <w:p>
            <w:r>
              <w:rPr>
                <w:rFonts w:ascii="Calibri" w:cs="Calibri" w:eastAsia="Calibri" w:hAnsi="Calibri"/>
                <w:b w:val="false"/>
                <w:bCs w:val="false"/>
                <w:sz w:val="17"/>
                <w:szCs w:val="17"/>
              </w:rPr>
              <w:t xml:space="preserve">Aria: "So Legal reviews the short form?" Ryo: "Yes - legal teams from both banks review the short form confirmation and ensure it aligns with the ISDA Master Agreement. The IMA provides a standardised legal framework, reducing the need for extensive negotiations for each transaction."</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Executed document with signatures graphic</w:t>
            </w:r>
          </w:p>
        </w:tc>
        <w:tc>
          <w:tcPr>
            <w:tcW w:type="dxa" w:w="1800"/>
            <w:shd w:fill="F7F7F7" w:val="clear"/>
            <w:vAlign w:val="top"/>
          </w:tcPr>
          <w:p>
            <w:r>
              <w:rPr>
                <w:rFonts w:ascii="Calibri" w:cs="Calibri" w:eastAsia="Calibri" w:hAnsi="Calibri"/>
                <w:b w:val="false"/>
                <w:bCs w:val="false"/>
                <w:sz w:val="17"/>
                <w:szCs w:val="17"/>
              </w:rPr>
              <w:t xml:space="preserve">Execution of Documents</w:t>
            </w:r>
          </w:p>
        </w:tc>
        <w:tc>
          <w:tcPr>
            <w:tcW w:type="dxa" w:w="3500"/>
            <w:shd w:fill="F7F7F7" w:val="clear"/>
            <w:vAlign w:val="top"/>
          </w:tcPr>
          <w:p>
            <w:r>
              <w:rPr>
                <w:rFonts w:ascii="Calibri" w:cs="Calibri" w:eastAsia="Calibri" w:hAnsi="Calibri"/>
                <w:b w:val="false"/>
                <w:bCs w:val="false"/>
                <w:sz w:val="17"/>
                <w:szCs w:val="17"/>
              </w:rPr>
              <w:t xml:space="preserve">Ryo: "The parties execute the short form confirmation, incorporating the terms of the IMA by reference. This legally binding confirmation document serves as evidence of the agreement to enter into the interest rate swap."</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documentation chain</w:t>
            </w:r>
          </w:p>
        </w:tc>
        <w:tc>
          <w:tcPr>
            <w:tcW w:type="dxa" w:w="1800"/>
            <w:shd w:fill="FFFFFF" w:val="clear"/>
            <w:vAlign w:val="top"/>
          </w:tcPr>
          <w:p>
            <w:r>
              <w:rPr>
                <w:rFonts w:ascii="Calibri" w:cs="Calibri" w:eastAsia="Calibri" w:hAnsi="Calibri"/>
                <w:b w:val="false"/>
                <w:bCs w:val="false"/>
                <w:sz w:val="17"/>
                <w:szCs w:val="17"/>
              </w:rPr>
              <w:t xml:space="preserve">ISDA Docs in Context</w:t>
            </w:r>
          </w:p>
        </w:tc>
        <w:tc>
          <w:tcPr>
            <w:tcW w:type="dxa" w:w="3500"/>
            <w:shd w:fill="FFFFFF" w:val="clear"/>
            <w:vAlign w:val="top"/>
          </w:tcPr>
          <w:p>
            <w:r>
              <w:rPr>
                <w:rFonts w:ascii="Calibri" w:cs="Calibri" w:eastAsia="Calibri" w:hAnsi="Calibri"/>
                <w:b w:val="false"/>
                <w:bCs w:val="false"/>
                <w:sz w:val="17"/>
                <w:szCs w:val="17"/>
              </w:rPr>
              <w:t xml:space="preserve">Aria: "ISDA docs in this trade: IMA provides the legal framework, short form confirmation captures the specific terms - notional, rates, payment frequency, maturity - legal review aligns the two, and execution creates the binding agreement."</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Ongoing transaction and lifecycle preview</w:t>
            </w:r>
          </w:p>
        </w:tc>
        <w:tc>
          <w:tcPr>
            <w:tcW w:type="dxa" w:w="1800"/>
            <w:shd w:fill="F7F7F7" w:val="clear"/>
            <w:vAlign w:val="top"/>
          </w:tcPr>
          <w:p>
            <w:r>
              <w:rPr>
                <w:rFonts w:ascii="Calibri" w:cs="Calibri" w:eastAsia="Calibri" w:hAnsi="Calibri"/>
                <w:b w:val="false"/>
                <w:bCs w:val="false"/>
                <w:sz w:val="17"/>
                <w:szCs w:val="17"/>
              </w:rPr>
              <w:t xml:space="preserve">Next: Trace Trade to Settlement</w:t>
            </w:r>
          </w:p>
        </w:tc>
        <w:tc>
          <w:tcPr>
            <w:tcW w:type="dxa" w:w="3500"/>
            <w:shd w:fill="F7F7F7" w:val="clear"/>
            <w:vAlign w:val="top"/>
          </w:tcPr>
          <w:p>
            <w:r>
              <w:rPr>
                <w:rFonts w:ascii="Calibri" w:cs="Calibri" w:eastAsia="Calibri" w:hAnsi="Calibri"/>
                <w:b w:val="false"/>
                <w:bCs w:val="false"/>
                <w:sz w:val="17"/>
                <w:szCs w:val="17"/>
              </w:rPr>
              <w:t xml:space="preserve">Ryo: "Next - we trace the trade from those executed documents through to settlement and dispute resolution."</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SC9.2 - Trace trade from initiation to settlement</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SC9.2 - Trace trade from initiation to settlement</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ISDA.9</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OTC Trade Life Cycle with ISDA - Worked Example</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SC9.2 - Trace trade from initiation to settlement</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APPLY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55-56</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Timeline graphic spanning trade journey</w:t>
            </w:r>
          </w:p>
        </w:tc>
        <w:tc>
          <w:tcPr>
            <w:tcW w:type="dxa" w:w="1800"/>
            <w:shd w:fill="FFFFFF" w:val="clear"/>
            <w:vAlign w:val="top"/>
          </w:tcPr>
          <w:p>
            <w:r>
              <w:rPr>
                <w:rFonts w:ascii="Calibri" w:cs="Calibri" w:eastAsia="Calibri" w:hAnsi="Calibri"/>
                <w:b w:val="false"/>
                <w:bCs w:val="false"/>
                <w:sz w:val="17"/>
                <w:szCs w:val="17"/>
              </w:rPr>
              <w:t xml:space="preserve">End to End</w:t>
            </w:r>
          </w:p>
        </w:tc>
        <w:tc>
          <w:tcPr>
            <w:tcW w:type="dxa" w:w="3500"/>
            <w:shd w:fill="FFFFFF" w:val="clear"/>
            <w:vAlign w:val="top"/>
          </w:tcPr>
          <w:p>
            <w:r>
              <w:rPr>
                <w:rFonts w:ascii="Calibri" w:cs="Calibri" w:eastAsia="Calibri" w:hAnsi="Calibri"/>
                <w:b w:val="false"/>
                <w:bCs w:val="false"/>
                <w:sz w:val="17"/>
                <w:szCs w:val="17"/>
              </w:rPr>
              <w:t xml:space="preserve">Aria: "Ryo, now let us trace this Bank A and Bank B swap from start to finish."</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55 - Ongoing Transactions section</w:t>
            </w:r>
          </w:p>
        </w:tc>
        <w:tc>
          <w:tcPr>
            <w:tcW w:type="dxa" w:w="1800"/>
            <w:shd w:fill="F7F7F7" w:val="clear"/>
            <w:vAlign w:val="top"/>
          </w:tcPr>
          <w:p>
            <w:r>
              <w:rPr>
                <w:rFonts w:ascii="Calibri" w:cs="Calibri" w:eastAsia="Calibri" w:hAnsi="Calibri"/>
                <w:b w:val="false"/>
                <w:bCs w:val="false"/>
                <w:sz w:val="17"/>
                <w:szCs w:val="17"/>
              </w:rPr>
              <w:t xml:space="preserve">Ongoing Transactions</w:t>
            </w:r>
          </w:p>
        </w:tc>
        <w:tc>
          <w:tcPr>
            <w:tcW w:type="dxa" w:w="3500"/>
            <w:shd w:fill="F7F7F7" w:val="clear"/>
            <w:vAlign w:val="top"/>
          </w:tcPr>
          <w:p>
            <w:r>
              <w:rPr>
                <w:rFonts w:ascii="Calibri" w:cs="Calibri" w:eastAsia="Calibri" w:hAnsi="Calibri"/>
                <w:b w:val="false"/>
                <w:bCs w:val="false"/>
                <w:sz w:val="17"/>
                <w:szCs w:val="17"/>
              </w:rPr>
              <w:t xml:space="preserve">Ryo: "As Bank A and Bank B continue their relationship, they enter into additional interest rate swaps. For each new transaction, they use a similar process, leveraging the standardised terms and legal framework of the ISDA Master Agreement."</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Risk management provisions diagram</w:t>
            </w:r>
          </w:p>
        </w:tc>
        <w:tc>
          <w:tcPr>
            <w:tcW w:type="dxa" w:w="1800"/>
            <w:shd w:fill="FFFFFF" w:val="clear"/>
            <w:vAlign w:val="top"/>
          </w:tcPr>
          <w:p>
            <w:r>
              <w:rPr>
                <w:rFonts w:ascii="Calibri" w:cs="Calibri" w:eastAsia="Calibri" w:hAnsi="Calibri"/>
                <w:b w:val="false"/>
                <w:bCs w:val="false"/>
                <w:sz w:val="17"/>
                <w:szCs w:val="17"/>
              </w:rPr>
              <w:t xml:space="preserve">Risk Management via IMA</w:t>
            </w:r>
          </w:p>
        </w:tc>
        <w:tc>
          <w:tcPr>
            <w:tcW w:type="dxa" w:w="3500"/>
            <w:shd w:fill="FFFFFF" w:val="clear"/>
            <w:vAlign w:val="top"/>
          </w:tcPr>
          <w:p>
            <w:r>
              <w:rPr>
                <w:rFonts w:ascii="Calibri" w:cs="Calibri" w:eastAsia="Calibri" w:hAnsi="Calibri"/>
                <w:b w:val="false"/>
                <w:bCs w:val="false"/>
                <w:sz w:val="17"/>
                <w:szCs w:val="17"/>
              </w:rPr>
              <w:t xml:space="preserve">Ryo: "The ISDA Master Agreement includes provisions for events of default, termination events, and collateral management. These help both parties manage and mitigate risks associated with the interest rate swap."</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Reporting obligations checklist</w:t>
            </w:r>
          </w:p>
        </w:tc>
        <w:tc>
          <w:tcPr>
            <w:tcW w:type="dxa" w:w="1800"/>
            <w:shd w:fill="F7F7F7" w:val="clear"/>
            <w:vAlign w:val="top"/>
          </w:tcPr>
          <w:p>
            <w:r>
              <w:rPr>
                <w:rFonts w:ascii="Calibri" w:cs="Calibri" w:eastAsia="Calibri" w:hAnsi="Calibri"/>
                <w:b w:val="false"/>
                <w:bCs w:val="false"/>
                <w:sz w:val="17"/>
                <w:szCs w:val="17"/>
              </w:rPr>
              <w:t xml:space="preserve">Reporting Obligations</w:t>
            </w:r>
          </w:p>
        </w:tc>
        <w:tc>
          <w:tcPr>
            <w:tcW w:type="dxa" w:w="3500"/>
            <w:shd w:fill="F7F7F7" w:val="clear"/>
            <w:vAlign w:val="top"/>
          </w:tcPr>
          <w:p>
            <w:r>
              <w:rPr>
                <w:rFonts w:ascii="Calibri" w:cs="Calibri" w:eastAsia="Calibri" w:hAnsi="Calibri"/>
                <w:b w:val="false"/>
                <w:bCs w:val="false"/>
                <w:sz w:val="17"/>
                <w:szCs w:val="17"/>
              </w:rPr>
              <w:t xml:space="preserve">Ryo: "The agreement also includes reporting obligations to ensure transparency between the parties - as required by the IMA, both parties maintain visibility on trade status."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Slide 56 - Dispute Resolution section</w:t>
            </w:r>
          </w:p>
        </w:tc>
        <w:tc>
          <w:tcPr>
            <w:tcW w:type="dxa" w:w="1800"/>
            <w:shd w:fill="FFFFFF" w:val="clear"/>
            <w:vAlign w:val="top"/>
          </w:tcPr>
          <w:p>
            <w:r>
              <w:rPr>
                <w:rFonts w:ascii="Calibri" w:cs="Calibri" w:eastAsia="Calibri" w:hAnsi="Calibri"/>
                <w:b w:val="false"/>
                <w:bCs w:val="false"/>
                <w:sz w:val="17"/>
                <w:szCs w:val="17"/>
              </w:rPr>
              <w:t xml:space="preserve">Dispute Resolution</w:t>
            </w:r>
          </w:p>
        </w:tc>
        <w:tc>
          <w:tcPr>
            <w:tcW w:type="dxa" w:w="3500"/>
            <w:shd w:fill="FFFFFF" w:val="clear"/>
            <w:vAlign w:val="top"/>
          </w:tcPr>
          <w:p>
            <w:r>
              <w:rPr>
                <w:rFonts w:ascii="Calibri" w:cs="Calibri" w:eastAsia="Calibri" w:hAnsi="Calibri"/>
                <w:b w:val="false"/>
                <w:bCs w:val="false"/>
                <w:sz w:val="17"/>
                <w:szCs w:val="17"/>
              </w:rPr>
              <w:t xml:space="preserve">Ryo: "If disputes or disagreements arise, the ISDA Master Agreement outlines a dispute resolution process, including provisions for mediation and arbitration, so conflicts are resolved without derailing the trading relationship."</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Full lifecycle arrow spanning all stages</w:t>
            </w:r>
          </w:p>
        </w:tc>
        <w:tc>
          <w:tcPr>
            <w:tcW w:type="dxa" w:w="1800"/>
            <w:shd w:fill="F7F7F7" w:val="clear"/>
            <w:vAlign w:val="top"/>
          </w:tcPr>
          <w:p>
            <w:r>
              <w:rPr>
                <w:rFonts w:ascii="Calibri" w:cs="Calibri" w:eastAsia="Calibri" w:hAnsi="Calibri"/>
                <w:b w:val="false"/>
                <w:bCs w:val="false"/>
                <w:sz w:val="17"/>
                <w:szCs w:val="17"/>
              </w:rPr>
              <w:t xml:space="preserve">Complete Journey</w:t>
            </w:r>
          </w:p>
        </w:tc>
        <w:tc>
          <w:tcPr>
            <w:tcW w:type="dxa" w:w="3500"/>
            <w:shd w:fill="F7F7F7" w:val="clear"/>
            <w:vAlign w:val="top"/>
          </w:tcPr>
          <w:p>
            <w:r>
              <w:rPr>
                <w:rFonts w:ascii="Calibri" w:cs="Calibri" w:eastAsia="Calibri" w:hAnsi="Calibri"/>
                <w:b w:val="false"/>
                <w:bCs w:val="false"/>
                <w:sz w:val="17"/>
                <w:szCs w:val="17"/>
              </w:rPr>
              <w:t xml:space="preserve">Aria: "So the ISDA framework supports the trade all the way: initiation, documentation, execution, ongoing cash flows, risk management, reporting, and if needed, dispute resolution?"</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worked example summary</w:t>
            </w:r>
          </w:p>
        </w:tc>
        <w:tc>
          <w:tcPr>
            <w:tcW w:type="dxa" w:w="1800"/>
            <w:shd w:fill="FFFFFF" w:val="clear"/>
            <w:vAlign w:val="top"/>
          </w:tcPr>
          <w:p>
            <w:r>
              <w:rPr>
                <w:rFonts w:ascii="Calibri" w:cs="Calibri" w:eastAsia="Calibri" w:hAnsi="Calibri"/>
                <w:b w:val="false"/>
                <w:bCs w:val="false"/>
                <w:sz w:val="17"/>
                <w:szCs w:val="17"/>
              </w:rPr>
              <w:t xml:space="preserve">Worked Example Summary</w:t>
            </w:r>
          </w:p>
        </w:tc>
        <w:tc>
          <w:tcPr>
            <w:tcW w:type="dxa" w:w="3500"/>
            <w:shd w:fill="FFFFFF" w:val="clear"/>
            <w:vAlign w:val="top"/>
          </w:tcPr>
          <w:p>
            <w:r>
              <w:rPr>
                <w:rFonts w:ascii="Calibri" w:cs="Calibri" w:eastAsia="Calibri" w:hAnsi="Calibri"/>
                <w:b w:val="false"/>
                <w:bCs w:val="false"/>
                <w:sz w:val="17"/>
                <w:szCs w:val="17"/>
              </w:rPr>
              <w:t xml:space="preserve">Aria: "Worked example: Bank A with variable-rate and Bank B with fixed-rate use the ISDA IMA as framework, short form confirmation for terms, legal review aligns documents, ongoing transactions use same framework, IMA provisions handle default, termination, and collateral, and dispute resolution via mediation or arbitration."</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Real world examples preview</w:t>
            </w:r>
          </w:p>
        </w:tc>
        <w:tc>
          <w:tcPr>
            <w:tcW w:type="dxa" w:w="1800"/>
            <w:shd w:fill="F7F7F7" w:val="clear"/>
            <w:vAlign w:val="top"/>
          </w:tcPr>
          <w:p>
            <w:r>
              <w:rPr>
                <w:rFonts w:ascii="Calibri" w:cs="Calibri" w:eastAsia="Calibri" w:hAnsi="Calibri"/>
                <w:b w:val="false"/>
                <w:bCs w:val="false"/>
                <w:sz w:val="17"/>
                <w:szCs w:val="17"/>
              </w:rPr>
              <w:t xml:space="preserve">Next: Real World Examples</w:t>
            </w:r>
          </w:p>
        </w:tc>
        <w:tc>
          <w:tcPr>
            <w:tcW w:type="dxa" w:w="3500"/>
            <w:shd w:fill="F7F7F7" w:val="clear"/>
            <w:vAlign w:val="top"/>
          </w:tcPr>
          <w:p>
            <w:r>
              <w:rPr>
                <w:rFonts w:ascii="Calibri" w:cs="Calibri" w:eastAsia="Calibri" w:hAnsi="Calibri"/>
                <w:b w:val="false"/>
                <w:bCs w:val="false"/>
                <w:sz w:val="17"/>
                <w:szCs w:val="17"/>
              </w:rPr>
              <w:t xml:space="preserve">Ryo: "Finally - we look at real-world OTC events that shaped markets and regulation."</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ISDA.9 complete - Next: ISDA.10 Real World OTC &amp; ISDA Examples</w:t>
      </w:r>
    </w:p>
    <w:p>
      <w:r>
        <w:br w:type="page"/>
      </w:r>
    </w:p>
    <w:p>
      <w:pPr>
        <w:shd w:fill="1E3A5F" w:val="clear"/>
        <w:spacing w:after="200" w:before="200"/>
        <w:ind w:left="200"/>
      </w:pPr>
      <w:r>
        <w:rPr>
          <w:rFonts w:ascii="Calibri" w:cs="Calibri" w:eastAsia="Calibri" w:hAnsi="Calibri"/>
          <w:b/>
          <w:bCs/>
          <w:color w:val="FFFFFF"/>
          <w:sz w:val="28"/>
          <w:szCs w:val="28"/>
        </w:rPr>
        <w:t xml:space="preserve">ISDA.10 | Real World OTC &amp; ISDA Examples</w:t>
      </w: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SC10.1 - Identify real-world OTC trade scenarios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ISDA.10</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Real World OTC &amp; ISDA Examples</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SC10.1 - Identify real-world OTC trade scenarios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APPLY</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58-61</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Historical crisis newspaper montage graphic</w:t>
            </w:r>
          </w:p>
        </w:tc>
        <w:tc>
          <w:tcPr>
            <w:tcW w:type="dxa" w:w="1800"/>
            <w:shd w:fill="FFFFFF" w:val="clear"/>
            <w:vAlign w:val="top"/>
          </w:tcPr>
          <w:p>
            <w:r>
              <w:rPr>
                <w:rFonts w:ascii="Calibri" w:cs="Calibri" w:eastAsia="Calibri" w:hAnsi="Calibri"/>
                <w:b w:val="false"/>
                <w:bCs w:val="false"/>
                <w:sz w:val="17"/>
                <w:szCs w:val="17"/>
              </w:rPr>
              <w:t xml:space="preserve">When OTC Goes Wrong</w:t>
            </w:r>
          </w:p>
        </w:tc>
        <w:tc>
          <w:tcPr>
            <w:tcW w:type="dxa" w:w="3500"/>
            <w:shd w:fill="FFFFFF" w:val="clear"/>
            <w:vAlign w:val="top"/>
          </w:tcPr>
          <w:p>
            <w:r>
              <w:rPr>
                <w:rFonts w:ascii="Calibri" w:cs="Calibri" w:eastAsia="Calibri" w:hAnsi="Calibri"/>
                <w:b w:val="false"/>
                <w:bCs w:val="false"/>
                <w:sz w:val="17"/>
                <w:szCs w:val="17"/>
              </w:rPr>
              <w:t xml:space="preserve">Aria: "Ryo, slides 58 to 61 cover five real-world OTC events. Can we go through them?"</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58 - LTCM 1998</w:t>
            </w:r>
          </w:p>
        </w:tc>
        <w:tc>
          <w:tcPr>
            <w:tcW w:type="dxa" w:w="1800"/>
            <w:shd w:fill="F7F7F7" w:val="clear"/>
            <w:vAlign w:val="top"/>
          </w:tcPr>
          <w:p>
            <w:r>
              <w:rPr>
                <w:rFonts w:ascii="Calibri" w:cs="Calibri" w:eastAsia="Calibri" w:hAnsi="Calibri"/>
                <w:b w:val="false"/>
                <w:bCs w:val="false"/>
                <w:sz w:val="17"/>
                <w:szCs w:val="17"/>
              </w:rPr>
              <w:t xml:space="preserve">LTCM Crisis 1998</w:t>
            </w:r>
          </w:p>
        </w:tc>
        <w:tc>
          <w:tcPr>
            <w:tcW w:type="dxa" w:w="3500"/>
            <w:shd w:fill="F7F7F7" w:val="clear"/>
            <w:vAlign w:val="top"/>
          </w:tcPr>
          <w:p>
            <w:r>
              <w:rPr>
                <w:rFonts w:ascii="Calibri" w:cs="Calibri" w:eastAsia="Calibri" w:hAnsi="Calibri"/>
                <w:b w:val="false"/>
                <w:bCs w:val="false"/>
                <w:sz w:val="17"/>
                <w:szCs w:val="17"/>
              </w:rPr>
              <w:t xml:space="preserve">Ryo: "First: Long-Term Capital Management Crisis, 1998. LTCM was a hedge fund led by Nobel laureates and financial experts. It engaged in complex OTC derivatives transactions particularly in fixed-income markets. The fund's highly leveraged and interconnected positions led to massive losses, and a consortium of banks had to intervene to prevent a broader financial crisis."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Slide 59 - Subprime crisis 2007-2008</w:t>
            </w:r>
          </w:p>
        </w:tc>
        <w:tc>
          <w:tcPr>
            <w:tcW w:type="dxa" w:w="1800"/>
            <w:shd w:fill="FFFFFF" w:val="clear"/>
            <w:vAlign w:val="top"/>
          </w:tcPr>
          <w:p>
            <w:r>
              <w:rPr>
                <w:rFonts w:ascii="Calibri" w:cs="Calibri" w:eastAsia="Calibri" w:hAnsi="Calibri"/>
                <w:b w:val="false"/>
                <w:bCs w:val="false"/>
                <w:sz w:val="17"/>
                <w:szCs w:val="17"/>
              </w:rPr>
              <w:t xml:space="preserve">Subprime Crisis 2007-2008</w:t>
            </w:r>
          </w:p>
        </w:tc>
        <w:tc>
          <w:tcPr>
            <w:tcW w:type="dxa" w:w="3500"/>
            <w:shd w:fill="FFFFFF" w:val="clear"/>
            <w:vAlign w:val="top"/>
          </w:tcPr>
          <w:p>
            <w:r>
              <w:rPr>
                <w:rFonts w:ascii="Calibri" w:cs="Calibri" w:eastAsia="Calibri" w:hAnsi="Calibri"/>
                <w:b w:val="false"/>
                <w:bCs w:val="false"/>
                <w:sz w:val="17"/>
                <w:szCs w:val="17"/>
              </w:rPr>
              <w:t xml:space="preserve">Ryo: "Second: the Subprime Mortgage Crisis 2007 to 2008. OTC derivatives tied to mortgage-backed securities - particularly CDOs and credit default swaps - were central. When the US housing market collapsed, interconnectedness through OTC transactions amplified the impact globally. Lehman Brothers' bankruptcy in 2008 highlighted the vulnerability of heavily OTC-exposed institutions."</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60 - European Sovereign Debt 2010-2012</w:t>
            </w:r>
          </w:p>
        </w:tc>
        <w:tc>
          <w:tcPr>
            <w:tcW w:type="dxa" w:w="1800"/>
            <w:shd w:fill="F7F7F7" w:val="clear"/>
            <w:vAlign w:val="top"/>
          </w:tcPr>
          <w:p>
            <w:r>
              <w:rPr>
                <w:rFonts w:ascii="Calibri" w:cs="Calibri" w:eastAsia="Calibri" w:hAnsi="Calibri"/>
                <w:b w:val="false"/>
                <w:bCs w:val="false"/>
                <w:sz w:val="17"/>
                <w:szCs w:val="17"/>
              </w:rPr>
              <w:t xml:space="preserve">European Sovereign Debt 2010-2012</w:t>
            </w:r>
          </w:p>
        </w:tc>
        <w:tc>
          <w:tcPr>
            <w:tcW w:type="dxa" w:w="3500"/>
            <w:shd w:fill="F7F7F7" w:val="clear"/>
            <w:vAlign w:val="top"/>
          </w:tcPr>
          <w:p>
            <w:r>
              <w:rPr>
                <w:rFonts w:ascii="Calibri" w:cs="Calibri" w:eastAsia="Calibri" w:hAnsi="Calibri"/>
                <w:b w:val="false"/>
                <w:bCs w:val="false"/>
                <w:sz w:val="17"/>
                <w:szCs w:val="17"/>
              </w:rPr>
              <w:t xml:space="preserve">Ryo: "Third: European Sovereign Debt Crisis, 2010 to 2012. OTC derivatives - particularly credit default swaps - were used to hedge exposure to sovereign debt. The interconnectedness of European banks through OTC transactions exacerbated the contagion. The crisis led to bailouts and increased regulatory scrutiny of sovereign debt-related OTC derivatives."</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Swiss Franc and Euro de-peg graphic</w:t>
            </w:r>
          </w:p>
        </w:tc>
        <w:tc>
          <w:tcPr>
            <w:tcW w:type="dxa" w:w="1800"/>
            <w:shd w:fill="FFFFFF" w:val="clear"/>
            <w:vAlign w:val="top"/>
          </w:tcPr>
          <w:p>
            <w:r>
              <w:rPr>
                <w:rFonts w:ascii="Calibri" w:cs="Calibri" w:eastAsia="Calibri" w:hAnsi="Calibri"/>
                <w:b w:val="false"/>
                <w:bCs w:val="false"/>
                <w:sz w:val="17"/>
                <w:szCs w:val="17"/>
              </w:rPr>
              <w:t xml:space="preserve">Swiss Franc De-pegging 2015</w:t>
            </w:r>
          </w:p>
        </w:tc>
        <w:tc>
          <w:tcPr>
            <w:tcW w:type="dxa" w:w="3500"/>
            <w:shd w:fill="FFFFFF" w:val="clear"/>
            <w:vAlign w:val="top"/>
          </w:tcPr>
          <w:p>
            <w:r>
              <w:rPr>
                <w:rFonts w:ascii="Calibri" w:cs="Calibri" w:eastAsia="Calibri" w:hAnsi="Calibri"/>
                <w:b w:val="false"/>
                <w:bCs w:val="false"/>
                <w:sz w:val="17"/>
                <w:szCs w:val="17"/>
              </w:rPr>
              <w:t xml:space="preserve">Ryo: "Fourth: Swiss Franc De-pegging, 2015. The Swiss National Bank's unexpected decision to de-peg the Swiss Franc from the Euro caused significant losses for market participants holding OTC derivatives tied to currency values, highlighting risks of currency-related OTC transactions."</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Slide 61 - Archegos 2021</w:t>
            </w:r>
          </w:p>
        </w:tc>
        <w:tc>
          <w:tcPr>
            <w:tcW w:type="dxa" w:w="1800"/>
            <w:shd w:fill="F7F7F7" w:val="clear"/>
            <w:vAlign w:val="top"/>
          </w:tcPr>
          <w:p>
            <w:r>
              <w:rPr>
                <w:rFonts w:ascii="Calibri" w:cs="Calibri" w:eastAsia="Calibri" w:hAnsi="Calibri"/>
                <w:b w:val="false"/>
                <w:bCs w:val="false"/>
                <w:sz w:val="17"/>
                <w:szCs w:val="17"/>
              </w:rPr>
              <w:t xml:space="preserve">Archegos Collapse 2021</w:t>
            </w:r>
          </w:p>
        </w:tc>
        <w:tc>
          <w:tcPr>
            <w:tcW w:type="dxa" w:w="3500"/>
            <w:shd w:fill="F7F7F7" w:val="clear"/>
            <w:vAlign w:val="top"/>
          </w:tcPr>
          <w:p>
            <w:r>
              <w:rPr>
                <w:rFonts w:ascii="Calibri" w:cs="Calibri" w:eastAsia="Calibri" w:hAnsi="Calibri"/>
                <w:b w:val="false"/>
                <w:bCs w:val="false"/>
                <w:sz w:val="17"/>
                <w:szCs w:val="17"/>
              </w:rPr>
              <w:t xml:space="preserve">Ryo: "Fifth: Archegos Capital Management Collapse, 2021. Archegos, a family office, faced margin calls on leveraged equity positions. The unwinding of its OTC derivatives transactions led to significant losses for major banks involved, raising questions about risk management, transparency, and systemic impact of large OTC derivative positions."</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five events timeline</w:t>
            </w:r>
          </w:p>
        </w:tc>
        <w:tc>
          <w:tcPr>
            <w:tcW w:type="dxa" w:w="1800"/>
            <w:shd w:fill="FFFFFF" w:val="clear"/>
            <w:vAlign w:val="top"/>
          </w:tcPr>
          <w:p>
            <w:r>
              <w:rPr>
                <w:rFonts w:ascii="Calibri" w:cs="Calibri" w:eastAsia="Calibri" w:hAnsi="Calibri"/>
                <w:b w:val="false"/>
                <w:bCs w:val="false"/>
                <w:sz w:val="17"/>
                <w:szCs w:val="17"/>
              </w:rPr>
              <w:t xml:space="preserve">Five Real-World Events</w:t>
            </w:r>
          </w:p>
        </w:tc>
        <w:tc>
          <w:tcPr>
            <w:tcW w:type="dxa" w:w="3500"/>
            <w:shd w:fill="FFFFFF" w:val="clear"/>
            <w:vAlign w:val="top"/>
          </w:tcPr>
          <w:p>
            <w:r>
              <w:rPr>
                <w:rFonts w:ascii="Calibri" w:cs="Calibri" w:eastAsia="Calibri" w:hAnsi="Calibri"/>
                <w:b w:val="false"/>
                <w:bCs w:val="false"/>
                <w:sz w:val="17"/>
                <w:szCs w:val="17"/>
              </w:rPr>
              <w:t xml:space="preserve">Aria: "Five landmark OTC events: LTCM 1998, Subprime Crisis 2007 to 2008, European Sovereign Debt Crisis 2010 to 2012, Swiss Franc De-pegging 2015, and Archegos Collapse 2021 - each demonstrating how OTC market interconnectedness can amplify systemic risk."</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ISDA framework overlay graphic</w:t>
            </w:r>
          </w:p>
        </w:tc>
        <w:tc>
          <w:tcPr>
            <w:tcW w:type="dxa" w:w="1800"/>
            <w:shd w:fill="F7F7F7" w:val="clear"/>
            <w:vAlign w:val="top"/>
          </w:tcPr>
          <w:p>
            <w:r>
              <w:rPr>
                <w:rFonts w:ascii="Calibri" w:cs="Calibri" w:eastAsia="Calibri" w:hAnsi="Calibri"/>
                <w:b w:val="false"/>
                <w:bCs w:val="false"/>
                <w:sz w:val="17"/>
                <w:szCs w:val="17"/>
              </w:rPr>
              <w:t xml:space="preserve">Next: Apply ISDA Framework</w:t>
            </w:r>
          </w:p>
        </w:tc>
        <w:tc>
          <w:tcPr>
            <w:tcW w:type="dxa" w:w="3500"/>
            <w:shd w:fill="F7F7F7" w:val="clear"/>
            <w:vAlign w:val="top"/>
          </w:tcPr>
          <w:p>
            <w:r>
              <w:rPr>
                <w:rFonts w:ascii="Calibri" w:cs="Calibri" w:eastAsia="Calibri" w:hAnsi="Calibri"/>
                <w:b w:val="false"/>
                <w:bCs w:val="false"/>
                <w:sz w:val="17"/>
                <w:szCs w:val="17"/>
              </w:rPr>
              <w:t xml:space="preserve">Ryo: "Next - we apply the ISDA framework lens to these examples to see how ISDA provisions respond to real events."</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SC10.2 - Apply ISDA framework to examples</w:t>
      </w:r>
    </w:p>
    <w:p>
      <w:pPr>
        <w:pBdr>
          <w:bottom w:val="single" w:color="005F5F" w:sz="6"/>
        </w:pBdr>
        <w:spacing w:after="200" w:before="200"/>
      </w:pPr>
    </w:p>
    <w:p>
      <w:pPr>
        <w:spacing w:after="80" w:before="80"/>
      </w:pPr>
      <w:r>
        <w:t xml:space="preserve"/>
      </w:r>
    </w:p>
    <w:p>
      <w:pPr>
        <w:shd w:fill="005F5F" w:val="clear"/>
        <w:spacing w:after="120" w:before="160"/>
        <w:ind w:left="200"/>
      </w:pPr>
      <w:r>
        <w:rPr>
          <w:rFonts w:ascii="Calibri" w:cs="Calibri" w:eastAsia="Calibri" w:hAnsi="Calibri"/>
          <w:b/>
          <w:bCs/>
          <w:color w:val="FFFFFF"/>
          <w:sz w:val="22"/>
          <w:szCs w:val="22"/>
        </w:rPr>
        <w:t xml:space="preserve">SC10.2 - Apply ISDA framework to examples</w:t>
      </w:r>
    </w:p>
    <w:p>
      <w:pPr>
        <w:spacing w:after="80" w:before="80"/>
      </w:pPr>
      <w:r>
        <w:t xml:space="preserve"/>
      </w:r>
    </w:p>
    <w:p>
      <w:r>
        <w:rPr>
          <w:rFonts w:ascii="Calibri" w:cs="Calibri" w:eastAsia="Calibri" w:hAnsi="Calibri"/>
          <w:b/>
          <w:bCs/>
          <w:i/>
          <w:iCs/>
          <w:color w:val="1E3A5F"/>
          <w:sz w:val="20"/>
          <w:szCs w:val="20"/>
        </w:rPr>
        <w:t xml:space="preserve">Part A - Internal Mapping Table</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gridSpan w:val="2"/>
            <w:shd w:fill="D5E3F0" w:val="clear"/>
          </w:tcPr>
          <w:p>
            <w:pPr>
              <w:jc w:val="center"/>
            </w:pPr>
            <w:r>
              <w:rPr>
                <w:rFonts w:ascii="Calibri" w:cs="Calibri" w:eastAsia="Calibri" w:hAnsi="Calibri"/>
                <w:b/>
                <w:bCs/>
                <w:color w:val="1E3A5F"/>
                <w:sz w:val="20"/>
                <w:szCs w:val="20"/>
              </w:rPr>
              <w:t xml:space="preserve">Internal Mapping Table</w:t>
            </w:r>
          </w:p>
        </w:tc>
      </w:tr>
      <w:tr>
        <w:tc>
          <w:tcPr>
            <w:tcW w:type="dxa" w:w="2500"/>
            <w:shd w:fill="F7F7F7" w:val="clear"/>
          </w:tcPr>
          <w:p>
            <w:r>
              <w:rPr>
                <w:rFonts w:ascii="Calibri" w:cs="Calibri" w:eastAsia="Calibri" w:hAnsi="Calibri"/>
                <w:b/>
                <w:bCs/>
                <w:color w:val="1E3A5F"/>
                <w:sz w:val="18"/>
                <w:szCs w:val="18"/>
              </w:rPr>
              <w:t xml:space="preserve">UOR ID</w:t>
            </w:r>
          </w:p>
        </w:tc>
        <w:tc>
          <w:p>
            <w:r>
              <w:rPr>
                <w:rFonts w:ascii="Calibri" w:cs="Calibri" w:eastAsia="Calibri" w:hAnsi="Calibri"/>
                <w:sz w:val="18"/>
                <w:szCs w:val="18"/>
              </w:rPr>
              <w:t xml:space="preserve">ISDA.10</w:t>
            </w:r>
          </w:p>
        </w:tc>
      </w:tr>
      <w:tr>
        <w:tc>
          <w:tcPr>
            <w:tcW w:type="dxa" w:w="2500"/>
            <w:shd w:fill="F7F7F7" w:val="clear"/>
          </w:tcPr>
          <w:p>
            <w:r>
              <w:rPr>
                <w:rFonts w:ascii="Calibri" w:cs="Calibri" w:eastAsia="Calibri" w:hAnsi="Calibri"/>
                <w:b/>
                <w:bCs/>
                <w:color w:val="1E3A5F"/>
                <w:sz w:val="18"/>
                <w:szCs w:val="18"/>
              </w:rPr>
              <w:t xml:space="preserve">UOR Title</w:t>
            </w:r>
          </w:p>
        </w:tc>
        <w:tc>
          <w:p>
            <w:r>
              <w:rPr>
                <w:rFonts w:ascii="Calibri" w:cs="Calibri" w:eastAsia="Calibri" w:hAnsi="Calibri"/>
                <w:sz w:val="18"/>
                <w:szCs w:val="18"/>
              </w:rPr>
              <w:t xml:space="preserve">Real World OTC &amp; ISDA Examples</w:t>
            </w:r>
          </w:p>
        </w:tc>
      </w:tr>
      <w:tr>
        <w:tc>
          <w:tcPr>
            <w:tcW w:type="dxa" w:w="2500"/>
            <w:shd w:fill="F7F7F7" w:val="clear"/>
          </w:tcPr>
          <w:p>
            <w:r>
              <w:rPr>
                <w:rFonts w:ascii="Calibri" w:cs="Calibri" w:eastAsia="Calibri" w:hAnsi="Calibri"/>
                <w:b/>
                <w:bCs/>
                <w:color w:val="1E3A5F"/>
                <w:sz w:val="18"/>
                <w:szCs w:val="18"/>
              </w:rPr>
              <w:t xml:space="preserve">Sub-Competency</w:t>
            </w:r>
          </w:p>
        </w:tc>
        <w:tc>
          <w:p>
            <w:r>
              <w:rPr>
                <w:rFonts w:ascii="Calibri" w:cs="Calibri" w:eastAsia="Calibri" w:hAnsi="Calibri"/>
                <w:sz w:val="18"/>
                <w:szCs w:val="18"/>
              </w:rPr>
              <w:t xml:space="preserve">SC10.2 - Apply ISDA framework to examples</w:t>
            </w:r>
          </w:p>
        </w:tc>
      </w:tr>
      <w:tr>
        <w:tc>
          <w:tcPr>
            <w:tcW w:type="dxa" w:w="2500"/>
            <w:shd w:fill="F7F7F7" w:val="clear"/>
          </w:tcPr>
          <w:p>
            <w:r>
              <w:rPr>
                <w:rFonts w:ascii="Calibri" w:cs="Calibri" w:eastAsia="Calibri" w:hAnsi="Calibri"/>
                <w:b/>
                <w:bCs/>
                <w:color w:val="1E3A5F"/>
                <w:sz w:val="18"/>
                <w:szCs w:val="18"/>
              </w:rPr>
              <w:t xml:space="preserve">EAR Verb</w:t>
            </w:r>
          </w:p>
        </w:tc>
        <w:tc>
          <w:p>
            <w:r>
              <w:rPr>
                <w:rFonts w:ascii="Calibri" w:cs="Calibri" w:eastAsia="Calibri" w:hAnsi="Calibri"/>
                <w:sz w:val="18"/>
                <w:szCs w:val="18"/>
              </w:rPr>
              <w:t xml:space="preserve">ANALYSE</w:t>
            </w:r>
          </w:p>
        </w:tc>
      </w:tr>
      <w:tr>
        <w:tc>
          <w:tcPr>
            <w:tcW w:type="dxa" w:w="2500"/>
            <w:shd w:fill="F7F7F7" w:val="clear"/>
          </w:tcPr>
          <w:p>
            <w:r>
              <w:rPr>
                <w:rFonts w:ascii="Calibri" w:cs="Calibri" w:eastAsia="Calibri" w:hAnsi="Calibri"/>
                <w:b/>
                <w:bCs/>
                <w:color w:val="1E3A5F"/>
                <w:sz w:val="18"/>
                <w:szCs w:val="18"/>
              </w:rPr>
              <w:t xml:space="preserve">Video Format</w:t>
            </w:r>
          </w:p>
        </w:tc>
        <w:tc>
          <w:p>
            <w:r>
              <w:rPr>
                <w:rFonts w:ascii="Calibri" w:cs="Calibri" w:eastAsia="Calibri" w:hAnsi="Calibri"/>
                <w:sz w:val="18"/>
                <w:szCs w:val="18"/>
              </w:rPr>
              <w:t xml:space="preserve">RYO + ARIA dialogue</w:t>
            </w:r>
          </w:p>
        </w:tc>
      </w:tr>
      <w:tr>
        <w:tc>
          <w:tcPr>
            <w:tcW w:type="dxa" w:w="2500"/>
            <w:shd w:fill="F7F7F7" w:val="clear"/>
          </w:tcPr>
          <w:p>
            <w:r>
              <w:rPr>
                <w:rFonts w:ascii="Calibri" w:cs="Calibri" w:eastAsia="Calibri" w:hAnsi="Calibri"/>
                <w:b/>
                <w:bCs/>
                <w:color w:val="1E3A5F"/>
                <w:sz w:val="18"/>
                <w:szCs w:val="18"/>
              </w:rPr>
              <w:t xml:space="preserve">Duration</w:t>
            </w:r>
          </w:p>
        </w:tc>
        <w:tc>
          <w:p>
            <w:r>
              <w:rPr>
                <w:rFonts w:ascii="Calibri" w:cs="Calibri" w:eastAsia="Calibri" w:hAnsi="Calibri"/>
                <w:sz w:val="18"/>
                <w:szCs w:val="18"/>
              </w:rPr>
              <w:t xml:space="preserve">~3-4 minutes</w:t>
            </w:r>
          </w:p>
        </w:tc>
      </w:tr>
      <w:tr>
        <w:tc>
          <w:tcPr>
            <w:tcW w:type="dxa" w:w="2500"/>
            <w:shd w:fill="F7F7F7" w:val="clear"/>
          </w:tcPr>
          <w:p>
            <w:r>
              <w:rPr>
                <w:rFonts w:ascii="Calibri" w:cs="Calibri" w:eastAsia="Calibri" w:hAnsi="Calibri"/>
                <w:b/>
                <w:bCs/>
                <w:color w:val="1E3A5F"/>
                <w:sz w:val="18"/>
                <w:szCs w:val="18"/>
              </w:rPr>
              <w:t xml:space="preserve">Slide Reference</w:t>
            </w:r>
          </w:p>
        </w:tc>
        <w:tc>
          <w:p>
            <w:r>
              <w:rPr>
                <w:rFonts w:ascii="Calibri" w:cs="Calibri" w:eastAsia="Calibri" w:hAnsi="Calibri"/>
                <w:sz w:val="18"/>
                <w:szCs w:val="18"/>
              </w:rPr>
              <w:t xml:space="preserve">Slides 58-61</w:t>
            </w:r>
          </w:p>
        </w:tc>
      </w:tr>
    </w:tbl>
    <w:p>
      <w:pPr>
        <w:spacing w:after="80" w:before="80"/>
      </w:pPr>
      <w:r>
        <w:t xml:space="preserve"/>
      </w:r>
    </w:p>
    <w:p>
      <w:r>
        <w:rPr>
          <w:rFonts w:ascii="Calibri" w:cs="Calibri" w:eastAsia="Calibri" w:hAnsi="Calibri"/>
          <w:b/>
          <w:bCs/>
          <w:i/>
          <w:iCs/>
          <w:color w:val="005F5F"/>
          <w:sz w:val="20"/>
          <w:szCs w:val="20"/>
        </w:rPr>
        <w:t xml:space="preserve">Part B - Production Script</w:t>
      </w:r>
    </w:p>
    <w:p>
      <w:pPr>
        <w:spacing w:after="80" w:before="80"/>
      </w:pPr>
      <w:r>
        <w:t xml:space="preserve"/>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c>
          <w:tcPr>
            <w:tcW w:type="dxa" w:w="400"/>
            <w:shd w:fill="D4EFEF" w:val="clear"/>
          </w:tcPr>
          <w:p>
            <w:pPr>
              <w:jc w:val="center"/>
            </w:pPr>
            <w:r>
              <w:rPr>
                <w:rFonts w:ascii="Calibri" w:cs="Calibri" w:eastAsia="Calibri" w:hAnsi="Calibri"/>
                <w:b/>
                <w:bCs/>
                <w:color w:val="005F5F"/>
                <w:sz w:val="18"/>
                <w:szCs w:val="18"/>
              </w:rPr>
              <w:t xml:space="preserve">#</w:t>
            </w:r>
          </w:p>
        </w:tc>
        <w:tc>
          <w:tcPr>
            <w:tcW w:type="dxa" w:w="900"/>
            <w:shd w:fill="D4EFEF" w:val="clear"/>
          </w:tcPr>
          <w:p>
            <w:pPr>
              <w:jc w:val="center"/>
            </w:pPr>
            <w:r>
              <w:rPr>
                <w:rFonts w:ascii="Calibri" w:cs="Calibri" w:eastAsia="Calibri" w:hAnsi="Calibri"/>
                <w:b/>
                <w:bCs/>
                <w:color w:val="005F5F"/>
                <w:sz w:val="18"/>
                <w:szCs w:val="18"/>
              </w:rPr>
              <w:t xml:space="preserve">Character</w:t>
            </w:r>
          </w:p>
        </w:tc>
        <w:tc>
          <w:tcPr>
            <w:tcW w:type="dxa" w:w="2000"/>
            <w:shd w:fill="D4EFEF" w:val="clear"/>
          </w:tcPr>
          <w:p>
            <w:pPr>
              <w:jc w:val="center"/>
            </w:pPr>
            <w:r>
              <w:rPr>
                <w:rFonts w:ascii="Calibri" w:cs="Calibri" w:eastAsia="Calibri" w:hAnsi="Calibri"/>
                <w:b/>
                <w:bCs/>
                <w:color w:val="005F5F"/>
                <w:sz w:val="18"/>
                <w:szCs w:val="18"/>
              </w:rPr>
              <w:t xml:space="preserve">Visual Cue</w:t>
            </w:r>
          </w:p>
        </w:tc>
        <w:tc>
          <w:tcPr>
            <w:tcW w:type="dxa" w:w="1800"/>
            <w:shd w:fill="D4EFEF" w:val="clear"/>
          </w:tcPr>
          <w:p>
            <w:pPr>
              <w:jc w:val="center"/>
            </w:pPr>
            <w:r>
              <w:rPr>
                <w:rFonts w:ascii="Calibri" w:cs="Calibri" w:eastAsia="Calibri" w:hAnsi="Calibri"/>
                <w:b/>
                <w:bCs/>
                <w:color w:val="005F5F"/>
                <w:sz w:val="18"/>
                <w:szCs w:val="18"/>
              </w:rPr>
              <w:t xml:space="preserve">On-Screen Text</w:t>
            </w:r>
          </w:p>
        </w:tc>
        <w:tc>
          <w:tcPr>
            <w:tcW w:type="dxa" w:w="3500"/>
            <w:shd w:fill="D4EFEF" w:val="clear"/>
          </w:tcPr>
          <w:p>
            <w:pPr>
              <w:jc w:val="center"/>
            </w:pPr>
            <w:r>
              <w:rPr>
                <w:rFonts w:ascii="Calibri" w:cs="Calibri" w:eastAsia="Calibri" w:hAnsi="Calibri"/>
                <w:b/>
                <w:bCs/>
                <w:color w:val="005F5F"/>
                <w:sz w:val="18"/>
                <w:szCs w:val="18"/>
              </w:rPr>
              <w:t xml:space="preserve">Voice Over</w:t>
            </w:r>
          </w:p>
        </w:tc>
      </w:tr>
      <w:tr>
        <w:tc>
          <w:tcPr>
            <w:tcW w:type="dxa" w:w="400"/>
            <w:shd w:fill="FFFFFF" w:val="clear"/>
            <w:vAlign w:val="top"/>
          </w:tcPr>
          <w:p>
            <w:r>
              <w:rPr>
                <w:rFonts w:ascii="Calibri" w:cs="Calibri" w:eastAsia="Calibri" w:hAnsi="Calibri"/>
                <w:b w:val="false"/>
                <w:bCs w:val="false"/>
                <w:sz w:val="17"/>
                <w:szCs w:val="17"/>
              </w:rPr>
              <w:t xml:space="preserve">1</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ISDA document overlaid on crisis graphic</w:t>
            </w:r>
          </w:p>
        </w:tc>
        <w:tc>
          <w:tcPr>
            <w:tcW w:type="dxa" w:w="1800"/>
            <w:shd w:fill="FFFFFF" w:val="clear"/>
            <w:vAlign w:val="top"/>
          </w:tcPr>
          <w:p>
            <w:r>
              <w:rPr>
                <w:rFonts w:ascii="Calibri" w:cs="Calibri" w:eastAsia="Calibri" w:hAnsi="Calibri"/>
                <w:b w:val="false"/>
                <w:bCs w:val="false"/>
                <w:sz w:val="17"/>
                <w:szCs w:val="17"/>
              </w:rPr>
              <w:t xml:space="preserve">ISDA in a Crisis</w:t>
            </w:r>
          </w:p>
        </w:tc>
        <w:tc>
          <w:tcPr>
            <w:tcW w:type="dxa" w:w="3500"/>
            <w:shd w:fill="FFFFFF" w:val="clear"/>
            <w:vAlign w:val="top"/>
          </w:tcPr>
          <w:p>
            <w:r>
              <w:rPr>
                <w:rFonts w:ascii="Calibri" w:cs="Calibri" w:eastAsia="Calibri" w:hAnsi="Calibri"/>
                <w:b w:val="false"/>
                <w:bCs w:val="false"/>
                <w:sz w:val="17"/>
                <w:szCs w:val="17"/>
              </w:rPr>
              <w:t xml:space="preserve">Aria: "Ryo, if ISDA exists to reduce risk - why did these crises still happen?"</w:t>
            </w:r>
          </w:p>
        </w:tc>
      </w:tr>
      <w:tr>
        <w:tc>
          <w:tcPr>
            <w:tcW w:type="dxa" w:w="400"/>
            <w:shd w:fill="F7F7F7" w:val="clear"/>
            <w:vAlign w:val="top"/>
          </w:tcPr>
          <w:p>
            <w:r>
              <w:rPr>
                <w:rFonts w:ascii="Calibri" w:cs="Calibri" w:eastAsia="Calibri" w:hAnsi="Calibri"/>
                <w:b w:val="false"/>
                <w:bCs w:val="false"/>
                <w:sz w:val="17"/>
                <w:szCs w:val="17"/>
              </w:rPr>
              <w:t xml:space="preserve">2</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Systemic risk interconnectedness diagram</w:t>
            </w:r>
          </w:p>
        </w:tc>
        <w:tc>
          <w:tcPr>
            <w:tcW w:type="dxa" w:w="1800"/>
            <w:shd w:fill="F7F7F7" w:val="clear"/>
            <w:vAlign w:val="top"/>
          </w:tcPr>
          <w:p>
            <w:r>
              <w:rPr>
                <w:rFonts w:ascii="Calibri" w:cs="Calibri" w:eastAsia="Calibri" w:hAnsi="Calibri"/>
                <w:b w:val="false"/>
                <w:bCs w:val="false"/>
                <w:sz w:val="17"/>
                <w:szCs w:val="17"/>
              </w:rPr>
              <w:t xml:space="preserve">Systemic Risk</w:t>
            </w:r>
          </w:p>
        </w:tc>
        <w:tc>
          <w:tcPr>
            <w:tcW w:type="dxa" w:w="3500"/>
            <w:shd w:fill="F7F7F7" w:val="clear"/>
            <w:vAlign w:val="top"/>
          </w:tcPr>
          <w:p>
            <w:r>
              <w:rPr>
                <w:rFonts w:ascii="Calibri" w:cs="Calibri" w:eastAsia="Calibri" w:hAnsi="Calibri"/>
                <w:b w:val="false"/>
                <w:bCs w:val="false"/>
                <w:sz w:val="17"/>
                <w:szCs w:val="17"/>
              </w:rPr>
              <w:t xml:space="preserve">Ryo: "The events on slides 58 to 61 each underscored the systemic risks associated with OTC derivatives and the importance of understanding and managing risks in OTC transactions - they directly shaped ISDA's evolution and post-2008 regulatory reforms."</w:t>
            </w:r>
          </w:p>
        </w:tc>
      </w:tr>
      <w:tr>
        <w:tc>
          <w:tcPr>
            <w:tcW w:type="dxa" w:w="400"/>
            <w:shd w:fill="FFFFFF" w:val="clear"/>
            <w:vAlign w:val="top"/>
          </w:tcPr>
          <w:p>
            <w:r>
              <w:rPr>
                <w:rFonts w:ascii="Calibri" w:cs="Calibri" w:eastAsia="Calibri" w:hAnsi="Calibri"/>
                <w:b w:val="false"/>
                <w:bCs w:val="false"/>
                <w:sz w:val="17"/>
                <w:szCs w:val="17"/>
              </w:rPr>
              <w:t xml:space="preserve">3</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LTCM and Cross Default provision graphic</w:t>
            </w:r>
          </w:p>
        </w:tc>
        <w:tc>
          <w:tcPr>
            <w:tcW w:type="dxa" w:w="1800"/>
            <w:shd w:fill="FFFFFF" w:val="clear"/>
            <w:vAlign w:val="top"/>
          </w:tcPr>
          <w:p>
            <w:r>
              <w:rPr>
                <w:rFonts w:ascii="Calibri" w:cs="Calibri" w:eastAsia="Calibri" w:hAnsi="Calibri"/>
                <w:b w:val="false"/>
                <w:bCs w:val="false"/>
                <w:sz w:val="17"/>
                <w:szCs w:val="17"/>
              </w:rPr>
              <w:t xml:space="preserve">LTCM and Cross Default</w:t>
            </w:r>
          </w:p>
        </w:tc>
        <w:tc>
          <w:tcPr>
            <w:tcW w:type="dxa" w:w="3500"/>
            <w:shd w:fill="FFFFFF" w:val="clear"/>
            <w:vAlign w:val="top"/>
          </w:tcPr>
          <w:p>
            <w:r>
              <w:rPr>
                <w:rFonts w:ascii="Calibri" w:cs="Calibri" w:eastAsia="Calibri" w:hAnsi="Calibri"/>
                <w:b w:val="false"/>
                <w:bCs w:val="false"/>
                <w:sz w:val="17"/>
                <w:szCs w:val="17"/>
              </w:rPr>
              <w:t xml:space="preserve">Ryo: "In the LTCM scenario, Cross Default provisions in the ISDA Master Agreement would have been triggered - if LTCM defaulted on one financial agreement, this triggers default across related OTC derivative contracts, enabling orderly close-out netting."</w:t>
            </w:r>
          </w:p>
        </w:tc>
      </w:tr>
      <w:tr>
        <w:tc>
          <w:tcPr>
            <w:tcW w:type="dxa" w:w="400"/>
            <w:shd w:fill="F7F7F7" w:val="clear"/>
            <w:vAlign w:val="top"/>
          </w:tcPr>
          <w:p>
            <w:r>
              <w:rPr>
                <w:rFonts w:ascii="Calibri" w:cs="Calibri" w:eastAsia="Calibri" w:hAnsi="Calibri"/>
                <w:b w:val="false"/>
                <w:bCs w:val="false"/>
                <w:sz w:val="17"/>
                <w:szCs w:val="17"/>
              </w:rPr>
              <w:t xml:space="preserve">4</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Credit default swap and subprime graphic</w:t>
            </w:r>
          </w:p>
        </w:tc>
        <w:tc>
          <w:tcPr>
            <w:tcW w:type="dxa" w:w="1800"/>
            <w:shd w:fill="F7F7F7" w:val="clear"/>
            <w:vAlign w:val="top"/>
          </w:tcPr>
          <w:p>
            <w:r>
              <w:rPr>
                <w:rFonts w:ascii="Calibri" w:cs="Calibri" w:eastAsia="Calibri" w:hAnsi="Calibri"/>
                <w:b w:val="false"/>
                <w:bCs w:val="false"/>
                <w:sz w:val="17"/>
                <w:szCs w:val="17"/>
              </w:rPr>
              <w:t xml:space="preserve">Subprime and CDS</w:t>
            </w:r>
          </w:p>
        </w:tc>
        <w:tc>
          <w:tcPr>
            <w:tcW w:type="dxa" w:w="3500"/>
            <w:shd w:fill="F7F7F7" w:val="clear"/>
            <w:vAlign w:val="top"/>
          </w:tcPr>
          <w:p>
            <w:r>
              <w:rPr>
                <w:rFonts w:ascii="Calibri" w:cs="Calibri" w:eastAsia="Calibri" w:hAnsi="Calibri"/>
                <w:b w:val="false"/>
                <w:bCs w:val="false"/>
                <w:sz w:val="17"/>
                <w:szCs w:val="17"/>
              </w:rPr>
              <w:t xml:space="preserve">Ryo: "In the Subprime Crisis, credit default swaps - a key OTC product - were central. ISDA's Credit Event provisions and close-out netting are designed to manage cascading defaults, though the scale overwhelmed individual firm risk management."</w:t>
            </w:r>
          </w:p>
        </w:tc>
      </w:tr>
      <w:tr>
        <w:tc>
          <w:tcPr>
            <w:tcW w:type="dxa" w:w="400"/>
            <w:shd w:fill="FFFFFF" w:val="clear"/>
            <w:vAlign w:val="top"/>
          </w:tcPr>
          <w:p>
            <w:r>
              <w:rPr>
                <w:rFonts w:ascii="Calibri" w:cs="Calibri" w:eastAsia="Calibri" w:hAnsi="Calibri"/>
                <w:b w:val="false"/>
                <w:bCs w:val="false"/>
                <w:sz w:val="17"/>
                <w:szCs w:val="17"/>
              </w:rPr>
              <w:t xml:space="preserve">5</w:t>
            </w:r>
          </w:p>
        </w:tc>
        <w:tc>
          <w:tcPr>
            <w:tcW w:type="dxa" w:w="900"/>
            <w:shd w:fill="FFFFFF" w:val="clear"/>
            <w:vAlign w:val="top"/>
          </w:tcPr>
          <w:p>
            <w:r>
              <w:rPr>
                <w:rFonts w:ascii="Calibri" w:cs="Calibri" w:eastAsia="Calibri" w:hAnsi="Calibri"/>
                <w:b/>
                <w:bCs/>
                <w:sz w:val="17"/>
                <w:szCs w:val="17"/>
              </w:rPr>
              <w:t xml:space="preserve">RYO</w:t>
            </w:r>
          </w:p>
        </w:tc>
        <w:tc>
          <w:tcPr>
            <w:tcW w:type="dxa" w:w="2000"/>
            <w:shd w:fill="FFFFFF" w:val="clear"/>
            <w:vAlign w:val="top"/>
          </w:tcPr>
          <w:p>
            <w:r>
              <w:rPr>
                <w:rFonts w:ascii="Calibri" w:cs="Calibri" w:eastAsia="Calibri" w:hAnsi="Calibri"/>
                <w:b w:val="false"/>
                <w:bCs w:val="false"/>
                <w:sz w:val="17"/>
                <w:szCs w:val="17"/>
              </w:rPr>
              <w:t xml:space="preserve">Regulatory reform timeline graphic</w:t>
            </w:r>
          </w:p>
        </w:tc>
        <w:tc>
          <w:tcPr>
            <w:tcW w:type="dxa" w:w="1800"/>
            <w:shd w:fill="FFFFFF" w:val="clear"/>
            <w:vAlign w:val="top"/>
          </w:tcPr>
          <w:p>
            <w:r>
              <w:rPr>
                <w:rFonts w:ascii="Calibri" w:cs="Calibri" w:eastAsia="Calibri" w:hAnsi="Calibri"/>
                <w:b w:val="false"/>
                <w:bCs w:val="false"/>
                <w:sz w:val="17"/>
                <w:szCs w:val="17"/>
              </w:rPr>
              <w:t xml:space="preserve">Post-Crisis Reforms</w:t>
            </w:r>
          </w:p>
        </w:tc>
        <w:tc>
          <w:tcPr>
            <w:tcW w:type="dxa" w:w="3500"/>
            <w:shd w:fill="FFFFFF" w:val="clear"/>
            <w:vAlign w:val="top"/>
          </w:tcPr>
          <w:p>
            <w:r>
              <w:rPr>
                <w:rFonts w:ascii="Calibri" w:cs="Calibri" w:eastAsia="Calibri" w:hAnsi="Calibri"/>
                <w:b w:val="false"/>
                <w:bCs w:val="false"/>
                <w:sz w:val="17"/>
                <w:szCs w:val="17"/>
              </w:rPr>
              <w:t xml:space="preserve">Ryo: "The slides state: regulatory reforms such as those introduced after the 2008 financial crisis aim to enhance transparency, reduce counterparty risk, and improve overall market stability. This led to mandated CCP clearing via Dodd-Frank and MiFID II."</w:t>
            </w:r>
          </w:p>
        </w:tc>
      </w:tr>
      <w:tr>
        <w:tc>
          <w:tcPr>
            <w:tcW w:type="dxa" w:w="400"/>
            <w:shd w:fill="F7F7F7" w:val="clear"/>
            <w:vAlign w:val="top"/>
          </w:tcPr>
          <w:p>
            <w:r>
              <w:rPr>
                <w:rFonts w:ascii="Calibri" w:cs="Calibri" w:eastAsia="Calibri" w:hAnsi="Calibri"/>
                <w:b w:val="false"/>
                <w:bCs w:val="false"/>
                <w:sz w:val="17"/>
                <w:szCs w:val="17"/>
              </w:rPr>
              <w:t xml:space="preserve">6</w:t>
            </w:r>
          </w:p>
        </w:tc>
        <w:tc>
          <w:tcPr>
            <w:tcW w:type="dxa" w:w="900"/>
            <w:shd w:fill="F7F7F7" w:val="clear"/>
            <w:vAlign w:val="top"/>
          </w:tcPr>
          <w:p>
            <w:r>
              <w:rPr>
                <w:rFonts w:ascii="Calibri" w:cs="Calibri" w:eastAsia="Calibri" w:hAnsi="Calibri"/>
                <w:b/>
                <w:bCs/>
                <w:sz w:val="17"/>
                <w:szCs w:val="17"/>
              </w:rPr>
              <w:t xml:space="preserve">ARIA</w:t>
            </w:r>
          </w:p>
        </w:tc>
        <w:tc>
          <w:tcPr>
            <w:tcW w:type="dxa" w:w="2000"/>
            <w:shd w:fill="F7F7F7" w:val="clear"/>
            <w:vAlign w:val="top"/>
          </w:tcPr>
          <w:p>
            <w:r>
              <w:rPr>
                <w:rFonts w:ascii="Calibri" w:cs="Calibri" w:eastAsia="Calibri" w:hAnsi="Calibri"/>
                <w:b w:val="false"/>
                <w:bCs w:val="false"/>
                <w:sz w:val="17"/>
                <w:szCs w:val="17"/>
              </w:rPr>
              <w:t xml:space="preserve">Risk and transparency balance graphic</w:t>
            </w:r>
          </w:p>
        </w:tc>
        <w:tc>
          <w:tcPr>
            <w:tcW w:type="dxa" w:w="1800"/>
            <w:shd w:fill="F7F7F7" w:val="clear"/>
            <w:vAlign w:val="top"/>
          </w:tcPr>
          <w:p>
            <w:r>
              <w:rPr>
                <w:rFonts w:ascii="Calibri" w:cs="Calibri" w:eastAsia="Calibri" w:hAnsi="Calibri"/>
                <w:b w:val="false"/>
                <w:bCs w:val="false"/>
                <w:sz w:val="17"/>
                <w:szCs w:val="17"/>
              </w:rPr>
              <w:t xml:space="preserve">Lesson: Risk and Transparency</w:t>
            </w:r>
          </w:p>
        </w:tc>
        <w:tc>
          <w:tcPr>
            <w:tcW w:type="dxa" w:w="3500"/>
            <w:shd w:fill="F7F7F7" w:val="clear"/>
            <w:vAlign w:val="top"/>
          </w:tcPr>
          <w:p>
            <w:r>
              <w:rPr>
                <w:rFonts w:ascii="Calibri" w:cs="Calibri" w:eastAsia="Calibri" w:hAnsi="Calibri"/>
                <w:b w:val="false"/>
                <w:bCs w:val="false"/>
                <w:sz w:val="17"/>
                <w:szCs w:val="17"/>
              </w:rPr>
              <w:t xml:space="preserve">Aria: "So the lesson is that OTC markets provide flexibility and customisation but also pose challenges related to transparency, counterparty risk, and systemic implications?" Ryo: "Exactly as the slides state - and that is why ISDA's framework and regulatory oversight are constantly evolving."</w:t>
            </w:r>
          </w:p>
        </w:tc>
      </w:tr>
      <w:tr>
        <w:tc>
          <w:tcPr>
            <w:tcW w:type="dxa" w:w="400"/>
            <w:shd w:fill="FFFFFF" w:val="clear"/>
            <w:vAlign w:val="top"/>
          </w:tcPr>
          <w:p>
            <w:r>
              <w:rPr>
                <w:rFonts w:ascii="Calibri" w:cs="Calibri" w:eastAsia="Calibri" w:hAnsi="Calibri"/>
                <w:b w:val="false"/>
                <w:bCs w:val="false"/>
                <w:sz w:val="17"/>
                <w:szCs w:val="17"/>
              </w:rPr>
              <w:t xml:space="preserve">7</w:t>
            </w:r>
          </w:p>
        </w:tc>
        <w:tc>
          <w:tcPr>
            <w:tcW w:type="dxa" w:w="900"/>
            <w:shd w:fill="FFFFFF" w:val="clear"/>
            <w:vAlign w:val="top"/>
          </w:tcPr>
          <w:p>
            <w:r>
              <w:rPr>
                <w:rFonts w:ascii="Calibri" w:cs="Calibri" w:eastAsia="Calibri" w:hAnsi="Calibri"/>
                <w:b/>
                <w:bCs/>
                <w:sz w:val="17"/>
                <w:szCs w:val="17"/>
              </w:rPr>
              <w:t xml:space="preserve">ARIA</w:t>
            </w:r>
          </w:p>
        </w:tc>
        <w:tc>
          <w:tcPr>
            <w:tcW w:type="dxa" w:w="2000"/>
            <w:shd w:fill="FFFFFF" w:val="clear"/>
            <w:vAlign w:val="top"/>
          </w:tcPr>
          <w:p>
            <w:r>
              <w:rPr>
                <w:rFonts w:ascii="Calibri" w:cs="Calibri" w:eastAsia="Calibri" w:hAnsi="Calibri"/>
                <w:b w:val="false"/>
                <w:bCs w:val="false"/>
                <w:sz w:val="17"/>
                <w:szCs w:val="17"/>
              </w:rPr>
              <w:t xml:space="preserve">ARIA at whiteboard - module final summary</w:t>
            </w:r>
          </w:p>
        </w:tc>
        <w:tc>
          <w:tcPr>
            <w:tcW w:type="dxa" w:w="1800"/>
            <w:shd w:fill="FFFFFF" w:val="clear"/>
            <w:vAlign w:val="top"/>
          </w:tcPr>
          <w:p>
            <w:r>
              <w:rPr>
                <w:rFonts w:ascii="Calibri" w:cs="Calibri" w:eastAsia="Calibri" w:hAnsi="Calibri"/>
                <w:b w:val="false"/>
                <w:bCs w:val="false"/>
                <w:sz w:val="17"/>
                <w:szCs w:val="17"/>
              </w:rPr>
              <w:t xml:space="preserve">Module Summary</w:t>
            </w:r>
          </w:p>
        </w:tc>
        <w:tc>
          <w:tcPr>
            <w:tcW w:type="dxa" w:w="3500"/>
            <w:shd w:fill="FFFFFF" w:val="clear"/>
            <w:vAlign w:val="top"/>
          </w:tcPr>
          <w:p>
            <w:r>
              <w:rPr>
                <w:rFonts w:ascii="Calibri" w:cs="Calibri" w:eastAsia="Calibri" w:hAnsi="Calibri"/>
                <w:b w:val="false"/>
                <w:bCs w:val="false"/>
                <w:sz w:val="17"/>
                <w:szCs w:val="17"/>
              </w:rPr>
              <w:t xml:space="preserve">Aria: "To close: real-world events from LTCM to Archegos each tested OTC risk management frameworks. ISDA provisions - cross default, close-out netting, credit events - are the tools, but market-wide systemic risk requires regulatory reform alongside good documentation."</w:t>
            </w:r>
          </w:p>
        </w:tc>
      </w:tr>
      <w:tr>
        <w:tc>
          <w:tcPr>
            <w:tcW w:type="dxa" w:w="400"/>
            <w:shd w:fill="F7F7F7" w:val="clear"/>
            <w:vAlign w:val="top"/>
          </w:tcPr>
          <w:p>
            <w:r>
              <w:rPr>
                <w:rFonts w:ascii="Calibri" w:cs="Calibri" w:eastAsia="Calibri" w:hAnsi="Calibri"/>
                <w:b w:val="false"/>
                <w:bCs w:val="false"/>
                <w:sz w:val="17"/>
                <w:szCs w:val="17"/>
              </w:rPr>
              <w:t xml:space="preserve">8</w:t>
            </w:r>
          </w:p>
        </w:tc>
        <w:tc>
          <w:tcPr>
            <w:tcW w:type="dxa" w:w="900"/>
            <w:shd w:fill="F7F7F7" w:val="clear"/>
            <w:vAlign w:val="top"/>
          </w:tcPr>
          <w:p>
            <w:r>
              <w:rPr>
                <w:rFonts w:ascii="Calibri" w:cs="Calibri" w:eastAsia="Calibri" w:hAnsi="Calibri"/>
                <w:b/>
                <w:bCs/>
                <w:sz w:val="17"/>
                <w:szCs w:val="17"/>
              </w:rPr>
              <w:t xml:space="preserve">RYO</w:t>
            </w:r>
          </w:p>
        </w:tc>
        <w:tc>
          <w:tcPr>
            <w:tcW w:type="dxa" w:w="2000"/>
            <w:shd w:fill="F7F7F7" w:val="clear"/>
            <w:vAlign w:val="top"/>
          </w:tcPr>
          <w:p>
            <w:r>
              <w:rPr>
                <w:rFonts w:ascii="Calibri" w:cs="Calibri" w:eastAsia="Calibri" w:hAnsi="Calibri"/>
                <w:b w:val="false"/>
                <w:bCs w:val="false"/>
                <w:sz w:val="17"/>
                <w:szCs w:val="17"/>
              </w:rPr>
              <w:t xml:space="preserve">Module complete graphic with programme title</w:t>
            </w:r>
          </w:p>
        </w:tc>
        <w:tc>
          <w:tcPr>
            <w:tcW w:type="dxa" w:w="1800"/>
            <w:shd w:fill="F7F7F7" w:val="clear"/>
            <w:vAlign w:val="top"/>
          </w:tcPr>
          <w:p>
            <w:r>
              <w:rPr>
                <w:rFonts w:ascii="Calibri" w:cs="Calibri" w:eastAsia="Calibri" w:hAnsi="Calibri"/>
                <w:b w:val="false"/>
                <w:bCs w:val="false"/>
                <w:sz w:val="17"/>
                <w:szCs w:val="17"/>
              </w:rPr>
              <w:t xml:space="preserve">ISDA.10 Complete</w:t>
            </w:r>
          </w:p>
        </w:tc>
        <w:tc>
          <w:tcPr>
            <w:tcW w:type="dxa" w:w="3500"/>
            <w:shd w:fill="F7F7F7" w:val="clear"/>
            <w:vAlign w:val="top"/>
          </w:tcPr>
          <w:p>
            <w:r>
              <w:rPr>
                <w:rFonts w:ascii="Calibri" w:cs="Calibri" w:eastAsia="Calibri" w:hAnsi="Calibri"/>
                <w:b w:val="false"/>
                <w:bCs w:val="false"/>
                <w:sz w:val="17"/>
                <w:szCs w:val="17"/>
              </w:rPr>
              <w:t xml:space="preserve">Ryo: "That completes the ISDA and OTC Trade Life Cycle programme. From ISDA's founding purpose to real-world market crises - you now have the full picture of how derivatives markets are structured, documented, and managed."</w:t>
            </w:r>
          </w:p>
        </w:tc>
      </w:tr>
    </w:tbl>
    <w:p>
      <w:pPr>
        <w:spacing w:after="80" w:before="80"/>
      </w:pPr>
      <w:r>
        <w:t xml:space="preserve"/>
      </w:r>
    </w:p>
    <w:p>
      <w:pPr>
        <w:spacing w:after="200" w:before="200"/>
        <w:ind w:left="200"/>
      </w:pPr>
      <w:r>
        <w:rPr>
          <w:rFonts w:ascii="Calibri" w:cs="Calibri" w:eastAsia="Calibri" w:hAnsi="Calibri"/>
          <w:b/>
          <w:bCs/>
          <w:color w:val="8B6914"/>
          <w:sz w:val="20"/>
          <w:szCs w:val="20"/>
        </w:rPr>
        <w:t xml:space="preserve">Next: Module ISDA.10 complete - End of ISDA &amp; OTC Trade Life Cycle Programme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2026-06-24T13:35:38.561Z</dcterms:created>
  <dcterms:modified xsi:type="dcterms:W3CDTF">2026-06-24T13:35:38.563Z</dcterms:modified>
</cp:coreProperties>
</file>

<file path=docProps/custom.xml><?xml version="1.0" encoding="utf-8"?>
<Properties xmlns="http://schemas.openxmlformats.org/officeDocument/2006/custom-properties" xmlns:vt="http://schemas.openxmlformats.org/officeDocument/2006/docPropsVTypes"/>
</file>