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Solution Requirements</w:t>
      </w:r>
    </w:p>
    <w:p>
      <w:pPr>
        <w:jc w:val="center"/>
      </w:pPr>
      <w:r>
        <w:rPr>
          <w:i/>
          <w:color w:val="5A5A5A"/>
          <w:sz w:val="20"/>
        </w:rPr>
        <w:t>Incident Lifecycle Automation in ServiceNow</w:t>
      </w:r>
    </w:p>
    <w:p>
      <w:pPr>
        <w:pStyle w:val="Heading1"/>
      </w:pPr>
      <w:r>
        <w:rPr>
          <w:color w:val="1F4E79"/>
          <w:sz w:val="26"/>
        </w:rPr>
        <w:t>1. Purpose</w:t>
      </w:r>
    </w:p>
    <w:p>
      <w:r>
        <w:t>This document records the proposed functional and non-functional requirements for Incident Lifecycle Automation in ServiceNow. The requirements are a baseline for review and should be confirmed before implementation.</w:t>
      </w:r>
    </w:p>
    <w:p>
      <w:pPr>
        <w:pStyle w:val="Heading1"/>
      </w:pPr>
      <w:r>
        <w:rPr>
          <w:color w:val="1F4E79"/>
          <w:sz w:val="26"/>
        </w:rPr>
        <w:t>2. Functional requirements</w:t>
      </w:r>
    </w:p>
    <w:p>
      <w:pPr>
        <w:pStyle w:val="ListBullet"/>
      </w:pPr>
      <w:r>
        <w:t>FR-01 — Incident creation: authorised users can create an incident with the required information.</w:t>
      </w:r>
    </w:p>
    <w:p>
      <w:pPr>
        <w:pStyle w:val="ListBullet"/>
      </w:pPr>
      <w:r>
        <w:t>FR-02 — Categorisation: incident records support the agreed category and subcategory values.</w:t>
      </w:r>
    </w:p>
    <w:p>
      <w:pPr>
        <w:pStyle w:val="ListBullet"/>
      </w:pPr>
      <w:r>
        <w:t>FR-03 — Prioritisation: impact and urgency are used according to the approved priority approach.</w:t>
      </w:r>
    </w:p>
    <w:p>
      <w:pPr>
        <w:pStyle w:val="ListBullet"/>
      </w:pPr>
      <w:r>
        <w:t>FR-04 — Assignment: incidents can be routed to an appropriate support group and assigned where applicable.</w:t>
      </w:r>
    </w:p>
    <w:p>
      <w:pPr>
        <w:pStyle w:val="ListBullet"/>
      </w:pPr>
      <w:r>
        <w:t>FR-05 — Lifecycle tracking: incident state changes can be recorded from creation through investigation, resolution, and closure.</w:t>
      </w:r>
    </w:p>
    <w:p>
      <w:pPr>
        <w:pStyle w:val="ListBullet"/>
      </w:pPr>
      <w:r>
        <w:t>FR-06 — Workflow automation: selected repetitive steps, such as notifications or routing, may be configured using Flow Designer where suitable and approved.</w:t>
      </w:r>
    </w:p>
    <w:p>
      <w:pPr>
        <w:pStyle w:val="ListBullet"/>
      </w:pPr>
      <w:r>
        <w:t>FR-07 — Business logic: Business Rules may enforce server-side validation or record behaviour when needed.</w:t>
      </w:r>
    </w:p>
    <w:p>
      <w:pPr>
        <w:pStyle w:val="ListBullet"/>
      </w:pPr>
      <w:r>
        <w:t>FR-08 — Knowledge support: support agents can search and use relevant Knowledge articles, subject to access permissions.</w:t>
      </w:r>
    </w:p>
    <w:p>
      <w:pPr>
        <w:pStyle w:val="ListBullet"/>
      </w:pPr>
      <w:r>
        <w:t>FR-09 — Resolution documentation: resolution information is recorded before closure according to the agreed process.</w:t>
      </w:r>
    </w:p>
    <w:p>
      <w:pPr>
        <w:pStyle w:val="ListBullet"/>
      </w:pPr>
      <w:r>
        <w:t>FR-10 — Related change: when a controlled system change is required, the incident can be associated with the relevant change process where supported by configuration.</w:t>
      </w:r>
    </w:p>
    <w:p>
      <w:pPr>
        <w:pStyle w:val="ListBullet"/>
      </w:pPr>
      <w:r>
        <w:t>FR-11 — Security: access to incident records and fields follows assigned roles and access controls.</w:t>
      </w:r>
    </w:p>
    <w:p>
      <w:pPr>
        <w:pStyle w:val="Heading1"/>
      </w:pPr>
      <w:r>
        <w:rPr>
          <w:color w:val="1F4E79"/>
          <w:sz w:val="26"/>
        </w:rPr>
        <w:t>3. Non-functional requirements</w:t>
      </w:r>
    </w:p>
    <w:p>
      <w:pPr>
        <w:pStyle w:val="ListBullet"/>
      </w:pPr>
      <w:r>
        <w:t>NFR-01 — Usability: forms and status values should be understandable to intended users.</w:t>
      </w:r>
    </w:p>
    <w:p>
      <w:pPr>
        <w:pStyle w:val="ListBullet"/>
      </w:pPr>
      <w:r>
        <w:t>NFR-02 — Reliability: configured workflows should behave consistently for defined test scenarios.</w:t>
      </w:r>
    </w:p>
    <w:p>
      <w:pPr>
        <w:pStyle w:val="ListBullet"/>
      </w:pPr>
      <w:r>
        <w:t>NFR-03 — Performance: common incident operations should respond within acceptable limits for the available instance and environment.</w:t>
      </w:r>
    </w:p>
    <w:p>
      <w:pPr>
        <w:pStyle w:val="ListBullet"/>
      </w:pPr>
      <w:r>
        <w:t>NFR-04 — Maintainability: configuration should be documented and use standard platform features where practical.</w:t>
      </w:r>
    </w:p>
    <w:p>
      <w:pPr>
        <w:pStyle w:val="ListBullet"/>
      </w:pPr>
      <w:r>
        <w:t>NFR-05 — Security and privacy: access should follow least-privilege principles and approved data-handling policies.</w:t>
      </w:r>
    </w:p>
    <w:p>
      <w:pPr>
        <w:pStyle w:val="ListBullet"/>
      </w:pPr>
      <w:r>
        <w:t>NFR-06 — Traceability: requirements should map to configuration items and test cases.</w:t>
      </w:r>
    </w:p>
    <w:p>
      <w:pPr>
        <w:pStyle w:val="ListBullet"/>
      </w:pPr>
      <w:r>
        <w:t>NFR-07 — Compatibility: solution design should respect the ServiceNow release, plugins, permissions, and capabilities available in the target instance.</w:t>
      </w:r>
    </w:p>
    <w:p>
      <w:pPr>
        <w:pStyle w:val="Heading1"/>
      </w:pPr>
      <w:r>
        <w:rPr>
          <w:color w:val="1F4E79"/>
          <w:sz w:val="26"/>
        </w:rPr>
        <w:t>4. Constraints and assumptions</w:t>
      </w:r>
    </w:p>
    <w:p>
      <w:r>
        <w:t>Implementation depends on the ServiceNow instance, roles, plugins, application scope, and permissions available to the project team.</w:t>
      </w:r>
    </w:p>
    <w:p>
      <w:r>
        <w:t>Existing organisation-specific workflows and policies take precedence over generic examples in this document.</w:t>
      </w:r>
    </w:p>
    <w:p>
      <w:r>
        <w:t>Notifications, assignment automation, and related integrations are included only if configured and tested.</w:t>
      </w:r>
    </w:p>
    <w:p>
      <w:r>
        <w:t>Benefits such as faster resolution or fewer recurring incidents are goals to evaluate, not guaranteed results.</w:t>
      </w:r>
    </w:p>
    <w:p>
      <w:pPr>
        <w:pStyle w:val="Heading1"/>
      </w:pPr>
      <w:r>
        <w:rPr>
          <w:color w:val="1F4E79"/>
          <w:sz w:val="26"/>
        </w:rPr>
        <w:t>5. Requirement traceability template</w:t>
      </w:r>
    </w:p>
    <w:p>
      <w:r>
        <w:t>For each requirement, record the configuration or design reference, test case, test result, and reviewer approval.</w:t>
      </w:r>
    </w:p>
    <w:p>
      <w:pPr>
        <w:pStyle w:val="Heading1"/>
      </w:pPr>
      <w:r>
        <w:rPr>
          <w:color w:val="1F4E79"/>
          <w:sz w:val="26"/>
        </w:rPr>
        <w:t>6. Approval</w:t>
      </w:r>
    </w:p>
    <w:p>
      <w:r>
        <w:t xml:space="preserve">Approved / changes requested: </w:t>
      </w:r>
    </w:p>
    <w:p>
      <w:r>
        <w:t xml:space="preserve">Comments: </w:t>
      </w: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Requirement_Analysis_Solution_Requirements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Solution Requirements — project-specific process overview.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requirements document • Draft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