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23B9" w14:textId="462A0602" w:rsidR="00432D00" w:rsidRDefault="00432D00" w:rsidP="00432D00">
      <w:pPr>
        <w:pStyle w:val="Title"/>
        <w:jc w:val="center"/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ABSTRACT</w:t>
      </w:r>
    </w:p>
    <w:p w14:paraId="7A95495C" w14:textId="77777777" w:rsidR="00432D00" w:rsidRPr="00432D00" w:rsidRDefault="00432D00" w:rsidP="00432D00"/>
    <w:p w14:paraId="4CEBFFC3" w14:textId="4C9F2B62" w:rsidR="00432D00" w:rsidRPr="00432D00" w:rsidRDefault="00432D00" w:rsidP="00432D00">
      <w:p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This study provides an in-depth evaluation of Bitcoin’s capacity to function as both a hedge and a safe haven within modern financial markets. It investigates Bitcoin’s dynamic relationships with traditional asset classes—including equities, bonds, commodities, and major currencies—to assess its effectiveness as a tool for portfolio diversification and risk management during periods of economic uncertainty and financial stress.</w:t>
      </w:r>
    </w:p>
    <w:p w14:paraId="14BFADBD" w14:textId="77777777" w:rsidR="00432D00" w:rsidRPr="00432D00" w:rsidRDefault="00432D00" w:rsidP="00432D00">
      <w:p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  <w:b/>
          <w:bCs/>
        </w:rPr>
        <w:t>Research Objectives:</w:t>
      </w:r>
    </w:p>
    <w:p w14:paraId="1878F398" w14:textId="77777777" w:rsidR="00432D00" w:rsidRPr="00432D00" w:rsidRDefault="00432D00" w:rsidP="00432D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To determine whether Bitcoin effectively hedges against traditional financial assets.</w:t>
      </w:r>
    </w:p>
    <w:p w14:paraId="7325D014" w14:textId="77777777" w:rsidR="00432D00" w:rsidRPr="00432D00" w:rsidRDefault="00432D00" w:rsidP="00432D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To examine whether Bitcoin maintains safe haven properties during episodes of extreme market turmoil.</w:t>
      </w:r>
    </w:p>
    <w:p w14:paraId="0CAC8282" w14:textId="77777777" w:rsidR="00432D00" w:rsidRPr="00432D00" w:rsidRDefault="00432D00" w:rsidP="00432D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 xml:space="preserve">To </w:t>
      </w:r>
      <w:proofErr w:type="spellStart"/>
      <w:r w:rsidRPr="00432D00">
        <w:rPr>
          <w:rFonts w:ascii="Times New Roman" w:hAnsi="Times New Roman" w:cs="Times New Roman"/>
        </w:rPr>
        <w:t>analyze</w:t>
      </w:r>
      <w:proofErr w:type="spellEnd"/>
      <w:r w:rsidRPr="00432D00">
        <w:rPr>
          <w:rFonts w:ascii="Times New Roman" w:hAnsi="Times New Roman" w:cs="Times New Roman"/>
        </w:rPr>
        <w:t xml:space="preserve"> how Bitcoin’s hedging and safe haven </w:t>
      </w:r>
      <w:proofErr w:type="spellStart"/>
      <w:r w:rsidRPr="00432D00">
        <w:rPr>
          <w:rFonts w:ascii="Times New Roman" w:hAnsi="Times New Roman" w:cs="Times New Roman"/>
        </w:rPr>
        <w:t>behaviors</w:t>
      </w:r>
      <w:proofErr w:type="spellEnd"/>
      <w:r w:rsidRPr="00432D00">
        <w:rPr>
          <w:rFonts w:ascii="Times New Roman" w:hAnsi="Times New Roman" w:cs="Times New Roman"/>
        </w:rPr>
        <w:t xml:space="preserve"> evolve across different market conditions and time horizons.</w:t>
      </w:r>
    </w:p>
    <w:p w14:paraId="511776CA" w14:textId="77777777" w:rsidR="00432D00" w:rsidRPr="00432D00" w:rsidRDefault="00432D00" w:rsidP="00432D00">
      <w:p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  <w:b/>
          <w:bCs/>
        </w:rPr>
        <w:t>Methodology:</w:t>
      </w:r>
      <w:r w:rsidRPr="00432D00">
        <w:rPr>
          <w:rFonts w:ascii="Times New Roman" w:hAnsi="Times New Roman" w:cs="Times New Roman"/>
        </w:rPr>
        <w:br/>
        <w:t>The analysis employs advanced econometric frameworks such as Dynamic Conditional Correlation (DCC) models, Vector Autoregression (VAR), and regime-switching techniques to capture Bitcoin’s time-varying interactions with other assets. The study uses high-frequency data encompassing multiple market cycles, including financial crises, inflationary periods, and episodes of heightened volatility.</w:t>
      </w:r>
    </w:p>
    <w:p w14:paraId="0C34FAC1" w14:textId="77777777" w:rsidR="00432D00" w:rsidRPr="00432D00" w:rsidRDefault="00432D00" w:rsidP="00432D00">
      <w:p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  <w:b/>
          <w:bCs/>
        </w:rPr>
        <w:t>Key Findings:</w:t>
      </w:r>
    </w:p>
    <w:p w14:paraId="678469A5" w14:textId="77777777" w:rsidR="00432D00" w:rsidRPr="00432D00" w:rsidRDefault="00432D00" w:rsidP="00432D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Bitcoin exhibits weak to moderate negative correlations with traditional safe haven assets under normal market conditions.</w:t>
      </w:r>
    </w:p>
    <w:p w14:paraId="5DD5CD3C" w14:textId="77777777" w:rsidR="00432D00" w:rsidRPr="00432D00" w:rsidRDefault="00432D00" w:rsidP="00432D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During periods of severe financial stress, Bitcoin’s volatility and co-movement with risk assets intensify, weakening its safe haven characteristics.</w:t>
      </w:r>
    </w:p>
    <w:p w14:paraId="6E2F5F05" w14:textId="77777777" w:rsidR="00432D00" w:rsidRPr="00432D00" w:rsidRDefault="00432D00" w:rsidP="00432D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Bitcoin demonstrates stronger hedging capabilities against currency depreciation and inflation than conventional hedges such as gold.</w:t>
      </w:r>
    </w:p>
    <w:p w14:paraId="2A5D360F" w14:textId="77777777" w:rsidR="00432D00" w:rsidRPr="00432D00" w:rsidRDefault="00432D00" w:rsidP="00432D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</w:rPr>
        <w:t>The magnitude and stability of Bitcoin’s hedge effectiveness vary significantly across market regimes and time horizons.</w:t>
      </w:r>
    </w:p>
    <w:p w14:paraId="54EF9F03" w14:textId="77777777" w:rsidR="00432D00" w:rsidRPr="00432D00" w:rsidRDefault="00432D00" w:rsidP="00432D00">
      <w:pPr>
        <w:rPr>
          <w:rFonts w:ascii="Times New Roman" w:hAnsi="Times New Roman" w:cs="Times New Roman"/>
        </w:rPr>
      </w:pPr>
      <w:r w:rsidRPr="00432D00">
        <w:rPr>
          <w:rFonts w:ascii="Times New Roman" w:hAnsi="Times New Roman" w:cs="Times New Roman"/>
          <w:b/>
          <w:bCs/>
        </w:rPr>
        <w:t>Implications:</w:t>
      </w:r>
      <w:r w:rsidRPr="00432D00">
        <w:rPr>
          <w:rFonts w:ascii="Times New Roman" w:hAnsi="Times New Roman" w:cs="Times New Roman"/>
        </w:rPr>
        <w:br/>
        <w:t>The results indicate that Bitcoin can contribute to portfolio diversification and partial protection against specific macroeconomic risks, but its high volatility and inconsistent correlations limit its reliability as a conventional safe haven. Investors and policymakers should interpret Bitcoin’s risk-hedging role with caution, viewing it as an emerging, rather than established, defensive asset class.</w:t>
      </w:r>
    </w:p>
    <w:p w14:paraId="2E1A1CFB" w14:textId="77777777" w:rsidR="006034FF" w:rsidRPr="00432D00" w:rsidRDefault="006034FF">
      <w:pPr>
        <w:rPr>
          <w:rFonts w:ascii="Times New Roman" w:hAnsi="Times New Roman" w:cs="Times New Roman"/>
        </w:rPr>
      </w:pPr>
    </w:p>
    <w:sectPr w:rsidR="006034FF" w:rsidRPr="00432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0390"/>
    <w:multiLevelType w:val="multilevel"/>
    <w:tmpl w:val="D926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2499B"/>
    <w:multiLevelType w:val="multilevel"/>
    <w:tmpl w:val="28B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02551">
    <w:abstractNumId w:val="0"/>
  </w:num>
  <w:num w:numId="2" w16cid:durableId="44532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00"/>
    <w:rsid w:val="000012EE"/>
    <w:rsid w:val="00432D00"/>
    <w:rsid w:val="006034FF"/>
    <w:rsid w:val="00B8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A395"/>
  <w15:chartTrackingRefBased/>
  <w15:docId w15:val="{A0EB715C-CB09-48E9-BDE3-19F90567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Choudary</dc:creator>
  <cp:keywords/>
  <dc:description/>
  <cp:lastModifiedBy>Sathvik Choudary</cp:lastModifiedBy>
  <cp:revision>1</cp:revision>
  <dcterms:created xsi:type="dcterms:W3CDTF">2025-10-09T05:32:00Z</dcterms:created>
  <dcterms:modified xsi:type="dcterms:W3CDTF">2025-10-09T05:33:00Z</dcterms:modified>
</cp:coreProperties>
</file>