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F3864"/>
          <w:sz w:val="36"/>
          <w:szCs w:val="36"/>
        </w:rPr>
        <w:t xml:space="preserve">DEEP LEARNING–BASED NEURAL DECODER</w:t>
      </w:r>
    </w:p>
    <w:p>
      <w:pPr>
        <w:spacing w:after="240"/>
        <w:jc w:val="center"/>
      </w:pPr>
      <w:r>
        <w:rPr>
          <w:b/>
          <w:bCs/>
          <w:color w:val="1F3864"/>
          <w:sz w:val="36"/>
          <w:szCs w:val="36"/>
        </w:rPr>
        <w:t xml:space="preserve">FOR EEG MOTOR IMAGERY</w:t>
      </w:r>
    </w:p>
    <w:p>
      <w:pPr>
        <w:spacing w:after="60"/>
        <w:jc w:val="center"/>
      </w:pPr>
      <w:r>
        <w:rPr>
          <w:color w:val="2E74B5"/>
          <w:sz w:val="26"/>
          <w:szCs w:val="26"/>
        </w:rPr>
        <w:t xml:space="preserve">Phase 2 — Methodology and Implementation Plan</w:t>
      </w:r>
    </w:p>
    <w:p>
      <w:pPr>
        <w:spacing w:after="300"/>
        <w:jc w:val="center"/>
      </w:pPr>
      <w:r>
        <w:rPr>
          <w:color w:val="595959"/>
          <w:sz w:val="21"/>
          <w:szCs w:val="21"/>
        </w:rPr>
        <w:t xml:space="preserve">1st Review  •  15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8" w:color="auto" w:val="clear"/>
            <w:tcMar>
              <w:top w:type="dxa" w:w="140"/>
              <w:left w:type="dxa" w:w="160"/>
              <w:bottom w:type="dxa" w:w="140"/>
              <w:right w:type="dxa" w:w="160"/>
            </w:tcMar>
          </w:tcPr>
          <w:p>
            <w:pPr>
              <w:spacing w:after="70"/>
            </w:pPr>
            <w:r>
              <w:rPr>
                <w:b/>
                <w:bCs/>
                <w:color w:val="1F3864"/>
                <w:sz w:val="21"/>
                <w:szCs w:val="21"/>
              </w:rPr>
              <w:t xml:space="preserve">Scope of this document</w:t>
            </w:r>
          </w:p>
          <w:p>
            <w:pPr>
              <w:spacing w:after="50" w:line="276"/>
              <w:jc w:val="both"/>
            </w:pPr>
            <w:r>
              <w:rPr>
                <w:sz w:val="21"/>
                <w:szCs w:val="21"/>
              </w:rPr>
              <w:t xml:space="preserve">This document covers the seven Phase 2 deliverables: proposed methodology, system architecture, model and algorithm selection, dataset selection and description, tools and environment, implementation plan with milestones, and the experimental plan with evaluation metrics. It builds directly on the literature survey submitted at the 0th Review.</w:t>
            </w:r>
          </w:p>
        </w:tc>
      </w:tr>
    </w:tbl>
    <w:p>
      <w:pPr>
        <w:spacing w:after="200"/>
      </w:pPr>
      <w:r>
        <w:rPr>
          <w:sz w:val="12"/>
          <w:szCs w:val="12"/>
        </w:rPr>
        <w:t xml:space="preserve"/>
      </w:r>
    </w:p>
    <w:p>
      <w:pPr>
        <w:pStyle w:val="Heading1"/>
        <w:spacing w:after="160" w:before="360"/>
      </w:pPr>
      <w:r>
        <w:rPr>
          <w:b/>
          <w:bCs/>
          <w:color w:val="1F3864"/>
          <w:sz w:val="30"/>
          <w:szCs w:val="30"/>
        </w:rPr>
        <w:t xml:space="preserve">1. Problem Recap and Research Gap</w:t>
      </w:r>
    </w:p>
    <w:p>
      <w:pPr>
        <w:spacing w:after="120" w:line="276"/>
        <w:jc w:val="both"/>
      </w:pPr>
      <w:r>
        <w:rPr>
          <w:b w:val="false"/>
          <w:bCs w:val="false"/>
          <w:i w:val="false"/>
          <w:iCs w:val="false"/>
          <w:sz w:val="21"/>
          <w:szCs w:val="21"/>
        </w:rPr>
        <w:t xml:space="preserve">Electroencephalography records the brain's electrical activity non-invasively, and motor imagery — imagining a movement without performing it — produces characteristic changes in the mu (8–13 Hz) and beta (13–30 Hz) rhythms over the sensorimotor cortex. A decoder that maps these signals to intended movements would let people with severe motor impairment control computers, wheelchairs and prosthetic limbs without moving.</w:t>
      </w:r>
    </w:p>
    <w:p>
      <w:pPr>
        <w:spacing w:after="120" w:line="276"/>
        <w:jc w:val="both"/>
      </w:pPr>
      <w:r>
        <w:rPr>
          <w:b w:val="false"/>
          <w:bCs w:val="false"/>
          <w:i w:val="false"/>
          <w:iCs w:val="false"/>
          <w:sz w:val="21"/>
          <w:szCs w:val="21"/>
        </w:rPr>
        <w:t xml:space="preserve">The obstacle is not classification accuracy in the abstract; it is that accuracy collapses when the model meets a person it was not trained on. EEG is shaped by individual skull thickness, cortical folding, electrode placement and the strategy a person adopts when imagining movement, so the feature distribution shifts from subject to subject. Our literature survey quantified this directly.</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1800"/>
      </w:tblGrid>
      <w:tr>
        <w:trPr>
          <w:cantSplit/>
          <w:tblHeader/>
        </w:trPr>
        <w:tc>
          <w:tcPr>
            <w:tcW w:type="dxa" w:w="26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Model</w:t>
            </w:r>
          </w:p>
        </w:tc>
        <w:tc>
          <w:tcPr>
            <w:tcW w:type="dxa" w:w="23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Within-subject accuracy (IV-2a)</w:t>
            </w:r>
          </w:p>
        </w:tc>
        <w:tc>
          <w:tcPr>
            <w:tcW w:type="dxa" w:w="23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Cross-subject accuracy (IV-2a)</w:t>
            </w:r>
          </w:p>
        </w:tc>
        <w:tc>
          <w:tcPr>
            <w:tcW w:type="dxa" w:w="18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Drop</w:t>
            </w:r>
          </w:p>
        </w:tc>
      </w:tr>
      <w:tr>
        <w:trPr>
          <w:cantSplit/>
        </w:trPr>
        <w:tc>
          <w:tcPr>
            <w:tcW w:type="dxa" w:w="2600"/>
            <w:tcMar>
              <w:top w:type="dxa" w:w="80"/>
              <w:left w:type="dxa" w:w="110"/>
              <w:bottom w:type="dxa" w:w="80"/>
              <w:right w:type="dxa" w:w="110"/>
            </w:tcMar>
          </w:tcPr>
          <w:p>
            <w:pPr>
              <w:spacing w:after="0" w:line="240"/>
              <w:jc w:val="left"/>
            </w:pPr>
            <w:r>
              <w:rPr>
                <w:b/>
                <w:bCs/>
                <w:i w:val="false"/>
                <w:iCs w:val="false"/>
                <w:sz w:val="19"/>
                <w:szCs w:val="19"/>
              </w:rPr>
              <w:t xml:space="preserve">CTNet (2024)</w:t>
            </w:r>
          </w:p>
        </w:tc>
        <w:tc>
          <w:tcPr>
            <w:tcW w:type="dxa" w:w="2300"/>
            <w:tcMar>
              <w:top w:type="dxa" w:w="80"/>
              <w:left w:type="dxa" w:w="110"/>
              <w:bottom w:type="dxa" w:w="80"/>
              <w:right w:type="dxa" w:w="110"/>
            </w:tcMar>
          </w:tcPr>
          <w:p>
            <w:pPr>
              <w:spacing w:after="0" w:line="240"/>
              <w:jc w:val="center"/>
            </w:pPr>
            <w:r>
              <w:rPr>
                <w:b w:val="false"/>
                <w:bCs w:val="false"/>
                <w:i w:val="false"/>
                <w:iCs w:val="false"/>
                <w:sz w:val="19"/>
                <w:szCs w:val="19"/>
              </w:rPr>
              <w:t xml:space="preserve">82.52%</w:t>
            </w:r>
          </w:p>
        </w:tc>
        <w:tc>
          <w:tcPr>
            <w:tcW w:type="dxa" w:w="2300"/>
            <w:tcMar>
              <w:top w:type="dxa" w:w="80"/>
              <w:left w:type="dxa" w:w="110"/>
              <w:bottom w:type="dxa" w:w="80"/>
              <w:right w:type="dxa" w:w="110"/>
            </w:tcMar>
          </w:tcPr>
          <w:p>
            <w:pPr>
              <w:spacing w:after="0" w:line="240"/>
              <w:jc w:val="center"/>
            </w:pPr>
            <w:r>
              <w:rPr>
                <w:b w:val="false"/>
                <w:bCs w:val="false"/>
                <w:i w:val="false"/>
                <w:iCs w:val="false"/>
                <w:sz w:val="19"/>
                <w:szCs w:val="19"/>
              </w:rPr>
              <w:t xml:space="preserve">58.64%</w:t>
            </w:r>
          </w:p>
        </w:tc>
        <w:tc>
          <w:tcPr>
            <w:tcW w:type="dxa" w:w="1800"/>
            <w:tcMar>
              <w:top w:type="dxa" w:w="80"/>
              <w:left w:type="dxa" w:w="110"/>
              <w:bottom w:type="dxa" w:w="80"/>
              <w:right w:type="dxa" w:w="110"/>
            </w:tcMar>
          </w:tcPr>
          <w:p>
            <w:pPr>
              <w:spacing w:after="0" w:line="240"/>
              <w:jc w:val="center"/>
            </w:pPr>
            <w:r>
              <w:rPr>
                <w:b w:val="false"/>
                <w:bCs w:val="false"/>
                <w:i w:val="false"/>
                <w:iCs w:val="false"/>
                <w:sz w:val="19"/>
                <w:szCs w:val="19"/>
              </w:rPr>
              <w:t xml:space="preserve">−23.88 pts</w:t>
            </w:r>
          </w:p>
        </w:tc>
      </w:tr>
      <w:tr>
        <w:trPr>
          <w:cantSplit/>
        </w:trPr>
        <w:tc>
          <w:tcPr>
            <w:tcW w:type="dxa" w:w="26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CTNet (2024), IV-2b</w:t>
            </w:r>
          </w:p>
        </w:tc>
        <w:tc>
          <w:tcPr>
            <w:tcW w:type="dxa" w:w="23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88.49%</w:t>
            </w:r>
          </w:p>
        </w:tc>
        <w:tc>
          <w:tcPr>
            <w:tcW w:type="dxa" w:w="23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76.27%</w:t>
            </w:r>
          </w:p>
        </w:tc>
        <w:tc>
          <w:tcPr>
            <w:tcW w:type="dxa" w:w="18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−12.22 pts</w:t>
            </w:r>
          </w:p>
        </w:tc>
      </w:tr>
    </w:tbl>
    <w:p>
      <w:pPr>
        <w:spacing w:after="200" w:before="60"/>
      </w:pPr>
      <w:r>
        <w:rPr>
          <w:i/>
          <w:iCs/>
          <w:color w:val="595959"/>
          <w:sz w:val="17"/>
          <w:szCs w:val="17"/>
        </w:rPr>
        <w:t xml:space="preserve">Figure/Table 1.1 — The generalisation penalty reported by CTNet. The same architecture loses nearly 24 accuracy points on the 4-class task when the test subject is unseen during training. Source: Zhao et al., Scientific Reports 14:20237 (2024).</w:t>
      </w:r>
    </w:p>
    <w:p>
      <w:pPr>
        <w:spacing w:after="120" w:line="276"/>
        <w:jc w:val="both"/>
      </w:pPr>
      <w:r>
        <w:rPr>
          <w:b w:val="false"/>
          <w:bCs w:val="false"/>
          <w:i w:val="false"/>
          <w:iCs w:val="false"/>
          <w:sz w:val="21"/>
          <w:szCs w:val="21"/>
        </w:rPr>
        <w:t xml:space="preserve">A model that scores 82% on people it has met and 59% on a stranger is not deployable. A patient cannot be asked to supply hours of labelled calibration data before their wheelchair responds. This gap — high accuracy on unseen subjects, achieved with a model small enough to run on assistive hardware, and with little or no calibration — is the problem this project targets.</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color="auto" w:val="clear"/>
            <w:tcMar>
              <w:top w:type="dxa" w:w="140"/>
              <w:left w:type="dxa" w:w="160"/>
              <w:bottom w:type="dxa" w:w="140"/>
              <w:right w:type="dxa" w:w="160"/>
            </w:tcMar>
          </w:tcPr>
          <w:p>
            <w:pPr>
              <w:spacing w:after="70"/>
            </w:pPr>
            <w:r>
              <w:rPr>
                <w:b/>
                <w:bCs/>
                <w:color w:val="1F3864"/>
                <w:sz w:val="21"/>
                <w:szCs w:val="21"/>
              </w:rPr>
              <w:t xml:space="preserve">Research gap (carried forward from the 0th Review)</w:t>
            </w:r>
          </w:p>
          <w:p>
            <w:pPr>
              <w:spacing w:after="50" w:line="276"/>
              <w:jc w:val="both"/>
            </w:pPr>
            <w:r>
              <w:rPr>
                <w:sz w:val="21"/>
                <w:szCs w:val="21"/>
              </w:rPr>
              <w:t xml:space="preserve">Existing motor imagery decoders achieve strong within-subject accuracy but degrade sharply on unseen subjects. Recent architectures close this gap by adding capacity — attention layers, transformer depth, larger parameter counts — which conflicts with the low-power, low-latency requirements of real assistive devices. It is not established whether the improvement in cross-subject decoding comes from architectural capacity or from making the input representation subject-invariant in the first place.</w:t>
            </w:r>
          </w:p>
        </w:tc>
      </w:tr>
    </w:tbl>
    <w:p>
      <w:pPr>
        <w:pStyle w:val="Heading1"/>
        <w:spacing w:after="160" w:before="360"/>
      </w:pPr>
      <w:r>
        <w:rPr>
          <w:b/>
          <w:bCs/>
          <w:color w:val="1F3864"/>
          <w:sz w:val="30"/>
          <w:szCs w:val="30"/>
        </w:rPr>
        <w:t xml:space="preserve">2. Research Hypothesis and Objectives</w:t>
      </w:r>
    </w:p>
    <w:p>
      <w:pPr>
        <w:spacing w:after="120" w:line="276"/>
        <w:jc w:val="both"/>
      </w:pPr>
      <w:r>
        <w:rPr>
          <w:b w:val="false"/>
          <w:bCs w:val="false"/>
          <w:i w:val="false"/>
          <w:iCs w:val="false"/>
          <w:sz w:val="21"/>
          <w:szCs w:val="21"/>
        </w:rPr>
        <w:t xml:space="preserve">The 0th Review identified the gap but did not commit to a testable claim. Phase 2 closes that. The project is organised around one primary hypothesis and two secondary hypotheses, each falsifiable by a specific experiment.</w:t>
      </w:r>
    </w:p>
    <w:p>
      <w:pPr>
        <w:pStyle w:val="Heading2"/>
        <w:spacing w:after="120" w:before="240"/>
      </w:pPr>
      <w:r>
        <w:rPr>
          <w:b/>
          <w:bCs/>
          <w:color w:val="2E74B5"/>
          <w:sz w:val="24"/>
          <w:szCs w:val="24"/>
        </w:rPr>
        <w:t xml:space="preserve">2.1 Primary hypothesis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8F3EC" w:color="auto" w:val="clear"/>
            <w:tcMar>
              <w:top w:type="dxa" w:w="140"/>
              <w:left w:type="dxa" w:w="160"/>
              <w:bottom w:type="dxa" w:w="140"/>
              <w:right w:type="dxa" w:w="160"/>
            </w:tcMar>
          </w:tcPr>
          <w:p>
            <w:pPr>
              <w:spacing w:after="70"/>
            </w:pPr>
            <w:r>
              <w:rPr>
                <w:b/>
                <w:bCs/>
                <w:color w:val="1F3864"/>
                <w:sz w:val="21"/>
                <w:szCs w:val="21"/>
              </w:rPr>
              <w:t xml:space="preserve">H1</w:t>
            </w:r>
          </w:p>
          <w:p>
            <w:pPr>
              <w:spacing w:after="50" w:line="276"/>
              <w:jc w:val="both"/>
            </w:pPr>
            <w:r>
              <w:rPr>
                <w:sz w:val="21"/>
                <w:szCs w:val="21"/>
              </w:rPr>
              <w:t xml:space="preserve">For cross-subject motor imagery decoding, making the input representation subject-invariant through covariance alignment contributes more to leave-one-subject-out accuracy than an equivalent increase in model capacity, and its benefit is largely complementary to feature-space domain-generalisation losses rather than redundant with them.</w:t>
            </w:r>
          </w:p>
        </w:tc>
      </w:tr>
    </w:tbl>
    <w:p>
      <w:pPr>
        <w:spacing w:after="120" w:line="276"/>
        <w:jc w:val="both"/>
      </w:pPr>
      <w:r>
        <w:rPr>
          <w:b/>
          <w:bCs/>
          <w:i w:val="false"/>
          <w:iCs w:val="false"/>
          <w:sz w:val="21"/>
          <w:szCs w:val="21"/>
        </w:rPr>
        <w:t xml:space="preserve">Tested by: </w:t>
      </w:r>
      <w:r>
        <w:rPr>
          <w:b w:val="false"/>
          <w:bCs w:val="false"/>
          <w:i w:val="false"/>
          <w:iCs w:val="false"/>
          <w:sz w:val="21"/>
          <w:szCs w:val="21"/>
        </w:rPr>
        <w:t xml:space="preserve">the ablation grid in Section 10. If alignment and added capacity contribute equally, or if alignment's benefit disappears once domain-generalisation losses are present, H1 is falsified — and that is itself a reportable finding, because it would tell the field that architectural scaling is the productive direction.</w:t>
      </w:r>
    </w:p>
    <w:p>
      <w:pPr>
        <w:pStyle w:val="Heading2"/>
        <w:spacing w:after="120" w:before="240"/>
      </w:pPr>
      <w:r>
        <w:rPr>
          <w:b/>
          <w:bCs/>
          <w:color w:val="2E74B5"/>
          <w:sz w:val="24"/>
          <w:szCs w:val="24"/>
        </w:rPr>
        <w:t xml:space="preserve">2.2 Secondary hypotheses</w:t>
      </w:r>
    </w:p>
    <w:p>
      <w:pPr>
        <w:pStyle w:val="ListParagraph"/>
        <w:numPr>
          <w:ilvl w:val="0"/>
          <w:numId w:val="2"/>
        </w:numPr>
        <w:spacing w:after="70" w:line="276"/>
      </w:pPr>
      <w:r>
        <w:rPr>
          <w:b/>
          <w:bCs/>
          <w:i w:val="false"/>
          <w:iCs w:val="false"/>
          <w:sz w:val="21"/>
          <w:szCs w:val="21"/>
        </w:rPr>
        <w:t xml:space="preserve">H2. </w:t>
      </w:r>
      <w:r>
        <w:rPr>
          <w:b w:val="false"/>
          <w:bCs w:val="false"/>
          <w:i w:val="false"/>
          <w:iCs w:val="false"/>
          <w:sz w:val="21"/>
          <w:szCs w:val="21"/>
        </w:rPr>
        <w:t xml:space="preserve">Windowed self-attention matches or exceeds full self-attention under leave-one-subject-out evaluation while using materially fewer parameters, because unconstrained attention capacity overfits subject-specific structure on datasets of this size (~2,600 trials).</w:t>
      </w:r>
    </w:p>
    <w:p>
      <w:pPr>
        <w:pStyle w:val="ListParagraph"/>
        <w:numPr>
          <w:ilvl w:val="0"/>
          <w:numId w:val="2"/>
        </w:numPr>
        <w:spacing w:after="70" w:line="276"/>
      </w:pPr>
      <w:r>
        <w:rPr>
          <w:b/>
          <w:bCs/>
          <w:i w:val="false"/>
          <w:iCs w:val="false"/>
          <w:sz w:val="21"/>
          <w:szCs w:val="21"/>
        </w:rPr>
        <w:t xml:space="preserve">H3. </w:t>
      </w:r>
      <w:r>
        <w:rPr>
          <w:b w:val="false"/>
          <w:bCs w:val="false"/>
          <w:i w:val="false"/>
          <w:iCs w:val="false"/>
          <w:sz w:val="21"/>
          <w:szCs w:val="21"/>
        </w:rPr>
        <w:t xml:space="preserve">Subject-invariant alignment reduces the number of labelled target-subject trials needed to reach a fixed accuracy threshold, measured as a calibration-efficiency curve.</w:t>
      </w:r>
    </w:p>
    <w:p>
      <w:pPr>
        <w:pStyle w:val="Heading2"/>
        <w:spacing w:after="120" w:before="240"/>
      </w:pPr>
      <w:r>
        <w:rPr>
          <w:b/>
          <w:bCs/>
          <w:color w:val="2E74B5"/>
          <w:sz w:val="24"/>
          <w:szCs w:val="24"/>
        </w:rPr>
        <w:t xml:space="preserve">2.3 Objectives</w:t>
      </w:r>
    </w:p>
    <w:p>
      <w:pPr>
        <w:pStyle w:val="ListParagraph"/>
        <w:numPr>
          <w:ilvl w:val="0"/>
          <w:numId w:val="3"/>
        </w:numPr>
        <w:spacing w:after="70" w:line="276"/>
      </w:pPr>
      <w:r>
        <w:rPr>
          <w:sz w:val="21"/>
          <w:szCs w:val="21"/>
        </w:rPr>
        <w:t xml:space="preserve">Build a reproducible preprocessing and evaluation pipeline for motor imagery EEG with a single, fixed leave-one-subject-out protocol applied identically to every model.</w:t>
      </w:r>
    </w:p>
    <w:p>
      <w:pPr>
        <w:pStyle w:val="ListParagraph"/>
        <w:numPr>
          <w:ilvl w:val="0"/>
          <w:numId w:val="3"/>
        </w:numPr>
        <w:spacing w:after="70" w:line="276"/>
      </w:pPr>
      <w:r>
        <w:rPr>
          <w:sz w:val="21"/>
          <w:szCs w:val="21"/>
        </w:rPr>
        <w:t xml:space="preserve">Reproduce four published architectures — EEGNet, ATCNet, CTNet and EEG Conformer — under that one protocol, so their cross-subject performance can be compared on equal terms for the first time.</w:t>
      </w:r>
    </w:p>
    <w:p>
      <w:pPr>
        <w:pStyle w:val="ListParagraph"/>
        <w:numPr>
          <w:ilvl w:val="0"/>
          <w:numId w:val="3"/>
        </w:numPr>
        <w:spacing w:after="70" w:line="276"/>
      </w:pPr>
      <w:r>
        <w:rPr>
          <w:sz w:val="21"/>
          <w:szCs w:val="21"/>
        </w:rPr>
        <w:t xml:space="preserve">Design and implement SAND-Net, a lightweight hybrid decoder that combines one justified component from each reviewed architecture with an explicit subject-invariance mechanism.</w:t>
      </w:r>
    </w:p>
    <w:p>
      <w:pPr>
        <w:pStyle w:val="ListParagraph"/>
        <w:numPr>
          <w:ilvl w:val="0"/>
          <w:numId w:val="3"/>
        </w:numPr>
        <w:spacing w:after="70" w:line="276"/>
      </w:pPr>
      <w:r>
        <w:rPr>
          <w:sz w:val="21"/>
          <w:szCs w:val="21"/>
        </w:rPr>
        <w:t xml:space="preserve">Run a component-wise ablation that isolates the contribution of alignment, multi-scale temporal modelling, windowed attention and the domain-generalisation losses.</w:t>
      </w:r>
    </w:p>
    <w:p>
      <w:pPr>
        <w:pStyle w:val="ListParagraph"/>
        <w:numPr>
          <w:ilvl w:val="0"/>
          <w:numId w:val="3"/>
        </w:numPr>
        <w:spacing w:after="70" w:line="276"/>
      </w:pPr>
      <w:r>
        <w:rPr>
          <w:sz w:val="21"/>
          <w:szCs w:val="21"/>
        </w:rPr>
        <w:t xml:space="preserve">Quantify calibration efficiency: accuracy as a function of the number of labelled trials available from the unseen subject.</w:t>
      </w:r>
    </w:p>
    <w:p>
      <w:pPr>
        <w:pStyle w:val="ListParagraph"/>
        <w:numPr>
          <w:ilvl w:val="0"/>
          <w:numId w:val="3"/>
        </w:numPr>
        <w:spacing w:after="70" w:line="276"/>
      </w:pPr>
      <w:r>
        <w:rPr>
          <w:sz w:val="21"/>
          <w:szCs w:val="21"/>
        </w:rPr>
        <w:t xml:space="preserve">Validate model interpretability against known neurophysiology — specifically, whether learned channel importance reproduces contralateral event-related desynchronisation.</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8" w:color="auto" w:val="clear"/>
            <w:tcMar>
              <w:top w:type="dxa" w:w="140"/>
              <w:left w:type="dxa" w:w="160"/>
              <w:bottom w:type="dxa" w:w="140"/>
              <w:right w:type="dxa" w:w="160"/>
            </w:tcMar>
          </w:tcPr>
          <w:p>
            <w:pPr>
              <w:spacing w:after="70"/>
            </w:pPr>
            <w:r>
              <w:rPr>
                <w:b/>
                <w:bCs/>
                <w:color w:val="1F3864"/>
                <w:sz w:val="21"/>
                <w:szCs w:val="21"/>
              </w:rPr>
              <w:t xml:space="preserve">Why objective 2 matters on its own</w:t>
            </w:r>
          </w:p>
          <w:p>
            <w:pPr>
              <w:spacing w:after="50" w:line="276"/>
              <w:jc w:val="both"/>
            </w:pPr>
            <w:r>
              <w:rPr>
                <w:sz w:val="21"/>
                <w:szCs w:val="21"/>
              </w:rPr>
              <w:t xml:space="preserve">The four papers report accuracies obtained under different train/test splits — hold-out, 5-fold, session-based, subject-specific. The published numbers therefore cannot be ranked against each other. Evaluating all four under one identical protocol is a contribution independent of whether our own model wins.</w:t>
            </w:r>
          </w:p>
        </w:tc>
      </w:tr>
    </w:tbl>
    <w:p>
      <w:r>
        <w:br w:type="page"/>
      </w:r>
    </w:p>
    <w:p>
      <w:pPr>
        <w:pStyle w:val="Heading1"/>
        <w:spacing w:after="160" w:before="360"/>
      </w:pPr>
      <w:r>
        <w:rPr>
          <w:b/>
          <w:bCs/>
          <w:color w:val="1F3864"/>
          <w:sz w:val="30"/>
          <w:szCs w:val="30"/>
        </w:rPr>
        <w:t xml:space="preserve">3. Proposed Methodology</w:t>
      </w:r>
    </w:p>
    <w:p>
      <w:pPr>
        <w:spacing w:after="120" w:line="276"/>
        <w:jc w:val="both"/>
      </w:pPr>
      <w:r>
        <w:rPr>
          <w:b w:val="false"/>
          <w:bCs w:val="false"/>
          <w:i w:val="false"/>
          <w:iCs w:val="false"/>
          <w:sz w:val="21"/>
          <w:szCs w:val="21"/>
        </w:rPr>
        <w:t xml:space="preserve">The system is a five-stage pipeline. Stages 1 and 2 are signal processing, stage 3 is the learned decoder, stage 4 is the training objective, and stage 5 is interpretation.</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cantSplit/>
          <w:tblHeader/>
        </w:trPr>
        <w:tc>
          <w:tcPr>
            <w:tcW w:type="dxa" w:w="19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Stage</w:t>
            </w:r>
          </w:p>
        </w:tc>
        <w:tc>
          <w:tcPr>
            <w:tcW w:type="dxa" w:w="35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Operation</w:t>
            </w:r>
          </w:p>
        </w:tc>
        <w:tc>
          <w:tcPr>
            <w:tcW w:type="dxa" w:w="36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Purpose</w:t>
            </w:r>
          </w:p>
        </w:tc>
      </w:tr>
      <w:tr>
        <w:trPr>
          <w:cantSplit/>
        </w:trPr>
        <w:tc>
          <w:tcPr>
            <w:tcW w:type="dxa" w:w="1900"/>
            <w:tcMar>
              <w:top w:type="dxa" w:w="80"/>
              <w:left w:type="dxa" w:w="110"/>
              <w:bottom w:type="dxa" w:w="80"/>
              <w:right w:type="dxa" w:w="110"/>
            </w:tcMar>
          </w:tcPr>
          <w:p>
            <w:pPr>
              <w:spacing w:after="0" w:line="240"/>
              <w:jc w:val="left"/>
            </w:pPr>
            <w:r>
              <w:rPr>
                <w:b/>
                <w:bCs/>
                <w:i w:val="false"/>
                <w:iCs w:val="false"/>
                <w:sz w:val="19"/>
                <w:szCs w:val="19"/>
              </w:rPr>
              <w:t xml:space="preserve">1. Acquisition</w:t>
            </w:r>
          </w:p>
        </w:tc>
        <w:tc>
          <w:tcPr>
            <w:tcW w:type="dxa" w:w="3500"/>
            <w:tcMar>
              <w:top w:type="dxa" w:w="80"/>
              <w:left w:type="dxa" w:w="110"/>
              <w:bottom w:type="dxa" w:w="80"/>
              <w:right w:type="dxa" w:w="110"/>
            </w:tcMar>
          </w:tcPr>
          <w:p>
            <w:pPr>
              <w:spacing w:after="0" w:line="240"/>
              <w:jc w:val="left"/>
            </w:pPr>
            <w:r>
              <w:rPr>
                <w:b w:val="false"/>
                <w:bCs w:val="false"/>
                <w:i w:val="false"/>
                <w:iCs w:val="false"/>
                <w:sz w:val="19"/>
                <w:szCs w:val="19"/>
              </w:rPr>
              <w:t xml:space="preserve">Load raw EEG epochs, select channels, reject bad trials</w:t>
            </w:r>
          </w:p>
        </w:tc>
        <w:tc>
          <w:tcPr>
            <w:tcW w:type="dxa" w:w="3600"/>
            <w:tcMar>
              <w:top w:type="dxa" w:w="80"/>
              <w:left w:type="dxa" w:w="110"/>
              <w:bottom w:type="dxa" w:w="80"/>
              <w:right w:type="dxa" w:w="110"/>
            </w:tcMar>
          </w:tcPr>
          <w:p>
            <w:pPr>
              <w:spacing w:after="0" w:line="240"/>
              <w:jc w:val="left"/>
            </w:pPr>
            <w:r>
              <w:rPr>
                <w:b w:val="false"/>
                <w:bCs w:val="false"/>
                <w:i w:val="false"/>
                <w:iCs w:val="false"/>
                <w:sz w:val="19"/>
                <w:szCs w:val="19"/>
              </w:rPr>
              <w:t xml:space="preserve">Standardised input across three datasets</w:t>
            </w:r>
          </w:p>
        </w:tc>
      </w:tr>
      <w:tr>
        <w:trPr>
          <w:cantSplit/>
        </w:trPr>
        <w:tc>
          <w:tcPr>
            <w:tcW w:type="dxa" w:w="19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2. Signal conditioning</w:t>
            </w:r>
          </w:p>
        </w:tc>
        <w:tc>
          <w:tcPr>
            <w:tcW w:type="dxa" w:w="35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Band-pass filter → epoch → Euclidean Alignment → normalise</w:t>
            </w:r>
          </w:p>
        </w:tc>
        <w:tc>
          <w:tcPr>
            <w:tcW w:type="dxa" w:w="36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Remove noise; remove subject-specific covariance shift</w:t>
            </w:r>
          </w:p>
        </w:tc>
      </w:tr>
      <w:tr>
        <w:trPr>
          <w:cantSplit/>
        </w:trPr>
        <w:tc>
          <w:tcPr>
            <w:tcW w:type="dxa" w:w="1900"/>
            <w:tcMar>
              <w:top w:type="dxa" w:w="80"/>
              <w:left w:type="dxa" w:w="110"/>
              <w:bottom w:type="dxa" w:w="80"/>
              <w:right w:type="dxa" w:w="110"/>
            </w:tcMar>
          </w:tcPr>
          <w:p>
            <w:pPr>
              <w:spacing w:after="0" w:line="240"/>
              <w:jc w:val="left"/>
            </w:pPr>
            <w:r>
              <w:rPr>
                <w:b/>
                <w:bCs/>
                <w:i w:val="false"/>
                <w:iCs w:val="false"/>
                <w:sz w:val="19"/>
                <w:szCs w:val="19"/>
              </w:rPr>
              <w:t xml:space="preserve">3. Feature encoding</w:t>
            </w:r>
          </w:p>
        </w:tc>
        <w:tc>
          <w:tcPr>
            <w:tcW w:type="dxa" w:w="3500"/>
            <w:tcMar>
              <w:top w:type="dxa" w:w="80"/>
              <w:left w:type="dxa" w:w="110"/>
              <w:bottom w:type="dxa" w:w="80"/>
              <w:right w:type="dxa" w:w="110"/>
            </w:tcMar>
          </w:tcPr>
          <w:p>
            <w:pPr>
              <w:spacing w:after="0" w:line="240"/>
              <w:jc w:val="left"/>
            </w:pPr>
            <w:r>
              <w:rPr>
                <w:b w:val="false"/>
                <w:bCs w:val="false"/>
                <w:i w:val="false"/>
                <w:iCs w:val="false"/>
                <w:sz w:val="19"/>
                <w:szCs w:val="19"/>
              </w:rPr>
              <w:t xml:space="preserve">Depthwise-separable convolution → multi-scale temporal branch → windowed self-attention</w:t>
            </w:r>
          </w:p>
        </w:tc>
        <w:tc>
          <w:tcPr>
            <w:tcW w:type="dxa" w:w="3600"/>
            <w:tcMar>
              <w:top w:type="dxa" w:w="80"/>
              <w:left w:type="dxa" w:w="110"/>
              <w:bottom w:type="dxa" w:w="80"/>
              <w:right w:type="dxa" w:w="110"/>
            </w:tcMar>
          </w:tcPr>
          <w:p>
            <w:pPr>
              <w:spacing w:after="0" w:line="240"/>
              <w:jc w:val="left"/>
            </w:pPr>
            <w:r>
              <w:rPr>
                <w:b w:val="false"/>
                <w:bCs w:val="false"/>
                <w:i w:val="false"/>
                <w:iCs w:val="false"/>
                <w:sz w:val="19"/>
                <w:szCs w:val="19"/>
              </w:rPr>
              <w:t xml:space="preserve">Learn spatial filters, multi-band temporal dynamics, long-range dependencies</w:t>
            </w:r>
          </w:p>
        </w:tc>
      </w:tr>
      <w:tr>
        <w:trPr>
          <w:cantSplit/>
        </w:trPr>
        <w:tc>
          <w:tcPr>
            <w:tcW w:type="dxa" w:w="19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4. Objective</w:t>
            </w:r>
          </w:p>
        </w:tc>
        <w:tc>
          <w:tcPr>
            <w:tcW w:type="dxa" w:w="35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Cross-entropy + supervised contrastive + domain-adversarial loss</w:t>
            </w:r>
          </w:p>
        </w:tc>
        <w:tc>
          <w:tcPr>
            <w:tcW w:type="dxa" w:w="36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Force class structure to be shared across subjects</w:t>
            </w:r>
          </w:p>
        </w:tc>
      </w:tr>
      <w:tr>
        <w:trPr>
          <w:cantSplit/>
        </w:trPr>
        <w:tc>
          <w:tcPr>
            <w:tcW w:type="dxa" w:w="1900"/>
            <w:tcMar>
              <w:top w:type="dxa" w:w="80"/>
              <w:left w:type="dxa" w:w="110"/>
              <w:bottom w:type="dxa" w:w="80"/>
              <w:right w:type="dxa" w:w="110"/>
            </w:tcMar>
          </w:tcPr>
          <w:p>
            <w:pPr>
              <w:spacing w:after="0" w:line="240"/>
              <w:jc w:val="left"/>
            </w:pPr>
            <w:r>
              <w:rPr>
                <w:b/>
                <w:bCs/>
                <w:i w:val="false"/>
                <w:iCs w:val="false"/>
                <w:sz w:val="19"/>
                <w:szCs w:val="19"/>
              </w:rPr>
              <w:t xml:space="preserve">5. Interpretation</w:t>
            </w:r>
          </w:p>
        </w:tc>
        <w:tc>
          <w:tcPr>
            <w:tcW w:type="dxa" w:w="3500"/>
            <w:tcMar>
              <w:top w:type="dxa" w:w="80"/>
              <w:left w:type="dxa" w:w="110"/>
              <w:bottom w:type="dxa" w:w="80"/>
              <w:right w:type="dxa" w:w="110"/>
            </w:tcMar>
          </w:tcPr>
          <w:p>
            <w:pPr>
              <w:spacing w:after="0" w:line="240"/>
              <w:jc w:val="left"/>
            </w:pPr>
            <w:r>
              <w:rPr>
                <w:b w:val="false"/>
                <w:bCs w:val="false"/>
                <w:i w:val="false"/>
                <w:iCs w:val="false"/>
                <w:sz w:val="19"/>
                <w:szCs w:val="19"/>
              </w:rPr>
              <w:t xml:space="preserve">Class Activation Topography + attention heatmaps</w:t>
            </w:r>
          </w:p>
        </w:tc>
        <w:tc>
          <w:tcPr>
            <w:tcW w:type="dxa" w:w="3600"/>
            <w:tcMar>
              <w:top w:type="dxa" w:w="80"/>
              <w:left w:type="dxa" w:w="110"/>
              <w:bottom w:type="dxa" w:w="80"/>
              <w:right w:type="dxa" w:w="110"/>
            </w:tcMar>
          </w:tcPr>
          <w:p>
            <w:pPr>
              <w:spacing w:after="0" w:line="240"/>
              <w:jc w:val="left"/>
            </w:pPr>
            <w:r>
              <w:rPr>
                <w:b w:val="false"/>
                <w:bCs w:val="false"/>
                <w:i w:val="false"/>
                <w:iCs w:val="false"/>
                <w:sz w:val="19"/>
                <w:szCs w:val="19"/>
              </w:rPr>
              <w:t xml:space="preserve">Check the model uses sensorimotor cortex, not artefacts</w:t>
            </w:r>
          </w:p>
        </w:tc>
      </w:tr>
    </w:tbl>
    <w:p>
      <w:pPr>
        <w:spacing w:after="200" w:before="60"/>
      </w:pPr>
      <w:r>
        <w:rPr>
          <w:i/>
          <w:iCs/>
          <w:color w:val="595959"/>
          <w:sz w:val="17"/>
          <w:szCs w:val="17"/>
        </w:rPr>
        <w:t xml:space="preserve">Table 3.1 — Methodology overview. Each stage is specified in detail in Sections 4 to 7.</w:t>
      </w:r>
    </w:p>
    <w:p>
      <w:pPr>
        <w:pStyle w:val="Heading2"/>
        <w:spacing w:after="120" w:before="240"/>
      </w:pPr>
      <w:r>
        <w:rPr>
          <w:b/>
          <w:bCs/>
          <w:color w:val="2E74B5"/>
          <w:sz w:val="24"/>
          <w:szCs w:val="24"/>
        </w:rPr>
        <w:t xml:space="preserve">3.1 Why subject-invariance is applied at the input, not only in the network</w:t>
      </w:r>
    </w:p>
    <w:p>
      <w:pPr>
        <w:spacing w:after="120" w:line="276"/>
        <w:jc w:val="both"/>
      </w:pPr>
      <w:r>
        <w:rPr>
          <w:b w:val="false"/>
          <w:bCs w:val="false"/>
          <w:i w:val="false"/>
          <w:iCs w:val="false"/>
          <w:sz w:val="21"/>
          <w:szCs w:val="21"/>
        </w:rPr>
        <w:t xml:space="preserve">Most recent work attacks subject variability inside the network, through adversarial feature alignment or attention. Euclidean Alignment attacks it before the network sees the data: it whitens each subject's trials by their own mean spatial covariance, so every subject's data arrives with identity covariance. The operation is unsupervised — it needs only unlabelled trials from the new subject, never their labels — and costs one eigendecomposition of a 22×22 matrix, which is negligible against a forward pass.</w:t>
      </w:r>
    </w:p>
    <w:p>
      <w:pPr>
        <w:spacing w:after="120" w:line="276"/>
        <w:jc w:val="both"/>
      </w:pPr>
      <w:r>
        <w:rPr>
          <w:b w:val="false"/>
          <w:bCs w:val="false"/>
          <w:i w:val="false"/>
          <w:iCs w:val="false"/>
          <w:sz w:val="21"/>
          <w:szCs w:val="21"/>
        </w:rPr>
        <w:t xml:space="preserve">This matters for deployment. A new user puts on the headset, records a minute of unlabelled motor imagery, and the alignment matrix is computed from it. No labelling, no supervised calibration session. That is what makes the 'without lengthy calibration' requirement operational rather than aspirational.</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color="auto" w:val="clear"/>
            <w:tcMar>
              <w:top w:type="dxa" w:w="140"/>
              <w:left w:type="dxa" w:w="160"/>
              <w:bottom w:type="dxa" w:w="140"/>
              <w:right w:type="dxa" w:w="160"/>
            </w:tcMar>
          </w:tcPr>
          <w:p>
            <w:pPr>
              <w:spacing w:after="70"/>
            </w:pPr>
            <w:r>
              <w:rPr>
                <w:b/>
                <w:bCs/>
                <w:color w:val="1F3864"/>
                <w:sz w:val="21"/>
                <w:szCs w:val="21"/>
              </w:rPr>
              <w:t xml:space="preserve">Euclidean Alignment — formal definition</w:t>
            </w:r>
          </w:p>
          <w:p>
            <w:pPr>
              <w:spacing w:after="50" w:line="276"/>
              <w:jc w:val="both"/>
            </w:pPr>
            <w:r>
              <w:rPr>
                <w:sz w:val="21"/>
                <w:szCs w:val="21"/>
              </w:rPr>
              <w:t xml:space="preserve">For subject s with trials X₁ … X_N, each of shape C channels × T samples, compute the mean spatial covariance R_s = (1/N) Σᵢ Xᵢ Xᵢᵀ. Each trial is then aligned as X̃ᵢ = R_s^(−1/2) Xᵢ. After this transform the mean covariance of every subject equals the identity matrix, so the first-order distribution shift between subjects is removed. Reference: He and Wu, IEEE Transactions on Biomedical Engineering 67(2):399–410, 2020.</w:t>
            </w:r>
          </w:p>
        </w:tc>
      </w:tr>
    </w:tbl>
    <w:p>
      <w:pPr>
        <w:pStyle w:val="Heading1"/>
        <w:spacing w:after="160" w:before="360"/>
      </w:pPr>
      <w:r>
        <w:rPr>
          <w:b/>
          <w:bCs/>
          <w:color w:val="1F3864"/>
          <w:sz w:val="30"/>
          <w:szCs w:val="30"/>
        </w:rPr>
        <w:t xml:space="preserve">4. System Architecture — SAND-Net</w:t>
      </w:r>
    </w:p>
    <w:p>
      <w:pPr>
        <w:spacing w:after="120" w:line="276"/>
        <w:jc w:val="both"/>
      </w:pPr>
      <w:r>
        <w:rPr>
          <w:b w:val="false"/>
          <w:bCs w:val="false"/>
          <w:i w:val="false"/>
          <w:iCs w:val="false"/>
          <w:sz w:val="21"/>
          <w:szCs w:val="21"/>
        </w:rPr>
        <w:t xml:space="preserve">SAND-Net (Subject-Agnostic Neural Decoder) is assembled from components taken deliberately from the reviewed literature, with one addition. The design rule was that every component must earn its place in the ablation; nothing is included because it appeared in a paper.</w:t>
      </w:r>
    </w:p>
    <w:p>
      <w:pPr>
        <w:pStyle w:val="Heading2"/>
        <w:spacing w:after="120" w:before="240"/>
      </w:pPr>
      <w:r>
        <w:rPr>
          <w:b/>
          <w:bCs/>
          <w:color w:val="2E74B5"/>
          <w:sz w:val="24"/>
          <w:szCs w:val="24"/>
        </w:rPr>
        <w:t xml:space="preserve">4.1 Component provenance and justification</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400"/>
        <w:gridCol w:w="1400"/>
      </w:tblGrid>
      <w:tr>
        <w:trPr>
          <w:cantSplit/>
          <w:tblHeader/>
        </w:trPr>
        <w:tc>
          <w:tcPr>
            <w:tcW w:type="dxa" w:w="23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Component</w:t>
            </w:r>
          </w:p>
        </w:tc>
        <w:tc>
          <w:tcPr>
            <w:tcW w:type="dxa" w:w="19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Taken from</w:t>
            </w:r>
          </w:p>
        </w:tc>
        <w:tc>
          <w:tcPr>
            <w:tcW w:type="dxa" w:w="34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Why it is included</w:t>
            </w:r>
          </w:p>
        </w:tc>
        <w:tc>
          <w:tcPr>
            <w:tcW w:type="dxa" w:w="14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Cost</w:t>
            </w:r>
          </w:p>
        </w:tc>
      </w:tr>
      <w:tr>
        <w:trPr>
          <w:cantSplit/>
        </w:trPr>
        <w:tc>
          <w:tcPr>
            <w:tcW w:type="dxa" w:w="2300"/>
            <w:tcMar>
              <w:top w:type="dxa" w:w="80"/>
              <w:left w:type="dxa" w:w="110"/>
              <w:bottom w:type="dxa" w:w="80"/>
              <w:right w:type="dxa" w:w="110"/>
            </w:tcMar>
          </w:tcPr>
          <w:p>
            <w:pPr>
              <w:spacing w:after="0" w:line="240"/>
              <w:jc w:val="left"/>
            </w:pPr>
            <w:r>
              <w:rPr>
                <w:b/>
                <w:bCs/>
                <w:i w:val="false"/>
                <w:iCs w:val="false"/>
                <w:sz w:val="19"/>
                <w:szCs w:val="19"/>
              </w:rPr>
              <w:t xml:space="preserve">Euclidean Alignment</w:t>
            </w:r>
          </w:p>
        </w:tc>
        <w:tc>
          <w:tcPr>
            <w:tcW w:type="dxa" w:w="1900"/>
            <w:tcMar>
              <w:top w:type="dxa" w:w="80"/>
              <w:left w:type="dxa" w:w="110"/>
              <w:bottom w:type="dxa" w:w="80"/>
              <w:right w:type="dxa" w:w="110"/>
            </w:tcMar>
          </w:tcPr>
          <w:p>
            <w:pPr>
              <w:spacing w:after="0" w:line="240"/>
              <w:jc w:val="left"/>
            </w:pPr>
            <w:r>
              <w:rPr>
                <w:b w:val="false"/>
                <w:bCs w:val="false"/>
                <w:i w:val="false"/>
                <w:iCs w:val="false"/>
                <w:sz w:val="19"/>
                <w:szCs w:val="19"/>
              </w:rPr>
              <w:t xml:space="preserve">He &amp; Wu (2020)</w:t>
            </w:r>
          </w:p>
        </w:tc>
        <w:tc>
          <w:tcPr>
            <w:tcW w:type="dxa" w:w="3400"/>
            <w:tcMar>
              <w:top w:type="dxa" w:w="80"/>
              <w:left w:type="dxa" w:w="110"/>
              <w:bottom w:type="dxa" w:w="80"/>
              <w:right w:type="dxa" w:w="110"/>
            </w:tcMar>
          </w:tcPr>
          <w:p>
            <w:pPr>
              <w:spacing w:after="0" w:line="240"/>
              <w:jc w:val="left"/>
            </w:pPr>
            <w:r>
              <w:rPr>
                <w:b w:val="false"/>
                <w:bCs w:val="false"/>
                <w:i w:val="false"/>
                <w:iCs w:val="false"/>
                <w:sz w:val="19"/>
                <w:szCs w:val="19"/>
              </w:rPr>
              <w:t xml:space="preserve">Removes subject covariance shift; unsupervised, needs no target labels</w:t>
            </w:r>
          </w:p>
        </w:tc>
        <w:tc>
          <w:tcPr>
            <w:tcW w:type="dxa" w:w="1400"/>
            <w:tcMar>
              <w:top w:type="dxa" w:w="80"/>
              <w:left w:type="dxa" w:w="110"/>
              <w:bottom w:type="dxa" w:w="80"/>
              <w:right w:type="dxa" w:w="110"/>
            </w:tcMar>
          </w:tcPr>
          <w:p>
            <w:pPr>
              <w:spacing w:after="0" w:line="240"/>
              <w:jc w:val="left"/>
            </w:pPr>
            <w:r>
              <w:rPr>
                <w:b w:val="false"/>
                <w:bCs w:val="false"/>
                <w:i w:val="false"/>
                <w:iCs w:val="false"/>
                <w:sz w:val="19"/>
                <w:szCs w:val="19"/>
              </w:rPr>
              <w:t xml:space="preserve">≈0 parameters</w:t>
            </w:r>
          </w:p>
        </w:tc>
      </w:tr>
      <w:tr>
        <w:trPr>
          <w:cantSplit/>
        </w:trPr>
        <w:tc>
          <w:tcPr>
            <w:tcW w:type="dxa" w:w="23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Depthwise-separable conv block</w:t>
            </w:r>
          </w:p>
        </w:tc>
        <w:tc>
          <w:tcPr>
            <w:tcW w:type="dxa" w:w="19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EEGNet (Lawhern, 2018)</w:t>
            </w:r>
          </w:p>
        </w:tc>
        <w:tc>
          <w:tcPr>
            <w:tcW w:type="dxa" w:w="3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Learns CSP-like spatial filters at very low parameter cost</w:t>
            </w:r>
          </w:p>
        </w:tc>
        <w:tc>
          <w:tcPr>
            <w:tcW w:type="dxa" w:w="1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Low</w:t>
            </w:r>
          </w:p>
        </w:tc>
      </w:tr>
      <w:tr>
        <w:trPr>
          <w:cantSplit/>
        </w:trPr>
        <w:tc>
          <w:tcPr>
            <w:tcW w:type="dxa" w:w="2300"/>
            <w:tcMar>
              <w:top w:type="dxa" w:w="80"/>
              <w:left w:type="dxa" w:w="110"/>
              <w:bottom w:type="dxa" w:w="80"/>
              <w:right w:type="dxa" w:w="110"/>
            </w:tcMar>
          </w:tcPr>
          <w:p>
            <w:pPr>
              <w:spacing w:after="0" w:line="240"/>
              <w:jc w:val="left"/>
            </w:pPr>
            <w:r>
              <w:rPr>
                <w:b/>
                <w:bCs/>
                <w:i w:val="false"/>
                <w:iCs w:val="false"/>
                <w:sz w:val="19"/>
                <w:szCs w:val="19"/>
              </w:rPr>
              <w:t xml:space="preserve">Multi-scale dilated temporal conv</w:t>
            </w:r>
          </w:p>
        </w:tc>
        <w:tc>
          <w:tcPr>
            <w:tcW w:type="dxa" w:w="1900"/>
            <w:tcMar>
              <w:top w:type="dxa" w:w="80"/>
              <w:left w:type="dxa" w:w="110"/>
              <w:bottom w:type="dxa" w:w="80"/>
              <w:right w:type="dxa" w:w="110"/>
            </w:tcMar>
          </w:tcPr>
          <w:p>
            <w:pPr>
              <w:spacing w:after="0" w:line="240"/>
              <w:jc w:val="left"/>
            </w:pPr>
            <w:r>
              <w:rPr>
                <w:b w:val="false"/>
                <w:bCs w:val="false"/>
                <w:i w:val="false"/>
                <w:iCs w:val="false"/>
                <w:sz w:val="19"/>
                <w:szCs w:val="19"/>
              </w:rPr>
              <w:t xml:space="preserve">ATCNet (2023), CTNet (2024)</w:t>
            </w:r>
          </w:p>
        </w:tc>
        <w:tc>
          <w:tcPr>
            <w:tcW w:type="dxa" w:w="3400"/>
            <w:tcMar>
              <w:top w:type="dxa" w:w="80"/>
              <w:left w:type="dxa" w:w="110"/>
              <w:bottom w:type="dxa" w:w="80"/>
              <w:right w:type="dxa" w:w="110"/>
            </w:tcMar>
          </w:tcPr>
          <w:p>
            <w:pPr>
              <w:spacing w:after="0" w:line="240"/>
              <w:jc w:val="left"/>
            </w:pPr>
            <w:r>
              <w:rPr>
                <w:b w:val="false"/>
                <w:bCs w:val="false"/>
                <w:i w:val="false"/>
                <w:iCs w:val="false"/>
                <w:sz w:val="19"/>
                <w:szCs w:val="19"/>
              </w:rPr>
              <w:t xml:space="preserve">Mu and beta rhythms evolve on different timescales; one kernel size cannot capture both</w:t>
            </w:r>
          </w:p>
        </w:tc>
        <w:tc>
          <w:tcPr>
            <w:tcW w:type="dxa" w:w="1400"/>
            <w:tcMar>
              <w:top w:type="dxa" w:w="80"/>
              <w:left w:type="dxa" w:w="110"/>
              <w:bottom w:type="dxa" w:w="80"/>
              <w:right w:type="dxa" w:w="110"/>
            </w:tcMar>
          </w:tcPr>
          <w:p>
            <w:pPr>
              <w:spacing w:after="0" w:line="240"/>
              <w:jc w:val="left"/>
            </w:pPr>
            <w:r>
              <w:rPr>
                <w:b w:val="false"/>
                <w:bCs w:val="false"/>
                <w:i w:val="false"/>
                <w:iCs w:val="false"/>
                <w:sz w:val="19"/>
                <w:szCs w:val="19"/>
              </w:rPr>
              <w:t xml:space="preserve">Moderate</w:t>
            </w:r>
          </w:p>
        </w:tc>
      </w:tr>
      <w:tr>
        <w:trPr>
          <w:cantSplit/>
        </w:trPr>
        <w:tc>
          <w:tcPr>
            <w:tcW w:type="dxa" w:w="23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Windowed multi-head self-attention</w:t>
            </w:r>
          </w:p>
        </w:tc>
        <w:tc>
          <w:tcPr>
            <w:tcW w:type="dxa" w:w="19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EEG Conformer (2023), ATCNet (2023)</w:t>
            </w:r>
          </w:p>
        </w:tc>
        <w:tc>
          <w:tcPr>
            <w:tcW w:type="dxa" w:w="3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Long-range temporal dependency without the O(T²) cost and overfitting of full attention</w:t>
            </w:r>
          </w:p>
        </w:tc>
        <w:tc>
          <w:tcPr>
            <w:tcW w:type="dxa" w:w="1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Moderate</w:t>
            </w:r>
          </w:p>
        </w:tc>
      </w:tr>
      <w:tr>
        <w:trPr>
          <w:cantSplit/>
        </w:trPr>
        <w:tc>
          <w:tcPr>
            <w:tcW w:type="dxa" w:w="2300"/>
            <w:tcMar>
              <w:top w:type="dxa" w:w="80"/>
              <w:left w:type="dxa" w:w="110"/>
              <w:bottom w:type="dxa" w:w="80"/>
              <w:right w:type="dxa" w:w="110"/>
            </w:tcMar>
          </w:tcPr>
          <w:p>
            <w:pPr>
              <w:spacing w:after="0" w:line="240"/>
              <w:jc w:val="left"/>
            </w:pPr>
            <w:r>
              <w:rPr>
                <w:b/>
                <w:bCs/>
                <w:i w:val="false"/>
                <w:iCs w:val="false"/>
                <w:sz w:val="19"/>
                <w:szCs w:val="19"/>
              </w:rPr>
              <w:t xml:space="preserve">Supervised contrastive + domain-adversarial loss</w:t>
            </w:r>
          </w:p>
        </w:tc>
        <w:tc>
          <w:tcPr>
            <w:tcW w:type="dxa" w:w="1900"/>
            <w:tcMar>
              <w:top w:type="dxa" w:w="80"/>
              <w:left w:type="dxa" w:w="110"/>
              <w:bottom w:type="dxa" w:w="80"/>
              <w:right w:type="dxa" w:w="110"/>
            </w:tcMar>
          </w:tcPr>
          <w:p>
            <w:pPr>
              <w:spacing w:after="0" w:line="240"/>
              <w:jc w:val="left"/>
            </w:pPr>
            <w:r>
              <w:rPr>
                <w:b w:val="false"/>
                <w:bCs w:val="false"/>
                <w:i w:val="false"/>
                <w:iCs w:val="false"/>
                <w:sz w:val="19"/>
                <w:szCs w:val="19"/>
              </w:rPr>
              <w:t xml:space="preserve">Domain-generalisation literature</w:t>
            </w:r>
          </w:p>
        </w:tc>
        <w:tc>
          <w:tcPr>
            <w:tcW w:type="dxa" w:w="3400"/>
            <w:tcMar>
              <w:top w:type="dxa" w:w="80"/>
              <w:left w:type="dxa" w:w="110"/>
              <w:bottom w:type="dxa" w:w="80"/>
              <w:right w:type="dxa" w:w="110"/>
            </w:tcMar>
          </w:tcPr>
          <w:p>
            <w:pPr>
              <w:spacing w:after="0" w:line="240"/>
              <w:jc w:val="left"/>
            </w:pPr>
            <w:r>
              <w:rPr>
                <w:b w:val="false"/>
                <w:bCs w:val="false"/>
                <w:i w:val="false"/>
                <w:iCs w:val="false"/>
                <w:sz w:val="19"/>
                <w:szCs w:val="19"/>
              </w:rPr>
              <w:t xml:space="preserve">Pulls same-class trials from different subjects together in feature space</w:t>
            </w:r>
          </w:p>
        </w:tc>
        <w:tc>
          <w:tcPr>
            <w:tcW w:type="dxa" w:w="1400"/>
            <w:tcMar>
              <w:top w:type="dxa" w:w="80"/>
              <w:left w:type="dxa" w:w="110"/>
              <w:bottom w:type="dxa" w:w="80"/>
              <w:right w:type="dxa" w:w="110"/>
            </w:tcMar>
          </w:tcPr>
          <w:p>
            <w:pPr>
              <w:spacing w:after="0" w:line="240"/>
              <w:jc w:val="left"/>
            </w:pPr>
            <w:r>
              <w:rPr>
                <w:b w:val="false"/>
                <w:bCs w:val="false"/>
                <w:i w:val="false"/>
                <w:iCs w:val="false"/>
                <w:sz w:val="19"/>
                <w:szCs w:val="19"/>
              </w:rPr>
              <w:t xml:space="preserve">Training only; zero at inference</w:t>
            </w:r>
          </w:p>
        </w:tc>
      </w:tr>
      <w:tr>
        <w:trPr>
          <w:cantSplit/>
        </w:trPr>
        <w:tc>
          <w:tcPr>
            <w:tcW w:type="dxa" w:w="23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Class Activation Topography</w:t>
            </w:r>
          </w:p>
        </w:tc>
        <w:tc>
          <w:tcPr>
            <w:tcW w:type="dxa" w:w="19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EEG Conformer (2023)</w:t>
            </w:r>
          </w:p>
        </w:tc>
        <w:tc>
          <w:tcPr>
            <w:tcW w:type="dxa" w:w="3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Maps channel contribution per class for neurophysiological validation</w:t>
            </w:r>
          </w:p>
        </w:tc>
        <w:tc>
          <w:tcPr>
            <w:tcW w:type="dxa" w:w="1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Zero</w:t>
            </w:r>
          </w:p>
        </w:tc>
      </w:tr>
    </w:tbl>
    <w:p>
      <w:pPr>
        <w:spacing w:after="200" w:before="60"/>
      </w:pPr>
      <w:r>
        <w:rPr>
          <w:i/>
          <w:iCs/>
          <w:color w:val="595959"/>
          <w:sz w:val="17"/>
          <w:szCs w:val="17"/>
        </w:rPr>
        <w:t xml:space="preserve">Table 4.1 — Every component traces to a reviewed paper or to an explicit gap in them. The fifth row is the addition none of the four architectures has.</w:t>
      </w:r>
    </w:p>
    <w:p>
      <w:pPr>
        <w:pStyle w:val="Heading2"/>
        <w:spacing w:after="120" w:before="240"/>
      </w:pPr>
      <w:r>
        <w:rPr>
          <w:b/>
          <w:bCs/>
          <w:color w:val="2E74B5"/>
          <w:sz w:val="24"/>
          <w:szCs w:val="24"/>
        </w:rPr>
        <w:t xml:space="preserve">4.2 Layer specification</w:t>
      </w:r>
    </w:p>
    <w:p>
      <w:pPr>
        <w:spacing w:after="120" w:line="276"/>
        <w:jc w:val="both"/>
      </w:pPr>
      <w:r>
        <w:rPr>
          <w:b w:val="false"/>
          <w:bCs w:val="false"/>
          <w:i w:val="false"/>
          <w:iCs w:val="false"/>
          <w:sz w:val="21"/>
          <w:szCs w:val="21"/>
        </w:rPr>
        <w:t xml:space="preserve">Configuration shown for BCI IV-2a: C = 22 channels, T = 875 samples (0.5–4.0 s post-cue at 250 Hz), 4 classes.</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700"/>
        <w:gridCol w:w="2100"/>
      </w:tblGrid>
      <w:tr>
        <w:trPr>
          <w:cantSplit/>
          <w:tblHeader/>
        </w:trPr>
        <w:tc>
          <w:tcPr>
            <w:tcW w:type="dxa" w:w="5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w:t>
            </w:r>
          </w:p>
        </w:tc>
        <w:tc>
          <w:tcPr>
            <w:tcW w:type="dxa" w:w="27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Layer</w:t>
            </w:r>
          </w:p>
        </w:tc>
        <w:tc>
          <w:tcPr>
            <w:tcW w:type="dxa" w:w="37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Configuration</w:t>
            </w:r>
          </w:p>
        </w:tc>
        <w:tc>
          <w:tcPr>
            <w:tcW w:type="dxa" w:w="21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Output shape</w:t>
            </w:r>
          </w:p>
        </w:tc>
      </w:tr>
      <w:tr>
        <w:trPr>
          <w:cantSplit/>
        </w:trPr>
        <w:tc>
          <w:tcPr>
            <w:tcW w:type="dxa" w:w="500"/>
            <w:tcMar>
              <w:top w:type="dxa" w:w="80"/>
              <w:left w:type="dxa" w:w="110"/>
              <w:bottom w:type="dxa" w:w="80"/>
              <w:right w:type="dxa" w:w="110"/>
            </w:tcMar>
          </w:tcPr>
          <w:p>
            <w:pPr>
              <w:spacing w:after="0" w:line="240"/>
              <w:jc w:val="left"/>
            </w:pPr>
            <w:r>
              <w:rPr>
                <w:b/>
                <w:bCs/>
                <w:i w:val="false"/>
                <w:iCs w:val="false"/>
                <w:sz w:val="19"/>
                <w:szCs w:val="19"/>
              </w:rPr>
              <w:t xml:space="preserve">0</w:t>
            </w:r>
          </w:p>
        </w:tc>
        <w:tc>
          <w:tcPr>
            <w:tcW w:type="dxa" w:w="2700"/>
            <w:tcMar>
              <w:top w:type="dxa" w:w="80"/>
              <w:left w:type="dxa" w:w="110"/>
              <w:bottom w:type="dxa" w:w="80"/>
              <w:right w:type="dxa" w:w="110"/>
            </w:tcMar>
          </w:tcPr>
          <w:p>
            <w:pPr>
              <w:spacing w:after="0" w:line="240"/>
              <w:jc w:val="left"/>
            </w:pPr>
            <w:r>
              <w:rPr>
                <w:b w:val="false"/>
                <w:bCs w:val="false"/>
                <w:i w:val="false"/>
                <w:iCs w:val="false"/>
                <w:sz w:val="19"/>
                <w:szCs w:val="19"/>
              </w:rPr>
              <w:t xml:space="preserve">Euclidean Alignment</w:t>
            </w:r>
          </w:p>
        </w:tc>
        <w:tc>
          <w:tcPr>
            <w:tcW w:type="dxa" w:w="3700"/>
            <w:tcMar>
              <w:top w:type="dxa" w:w="80"/>
              <w:left w:type="dxa" w:w="110"/>
              <w:bottom w:type="dxa" w:w="80"/>
              <w:right w:type="dxa" w:w="110"/>
            </w:tcMar>
          </w:tcPr>
          <w:p>
            <w:pPr>
              <w:spacing w:after="0" w:line="240"/>
              <w:jc w:val="left"/>
            </w:pPr>
            <w:r>
              <w:rPr>
                <w:b w:val="false"/>
                <w:bCs w:val="false"/>
                <w:i w:val="false"/>
                <w:iCs w:val="false"/>
                <w:sz w:val="19"/>
                <w:szCs w:val="19"/>
              </w:rPr>
              <w:t xml:space="preserve">R_s^(−1/2) applied per subject</w:t>
            </w:r>
          </w:p>
        </w:tc>
        <w:tc>
          <w:tcPr>
            <w:tcW w:type="dxa" w:w="2100"/>
            <w:tcMar>
              <w:top w:type="dxa" w:w="80"/>
              <w:left w:type="dxa" w:w="110"/>
              <w:bottom w:type="dxa" w:w="80"/>
              <w:right w:type="dxa" w:w="110"/>
            </w:tcMar>
          </w:tcPr>
          <w:p>
            <w:pPr>
              <w:spacing w:after="0" w:line="240"/>
              <w:jc w:val="left"/>
            </w:pPr>
            <w:r>
              <w:rPr>
                <w:b w:val="false"/>
                <w:bCs w:val="false"/>
                <w:i w:val="false"/>
                <w:iCs w:val="false"/>
                <w:sz w:val="19"/>
                <w:szCs w:val="19"/>
              </w:rPr>
              <w:t xml:space="preserve">22 × 875</w:t>
            </w:r>
          </w:p>
        </w:tc>
      </w:tr>
      <w:tr>
        <w:trPr>
          <w:cantSplit/>
        </w:trPr>
        <w:tc>
          <w:tcPr>
            <w:tcW w:type="dxa" w:w="5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1</w:t>
            </w:r>
          </w:p>
        </w:tc>
        <w:tc>
          <w:tcPr>
            <w:tcW w:type="dxa" w:w="2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Temporal convolution</w:t>
            </w:r>
          </w:p>
        </w:tc>
        <w:tc>
          <w:tcPr>
            <w:tcW w:type="dxa" w:w="3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F1 = 16, kernel (1, 64), padding same</w:t>
            </w:r>
          </w:p>
        </w:tc>
        <w:tc>
          <w:tcPr>
            <w:tcW w:type="dxa" w:w="21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16 × 22 × 875</w:t>
            </w:r>
          </w:p>
        </w:tc>
      </w:tr>
      <w:tr>
        <w:trPr>
          <w:cantSplit/>
        </w:trPr>
        <w:tc>
          <w:tcPr>
            <w:tcW w:type="dxa" w:w="500"/>
            <w:tcMar>
              <w:top w:type="dxa" w:w="80"/>
              <w:left w:type="dxa" w:w="110"/>
              <w:bottom w:type="dxa" w:w="80"/>
              <w:right w:type="dxa" w:w="110"/>
            </w:tcMar>
          </w:tcPr>
          <w:p>
            <w:pPr>
              <w:spacing w:after="0" w:line="240"/>
              <w:jc w:val="left"/>
            </w:pPr>
            <w:r>
              <w:rPr>
                <w:b/>
                <w:bCs/>
                <w:i w:val="false"/>
                <w:iCs w:val="false"/>
                <w:sz w:val="19"/>
                <w:szCs w:val="19"/>
              </w:rPr>
              <w:t xml:space="preserve">2</w:t>
            </w:r>
          </w:p>
        </w:tc>
        <w:tc>
          <w:tcPr>
            <w:tcW w:type="dxa" w:w="2700"/>
            <w:tcMar>
              <w:top w:type="dxa" w:w="80"/>
              <w:left w:type="dxa" w:w="110"/>
              <w:bottom w:type="dxa" w:w="80"/>
              <w:right w:type="dxa" w:w="110"/>
            </w:tcMar>
          </w:tcPr>
          <w:p>
            <w:pPr>
              <w:spacing w:after="0" w:line="240"/>
              <w:jc w:val="left"/>
            </w:pPr>
            <w:r>
              <w:rPr>
                <w:b w:val="false"/>
                <w:bCs w:val="false"/>
                <w:i w:val="false"/>
                <w:iCs w:val="false"/>
                <w:sz w:val="19"/>
                <w:szCs w:val="19"/>
              </w:rPr>
              <w:t xml:space="preserve">Depthwise spatial conv</w:t>
            </w:r>
          </w:p>
        </w:tc>
        <w:tc>
          <w:tcPr>
            <w:tcW w:type="dxa" w:w="3700"/>
            <w:tcMar>
              <w:top w:type="dxa" w:w="80"/>
              <w:left w:type="dxa" w:w="110"/>
              <w:bottom w:type="dxa" w:w="80"/>
              <w:right w:type="dxa" w:w="110"/>
            </w:tcMar>
          </w:tcPr>
          <w:p>
            <w:pPr>
              <w:spacing w:after="0" w:line="240"/>
              <w:jc w:val="left"/>
            </w:pPr>
            <w:r>
              <w:rPr>
                <w:b w:val="false"/>
                <w:bCs w:val="false"/>
                <w:i w:val="false"/>
                <w:iCs w:val="false"/>
                <w:sz w:val="19"/>
                <w:szCs w:val="19"/>
              </w:rPr>
              <w:t xml:space="preserve">D = 2, kernel (22, 1), max-norm 1.0</w:t>
            </w:r>
          </w:p>
        </w:tc>
        <w:tc>
          <w:tcPr>
            <w:tcW w:type="dxa" w:w="2100"/>
            <w:tcMar>
              <w:top w:type="dxa" w:w="80"/>
              <w:left w:type="dxa" w:w="110"/>
              <w:bottom w:type="dxa" w:w="80"/>
              <w:right w:type="dxa" w:w="110"/>
            </w:tcMar>
          </w:tcPr>
          <w:p>
            <w:pPr>
              <w:spacing w:after="0" w:line="240"/>
              <w:jc w:val="left"/>
            </w:pPr>
            <w:r>
              <w:rPr>
                <w:b w:val="false"/>
                <w:bCs w:val="false"/>
                <w:i w:val="false"/>
                <w:iCs w:val="false"/>
                <w:sz w:val="19"/>
                <w:szCs w:val="19"/>
              </w:rPr>
              <w:t xml:space="preserve">32 × 1 × 875</w:t>
            </w:r>
          </w:p>
        </w:tc>
      </w:tr>
      <w:tr>
        <w:trPr>
          <w:cantSplit/>
        </w:trPr>
        <w:tc>
          <w:tcPr>
            <w:tcW w:type="dxa" w:w="5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3</w:t>
            </w:r>
          </w:p>
        </w:tc>
        <w:tc>
          <w:tcPr>
            <w:tcW w:type="dxa" w:w="2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BN → ELU → AvgPool(1,4) → Dropout 0.25</w:t>
            </w:r>
          </w:p>
        </w:tc>
        <w:tc>
          <w:tcPr>
            <w:tcW w:type="dxa" w:w="3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w:t>
            </w:r>
          </w:p>
        </w:tc>
        <w:tc>
          <w:tcPr>
            <w:tcW w:type="dxa" w:w="21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32 × 1 × 218</w:t>
            </w:r>
          </w:p>
        </w:tc>
      </w:tr>
      <w:tr>
        <w:trPr>
          <w:cantSplit/>
        </w:trPr>
        <w:tc>
          <w:tcPr>
            <w:tcW w:type="dxa" w:w="500"/>
            <w:tcMar>
              <w:top w:type="dxa" w:w="80"/>
              <w:left w:type="dxa" w:w="110"/>
              <w:bottom w:type="dxa" w:w="80"/>
              <w:right w:type="dxa" w:w="110"/>
            </w:tcMar>
          </w:tcPr>
          <w:p>
            <w:pPr>
              <w:spacing w:after="0" w:line="240"/>
              <w:jc w:val="left"/>
            </w:pPr>
            <w:r>
              <w:rPr>
                <w:b/>
                <w:bCs/>
                <w:i w:val="false"/>
                <w:iCs w:val="false"/>
                <w:sz w:val="19"/>
                <w:szCs w:val="19"/>
              </w:rPr>
              <w:t xml:space="preserve">4</w:t>
            </w:r>
          </w:p>
        </w:tc>
        <w:tc>
          <w:tcPr>
            <w:tcW w:type="dxa" w:w="2700"/>
            <w:tcMar>
              <w:top w:type="dxa" w:w="80"/>
              <w:left w:type="dxa" w:w="110"/>
              <w:bottom w:type="dxa" w:w="80"/>
              <w:right w:type="dxa" w:w="110"/>
            </w:tcMar>
          </w:tcPr>
          <w:p>
            <w:pPr>
              <w:spacing w:after="0" w:line="240"/>
              <w:jc w:val="left"/>
            </w:pPr>
            <w:r>
              <w:rPr>
                <w:b w:val="false"/>
                <w:bCs w:val="false"/>
                <w:i w:val="false"/>
                <w:iCs w:val="false"/>
                <w:sz w:val="19"/>
                <w:szCs w:val="19"/>
              </w:rPr>
              <w:t xml:space="preserve">Separable convolution</w:t>
            </w:r>
          </w:p>
        </w:tc>
        <w:tc>
          <w:tcPr>
            <w:tcW w:type="dxa" w:w="3700"/>
            <w:tcMar>
              <w:top w:type="dxa" w:w="80"/>
              <w:left w:type="dxa" w:w="110"/>
              <w:bottom w:type="dxa" w:w="80"/>
              <w:right w:type="dxa" w:w="110"/>
            </w:tcMar>
          </w:tcPr>
          <w:p>
            <w:pPr>
              <w:spacing w:after="0" w:line="240"/>
              <w:jc w:val="left"/>
            </w:pPr>
            <w:r>
              <w:rPr>
                <w:b w:val="false"/>
                <w:bCs w:val="false"/>
                <w:i w:val="false"/>
                <w:iCs w:val="false"/>
                <w:sz w:val="19"/>
                <w:szCs w:val="19"/>
              </w:rPr>
              <w:t xml:space="preserve">F2 = 32, kernel (1, 16)</w:t>
            </w:r>
          </w:p>
        </w:tc>
        <w:tc>
          <w:tcPr>
            <w:tcW w:type="dxa" w:w="2100"/>
            <w:tcMar>
              <w:top w:type="dxa" w:w="80"/>
              <w:left w:type="dxa" w:w="110"/>
              <w:bottom w:type="dxa" w:w="80"/>
              <w:right w:type="dxa" w:w="110"/>
            </w:tcMar>
          </w:tcPr>
          <w:p>
            <w:pPr>
              <w:spacing w:after="0" w:line="240"/>
              <w:jc w:val="left"/>
            </w:pPr>
            <w:r>
              <w:rPr>
                <w:b w:val="false"/>
                <w:bCs w:val="false"/>
                <w:i w:val="false"/>
                <w:iCs w:val="false"/>
                <w:sz w:val="19"/>
                <w:szCs w:val="19"/>
              </w:rPr>
              <w:t xml:space="preserve">32 × 1 × 218</w:t>
            </w:r>
          </w:p>
        </w:tc>
      </w:tr>
      <w:tr>
        <w:trPr>
          <w:cantSplit/>
        </w:trPr>
        <w:tc>
          <w:tcPr>
            <w:tcW w:type="dxa" w:w="5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5</w:t>
            </w:r>
          </w:p>
        </w:tc>
        <w:tc>
          <w:tcPr>
            <w:tcW w:type="dxa" w:w="2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BN → ELU → AvgPool(1,8) → Dropout 0.25</w:t>
            </w:r>
          </w:p>
        </w:tc>
        <w:tc>
          <w:tcPr>
            <w:tcW w:type="dxa" w:w="3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w:t>
            </w:r>
          </w:p>
        </w:tc>
        <w:tc>
          <w:tcPr>
            <w:tcW w:type="dxa" w:w="21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32 × 1 × 27</w:t>
            </w:r>
          </w:p>
        </w:tc>
      </w:tr>
      <w:tr>
        <w:trPr>
          <w:cantSplit/>
        </w:trPr>
        <w:tc>
          <w:tcPr>
            <w:tcW w:type="dxa" w:w="500"/>
            <w:tcMar>
              <w:top w:type="dxa" w:w="80"/>
              <w:left w:type="dxa" w:w="110"/>
              <w:bottom w:type="dxa" w:w="80"/>
              <w:right w:type="dxa" w:w="110"/>
            </w:tcMar>
          </w:tcPr>
          <w:p>
            <w:pPr>
              <w:spacing w:after="0" w:line="240"/>
              <w:jc w:val="left"/>
            </w:pPr>
            <w:r>
              <w:rPr>
                <w:b/>
                <w:bCs/>
                <w:i w:val="false"/>
                <w:iCs w:val="false"/>
                <w:sz w:val="19"/>
                <w:szCs w:val="19"/>
              </w:rPr>
              <w:t xml:space="preserve">6</w:t>
            </w:r>
          </w:p>
        </w:tc>
        <w:tc>
          <w:tcPr>
            <w:tcW w:type="dxa" w:w="2700"/>
            <w:tcMar>
              <w:top w:type="dxa" w:w="80"/>
              <w:left w:type="dxa" w:w="110"/>
              <w:bottom w:type="dxa" w:w="80"/>
              <w:right w:type="dxa" w:w="110"/>
            </w:tcMar>
          </w:tcPr>
          <w:p>
            <w:pPr>
              <w:spacing w:after="0" w:line="240"/>
              <w:jc w:val="left"/>
            </w:pPr>
            <w:r>
              <w:rPr>
                <w:b w:val="false"/>
                <w:bCs w:val="false"/>
                <w:i w:val="false"/>
                <w:iCs w:val="false"/>
                <w:sz w:val="19"/>
                <w:szCs w:val="19"/>
              </w:rPr>
              <w:t xml:space="preserve">Multi-scale temporal branch</w:t>
            </w:r>
          </w:p>
        </w:tc>
        <w:tc>
          <w:tcPr>
            <w:tcW w:type="dxa" w:w="3700"/>
            <w:tcMar>
              <w:top w:type="dxa" w:w="80"/>
              <w:left w:type="dxa" w:w="110"/>
              <w:bottom w:type="dxa" w:w="80"/>
              <w:right w:type="dxa" w:w="110"/>
            </w:tcMar>
          </w:tcPr>
          <w:p>
            <w:pPr>
              <w:spacing w:after="0" w:line="240"/>
              <w:jc w:val="left"/>
            </w:pPr>
            <w:r>
              <w:rPr>
                <w:b w:val="false"/>
                <w:bCs w:val="false"/>
                <w:i w:val="false"/>
                <w:iCs w:val="false"/>
                <w:sz w:val="19"/>
                <w:szCs w:val="19"/>
              </w:rPr>
              <w:t xml:space="preserve">3 parallel dilated convs, k = 4/8/16, dilation 1/2/4</w:t>
            </w:r>
          </w:p>
        </w:tc>
        <w:tc>
          <w:tcPr>
            <w:tcW w:type="dxa" w:w="2100"/>
            <w:tcMar>
              <w:top w:type="dxa" w:w="80"/>
              <w:left w:type="dxa" w:w="110"/>
              <w:bottom w:type="dxa" w:w="80"/>
              <w:right w:type="dxa" w:w="110"/>
            </w:tcMar>
          </w:tcPr>
          <w:p>
            <w:pPr>
              <w:spacing w:after="0" w:line="240"/>
              <w:jc w:val="left"/>
            </w:pPr>
            <w:r>
              <w:rPr>
                <w:b w:val="false"/>
                <w:bCs w:val="false"/>
                <w:i w:val="false"/>
                <w:iCs w:val="false"/>
                <w:sz w:val="19"/>
                <w:szCs w:val="19"/>
              </w:rPr>
              <w:t xml:space="preserve">96 × 27</w:t>
            </w:r>
          </w:p>
        </w:tc>
      </w:tr>
      <w:tr>
        <w:trPr>
          <w:cantSplit/>
        </w:trPr>
        <w:tc>
          <w:tcPr>
            <w:tcW w:type="dxa" w:w="5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7</w:t>
            </w:r>
          </w:p>
        </w:tc>
        <w:tc>
          <w:tcPr>
            <w:tcW w:type="dxa" w:w="2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Fusion</w:t>
            </w:r>
          </w:p>
        </w:tc>
        <w:tc>
          <w:tcPr>
            <w:tcW w:type="dxa" w:w="3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1×1 convolution</w:t>
            </w:r>
          </w:p>
        </w:tc>
        <w:tc>
          <w:tcPr>
            <w:tcW w:type="dxa" w:w="21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32 × 27</w:t>
            </w:r>
          </w:p>
        </w:tc>
      </w:tr>
      <w:tr>
        <w:trPr>
          <w:cantSplit/>
        </w:trPr>
        <w:tc>
          <w:tcPr>
            <w:tcW w:type="dxa" w:w="500"/>
            <w:tcMar>
              <w:top w:type="dxa" w:w="80"/>
              <w:left w:type="dxa" w:w="110"/>
              <w:bottom w:type="dxa" w:w="80"/>
              <w:right w:type="dxa" w:w="110"/>
            </w:tcMar>
          </w:tcPr>
          <w:p>
            <w:pPr>
              <w:spacing w:after="0" w:line="240"/>
              <w:jc w:val="left"/>
            </w:pPr>
            <w:r>
              <w:rPr>
                <w:b/>
                <w:bCs/>
                <w:i w:val="false"/>
                <w:iCs w:val="false"/>
                <w:sz w:val="19"/>
                <w:szCs w:val="19"/>
              </w:rPr>
              <w:t xml:space="preserve">8</w:t>
            </w:r>
          </w:p>
        </w:tc>
        <w:tc>
          <w:tcPr>
            <w:tcW w:type="dxa" w:w="2700"/>
            <w:tcMar>
              <w:top w:type="dxa" w:w="80"/>
              <w:left w:type="dxa" w:w="110"/>
              <w:bottom w:type="dxa" w:w="80"/>
              <w:right w:type="dxa" w:w="110"/>
            </w:tcMar>
          </w:tcPr>
          <w:p>
            <w:pPr>
              <w:spacing w:after="0" w:line="240"/>
              <w:jc w:val="left"/>
            </w:pPr>
            <w:r>
              <w:rPr>
                <w:b w:val="false"/>
                <w:bCs w:val="false"/>
                <w:i w:val="false"/>
                <w:iCs w:val="false"/>
                <w:sz w:val="19"/>
                <w:szCs w:val="19"/>
              </w:rPr>
              <w:t xml:space="preserve">Windowed MHSA</w:t>
            </w:r>
          </w:p>
        </w:tc>
        <w:tc>
          <w:tcPr>
            <w:tcW w:type="dxa" w:w="3700"/>
            <w:tcMar>
              <w:top w:type="dxa" w:w="80"/>
              <w:left w:type="dxa" w:w="110"/>
              <w:bottom w:type="dxa" w:w="80"/>
              <w:right w:type="dxa" w:w="110"/>
            </w:tcMar>
          </w:tcPr>
          <w:p>
            <w:pPr>
              <w:spacing w:after="0" w:line="240"/>
              <w:jc w:val="left"/>
            </w:pPr>
            <w:r>
              <w:rPr>
                <w:b w:val="false"/>
                <w:bCs w:val="false"/>
                <w:i w:val="false"/>
                <w:iCs w:val="false"/>
                <w:sz w:val="19"/>
                <w:szCs w:val="19"/>
              </w:rPr>
              <w:t xml:space="preserve">5 overlapping windows, 2 heads, depth 2, learnable positional encoding</w:t>
            </w:r>
          </w:p>
        </w:tc>
        <w:tc>
          <w:tcPr>
            <w:tcW w:type="dxa" w:w="2100"/>
            <w:tcMar>
              <w:top w:type="dxa" w:w="80"/>
              <w:left w:type="dxa" w:w="110"/>
              <w:bottom w:type="dxa" w:w="80"/>
              <w:right w:type="dxa" w:w="110"/>
            </w:tcMar>
          </w:tcPr>
          <w:p>
            <w:pPr>
              <w:spacing w:after="0" w:line="240"/>
              <w:jc w:val="left"/>
            </w:pPr>
            <w:r>
              <w:rPr>
                <w:b w:val="false"/>
                <w:bCs w:val="false"/>
                <w:i w:val="false"/>
                <w:iCs w:val="false"/>
                <w:sz w:val="19"/>
                <w:szCs w:val="19"/>
              </w:rPr>
              <w:t xml:space="preserve">32 × 27</w:t>
            </w:r>
          </w:p>
        </w:tc>
      </w:tr>
      <w:tr>
        <w:trPr>
          <w:cantSplit/>
        </w:trPr>
        <w:tc>
          <w:tcPr>
            <w:tcW w:type="dxa" w:w="5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9</w:t>
            </w:r>
          </w:p>
        </w:tc>
        <w:tc>
          <w:tcPr>
            <w:tcW w:type="dxa" w:w="2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Global average pool → FC</w:t>
            </w:r>
          </w:p>
        </w:tc>
        <w:tc>
          <w:tcPr>
            <w:tcW w:type="dxa" w:w="3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32 → 4, softmax</w:t>
            </w:r>
          </w:p>
        </w:tc>
        <w:tc>
          <w:tcPr>
            <w:tcW w:type="dxa" w:w="21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4</w:t>
            </w:r>
          </w:p>
        </w:tc>
      </w:tr>
    </w:tbl>
    <w:p>
      <w:pPr>
        <w:spacing w:after="200" w:before="60"/>
      </w:pPr>
      <w:r>
        <w:rPr>
          <w:i/>
          <w:iCs/>
          <w:color w:val="595959"/>
          <w:sz w:val="17"/>
          <w:szCs w:val="17"/>
        </w:rPr>
        <w:t xml:space="preserve">Table 4.2 — SAND-Net layer specification. Target parameter budget is under 50,000, placing it between ShallowConvNet (47,364) and ATCNet (113,732).</w:t>
      </w:r>
    </w:p>
    <w:p>
      <w:pPr>
        <w:pStyle w:val="Heading2"/>
        <w:spacing w:after="120" w:before="240"/>
      </w:pPr>
      <w:r>
        <w:rPr>
          <w:b/>
          <w:bCs/>
          <w:color w:val="2E74B5"/>
          <w:sz w:val="24"/>
          <w:szCs w:val="24"/>
        </w:rPr>
        <w:t xml:space="preserve">4.3 Training objective</w:t>
      </w:r>
    </w:p>
    <w:p>
      <w:pPr>
        <w:spacing w:after="180" w:before="100"/>
        <w:jc w:val="center"/>
      </w:pPr>
      <w:r>
        <w:rPr>
          <w:b/>
          <w:bCs/>
          <w:sz w:val="24"/>
          <w:szCs w:val="24"/>
        </w:rPr>
        <w:t xml:space="preserve">L</w:t>
      </w:r>
      <w:r>
        <w:rPr>
          <w:b/>
          <w:bCs/>
          <w:sz w:val="24"/>
          <w:szCs w:val="24"/>
          <w:vertAlign w:val="subscript"/>
        </w:rPr>
        <w:t xml:space="preserve">total</w:t>
      </w:r>
      <w:r>
        <w:rPr>
          <w:sz w:val="24"/>
          <w:szCs w:val="24"/>
        </w:rPr>
        <w:t xml:space="preserve">  =  L</w:t>
      </w:r>
      <w:r>
        <w:rPr>
          <w:sz w:val="24"/>
          <w:szCs w:val="24"/>
          <w:vertAlign w:val="subscript"/>
        </w:rPr>
        <w:t xml:space="preserve">CE</w:t>
      </w:r>
      <w:r>
        <w:rPr>
          <w:sz w:val="24"/>
          <w:szCs w:val="24"/>
        </w:rPr>
        <w:t xml:space="preserve">  +  λ</w:t>
      </w:r>
      <w:r>
        <w:rPr>
          <w:sz w:val="24"/>
          <w:szCs w:val="24"/>
          <w:vertAlign w:val="subscript"/>
        </w:rPr>
        <w:t xml:space="preserve">1</w:t>
      </w:r>
      <w:r>
        <w:rPr>
          <w:sz w:val="24"/>
          <w:szCs w:val="24"/>
        </w:rPr>
        <w:t xml:space="preserve"> · L</w:t>
      </w:r>
      <w:r>
        <w:rPr>
          <w:sz w:val="24"/>
          <w:szCs w:val="24"/>
          <w:vertAlign w:val="subscript"/>
        </w:rPr>
        <w:t xml:space="preserve">SupCon</w:t>
      </w:r>
      <w:r>
        <w:rPr>
          <w:sz w:val="24"/>
          <w:szCs w:val="24"/>
        </w:rPr>
        <w:t xml:space="preserve">  +  λ</w:t>
      </w:r>
      <w:r>
        <w:rPr>
          <w:sz w:val="24"/>
          <w:szCs w:val="24"/>
          <w:vertAlign w:val="subscript"/>
        </w:rPr>
        <w:t xml:space="preserve">2</w:t>
      </w:r>
      <w:r>
        <w:rPr>
          <w:sz w:val="24"/>
          <w:szCs w:val="24"/>
        </w:rPr>
        <w:t xml:space="preserve"> · L</w:t>
      </w:r>
      <w:r>
        <w:rPr>
          <w:sz w:val="24"/>
          <w:szCs w:val="24"/>
          <w:vertAlign w:val="subscript"/>
        </w:rPr>
        <w:t xml:space="preserve">DANN</w:t>
      </w:r>
    </w:p>
    <w:p>
      <w:pPr>
        <w:pStyle w:val="ListParagraph"/>
        <w:numPr>
          <w:ilvl w:val="0"/>
          <w:numId w:val="2"/>
        </w:numPr>
        <w:spacing w:after="70" w:line="276"/>
      </w:pPr>
      <w:r>
        <w:rPr>
          <w:b/>
          <w:bCs/>
          <w:sz w:val="21"/>
          <w:szCs w:val="21"/>
        </w:rPr>
        <w:t xml:space="preserve">L</w:t>
      </w:r>
      <w:r>
        <w:rPr>
          <w:b/>
          <w:bCs/>
          <w:sz w:val="21"/>
          <w:szCs w:val="21"/>
          <w:vertAlign w:val="subscript"/>
        </w:rPr>
        <w:t xml:space="preserve">CE</w:t>
      </w:r>
      <w:r>
        <w:rPr>
          <w:sz w:val="21"/>
          <w:szCs w:val="21"/>
        </w:rPr>
        <w:t xml:space="preserve"> — standard cross-entropy on the four motor imagery classes.</w:t>
      </w:r>
    </w:p>
    <w:p>
      <w:pPr>
        <w:pStyle w:val="ListParagraph"/>
        <w:numPr>
          <w:ilvl w:val="0"/>
          <w:numId w:val="2"/>
        </w:numPr>
        <w:spacing w:after="70" w:line="276"/>
      </w:pPr>
      <w:r>
        <w:rPr>
          <w:b/>
          <w:bCs/>
          <w:sz w:val="21"/>
          <w:szCs w:val="21"/>
        </w:rPr>
        <w:t xml:space="preserve">L</w:t>
      </w:r>
      <w:r>
        <w:rPr>
          <w:b/>
          <w:bCs/>
          <w:sz w:val="21"/>
          <w:szCs w:val="21"/>
          <w:vertAlign w:val="subscript"/>
        </w:rPr>
        <w:t xml:space="preserve">SupCon</w:t>
      </w:r>
      <w:r>
        <w:rPr>
          <w:sz w:val="21"/>
          <w:szCs w:val="21"/>
        </w:rPr>
        <w:t xml:space="preserve"> — supervised contrastive loss computed across subjects: trials of the same class from different subjects are pulled together, trials of different classes are pushed apart. This is what forces the class structure to be subject-independent rather than subject-specific.</w:t>
      </w:r>
    </w:p>
    <w:p>
      <w:pPr>
        <w:pStyle w:val="ListParagraph"/>
        <w:numPr>
          <w:ilvl w:val="0"/>
          <w:numId w:val="2"/>
        </w:numPr>
        <w:spacing w:after="70" w:line="276"/>
      </w:pPr>
      <w:r>
        <w:rPr>
          <w:b/>
          <w:bCs/>
          <w:sz w:val="21"/>
          <w:szCs w:val="21"/>
        </w:rPr>
        <w:t xml:space="preserve">L</w:t>
      </w:r>
      <w:r>
        <w:rPr>
          <w:b/>
          <w:bCs/>
          <w:sz w:val="21"/>
          <w:szCs w:val="21"/>
          <w:vertAlign w:val="subscript"/>
        </w:rPr>
        <w:t xml:space="preserve">DANN</w:t>
      </w:r>
      <w:r>
        <w:rPr>
          <w:sz w:val="21"/>
          <w:szCs w:val="21"/>
        </w:rPr>
        <w:t xml:space="preserve"> — a subject classifier attached through a gradient reversal layer. If the encoder's features can still identify who produced the trial, they carry subject information the decoder should not be relying on.</w:t>
      </w:r>
    </w:p>
    <w:p>
      <w:pPr>
        <w:spacing w:after="120" w:line="276"/>
        <w:jc w:val="both"/>
      </w:pPr>
      <w:r>
        <w:rPr>
          <w:b w:val="false"/>
          <w:bCs w:val="false"/>
          <w:i w:val="false"/>
          <w:iCs w:val="false"/>
          <w:sz w:val="21"/>
          <w:szCs w:val="21"/>
        </w:rPr>
        <w:t xml:space="preserve">λ₁ and λ₂ are tuned on the validation subject only, never on the test subject. λ₂ is ramped from 0 following the standard DANN schedule to avoid destabilising early training.</w:t>
      </w:r>
    </w:p>
    <w:p>
      <w:pPr>
        <w:pStyle w:val="Heading1"/>
        <w:spacing w:after="160" w:before="360"/>
      </w:pPr>
      <w:r>
        <w:rPr>
          <w:b/>
          <w:bCs/>
          <w:color w:val="1F3864"/>
          <w:sz w:val="30"/>
          <w:szCs w:val="30"/>
        </w:rPr>
        <w:t xml:space="preserve">5. Dataset Selection and Description</w:t>
      </w:r>
    </w:p>
    <w:p>
      <w:pPr>
        <w:spacing w:after="120" w:line="276"/>
        <w:jc w:val="both"/>
      </w:pPr>
      <w:r>
        <w:rPr>
          <w:b w:val="false"/>
          <w:bCs w:val="false"/>
          <w:i w:val="false"/>
          <w:iCs w:val="false"/>
          <w:sz w:val="21"/>
          <w:szCs w:val="21"/>
        </w:rPr>
        <w:t xml:space="preserve">Three motor imagery datasets are used, in a tiered arrangement. All are public, all are standard benchmarks in this literature, and all can be downloaded programmatically through MOABB.</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00"/>
        <w:gridCol w:w="1100"/>
        <w:gridCol w:w="900"/>
        <w:gridCol w:w="1000"/>
        <w:gridCol w:w="1200"/>
      </w:tblGrid>
      <w:tr>
        <w:trPr>
          <w:cantSplit/>
          <w:tblHeader/>
        </w:trPr>
        <w:tc>
          <w:tcPr>
            <w:tcW w:type="dxa" w:w="25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Dataset</w:t>
            </w:r>
          </w:p>
        </w:tc>
        <w:tc>
          <w:tcPr>
            <w:tcW w:type="dxa" w:w="13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Tier</w:t>
            </w:r>
          </w:p>
        </w:tc>
        <w:tc>
          <w:tcPr>
            <w:tcW w:type="dxa" w:w="10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Subjects</w:t>
            </w:r>
          </w:p>
        </w:tc>
        <w:tc>
          <w:tcPr>
            <w:tcW w:type="dxa" w:w="11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Channels</w:t>
            </w:r>
          </w:p>
        </w:tc>
        <w:tc>
          <w:tcPr>
            <w:tcW w:type="dxa" w:w="9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Classes</w:t>
            </w:r>
          </w:p>
        </w:tc>
        <w:tc>
          <w:tcPr>
            <w:tcW w:type="dxa" w:w="10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Rate</w:t>
            </w:r>
          </w:p>
        </w:tc>
        <w:tc>
          <w:tcPr>
            <w:tcW w:type="dxa" w:w="12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Trials/subject</w:t>
            </w:r>
          </w:p>
        </w:tc>
      </w:tr>
      <w:tr>
        <w:trPr>
          <w:cantSplit/>
        </w:trPr>
        <w:tc>
          <w:tcPr>
            <w:tcW w:type="dxa" w:w="2500"/>
            <w:tcMar>
              <w:top w:type="dxa" w:w="80"/>
              <w:left w:type="dxa" w:w="110"/>
              <w:bottom w:type="dxa" w:w="80"/>
              <w:right w:type="dxa" w:w="110"/>
            </w:tcMar>
          </w:tcPr>
          <w:p>
            <w:pPr>
              <w:spacing w:after="0" w:line="240"/>
              <w:jc w:val="left"/>
            </w:pPr>
            <w:r>
              <w:rPr>
                <w:b/>
                <w:bCs/>
                <w:i w:val="false"/>
                <w:iCs w:val="false"/>
                <w:sz w:val="19"/>
                <w:szCs w:val="19"/>
              </w:rPr>
              <w:t xml:space="preserve">BCI Competition IV-2a</w:t>
            </w:r>
          </w:p>
        </w:tc>
        <w:tc>
          <w:tcPr>
            <w:tcW w:type="dxa" w:w="1300"/>
            <w:tcMar>
              <w:top w:type="dxa" w:w="80"/>
              <w:left w:type="dxa" w:w="110"/>
              <w:bottom w:type="dxa" w:w="80"/>
              <w:right w:type="dxa" w:w="110"/>
            </w:tcMar>
          </w:tcPr>
          <w:p>
            <w:pPr>
              <w:spacing w:after="0" w:line="240"/>
              <w:jc w:val="center"/>
            </w:pPr>
            <w:r>
              <w:rPr>
                <w:b w:val="false"/>
                <w:bCs w:val="false"/>
                <w:i w:val="false"/>
                <w:iCs w:val="false"/>
                <w:sz w:val="19"/>
                <w:szCs w:val="19"/>
              </w:rPr>
              <w:t xml:space="preserve">Primary</w:t>
            </w:r>
          </w:p>
        </w:tc>
        <w:tc>
          <w:tcPr>
            <w:tcW w:type="dxa" w:w="1000"/>
            <w:tcMar>
              <w:top w:type="dxa" w:w="80"/>
              <w:left w:type="dxa" w:w="110"/>
              <w:bottom w:type="dxa" w:w="80"/>
              <w:right w:type="dxa" w:w="110"/>
            </w:tcMar>
          </w:tcPr>
          <w:p>
            <w:pPr>
              <w:spacing w:after="0" w:line="240"/>
              <w:jc w:val="center"/>
            </w:pPr>
            <w:r>
              <w:rPr>
                <w:b w:val="false"/>
                <w:bCs w:val="false"/>
                <w:i w:val="false"/>
                <w:iCs w:val="false"/>
                <w:sz w:val="19"/>
                <w:szCs w:val="19"/>
              </w:rPr>
              <w:t xml:space="preserve">9</w:t>
            </w:r>
          </w:p>
        </w:tc>
        <w:tc>
          <w:tcPr>
            <w:tcW w:type="dxa" w:w="1100"/>
            <w:tcMar>
              <w:top w:type="dxa" w:w="80"/>
              <w:left w:type="dxa" w:w="110"/>
              <w:bottom w:type="dxa" w:w="80"/>
              <w:right w:type="dxa" w:w="110"/>
            </w:tcMar>
          </w:tcPr>
          <w:p>
            <w:pPr>
              <w:spacing w:after="0" w:line="240"/>
              <w:jc w:val="center"/>
            </w:pPr>
            <w:r>
              <w:rPr>
                <w:b w:val="false"/>
                <w:bCs w:val="false"/>
                <w:i w:val="false"/>
                <w:iCs w:val="false"/>
                <w:sz w:val="19"/>
                <w:szCs w:val="19"/>
              </w:rPr>
              <w:t xml:space="preserve">22</w:t>
            </w:r>
          </w:p>
        </w:tc>
        <w:tc>
          <w:tcPr>
            <w:tcW w:type="dxa" w:w="900"/>
            <w:tcMar>
              <w:top w:type="dxa" w:w="80"/>
              <w:left w:type="dxa" w:w="110"/>
              <w:bottom w:type="dxa" w:w="80"/>
              <w:right w:type="dxa" w:w="110"/>
            </w:tcMar>
          </w:tcPr>
          <w:p>
            <w:pPr>
              <w:spacing w:after="0" w:line="240"/>
              <w:jc w:val="center"/>
            </w:pPr>
            <w:r>
              <w:rPr>
                <w:b w:val="false"/>
                <w:bCs w:val="false"/>
                <w:i w:val="false"/>
                <w:iCs w:val="false"/>
                <w:sz w:val="19"/>
                <w:szCs w:val="19"/>
              </w:rPr>
              <w:t xml:space="preserve">4</w:t>
            </w:r>
          </w:p>
        </w:tc>
        <w:tc>
          <w:tcPr>
            <w:tcW w:type="dxa" w:w="1000"/>
            <w:tcMar>
              <w:top w:type="dxa" w:w="80"/>
              <w:left w:type="dxa" w:w="110"/>
              <w:bottom w:type="dxa" w:w="80"/>
              <w:right w:type="dxa" w:w="110"/>
            </w:tcMar>
          </w:tcPr>
          <w:p>
            <w:pPr>
              <w:spacing w:after="0" w:line="240"/>
              <w:jc w:val="center"/>
            </w:pPr>
            <w:r>
              <w:rPr>
                <w:b w:val="false"/>
                <w:bCs w:val="false"/>
                <w:i w:val="false"/>
                <w:iCs w:val="false"/>
                <w:sz w:val="19"/>
                <w:szCs w:val="19"/>
              </w:rPr>
              <w:t xml:space="preserve">250 Hz</w:t>
            </w:r>
          </w:p>
        </w:tc>
        <w:tc>
          <w:tcPr>
            <w:tcW w:type="dxa" w:w="1200"/>
            <w:tcMar>
              <w:top w:type="dxa" w:w="80"/>
              <w:left w:type="dxa" w:w="110"/>
              <w:bottom w:type="dxa" w:w="80"/>
              <w:right w:type="dxa" w:w="110"/>
            </w:tcMar>
          </w:tcPr>
          <w:p>
            <w:pPr>
              <w:spacing w:after="0" w:line="240"/>
              <w:jc w:val="center"/>
            </w:pPr>
            <w:r>
              <w:rPr>
                <w:b w:val="false"/>
                <w:bCs w:val="false"/>
                <w:i w:val="false"/>
                <w:iCs w:val="false"/>
                <w:sz w:val="19"/>
                <w:szCs w:val="19"/>
              </w:rPr>
              <w:t xml:space="preserve">576</w:t>
            </w:r>
          </w:p>
        </w:tc>
      </w:tr>
      <w:tr>
        <w:trPr>
          <w:cantSplit/>
        </w:trPr>
        <w:tc>
          <w:tcPr>
            <w:tcW w:type="dxa" w:w="25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BCI Competition IV-2b</w:t>
            </w:r>
          </w:p>
        </w:tc>
        <w:tc>
          <w:tcPr>
            <w:tcW w:type="dxa" w:w="13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Secondary</w:t>
            </w:r>
          </w:p>
        </w:tc>
        <w:tc>
          <w:tcPr>
            <w:tcW w:type="dxa" w:w="10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9</w:t>
            </w:r>
          </w:p>
        </w:tc>
        <w:tc>
          <w:tcPr>
            <w:tcW w:type="dxa" w:w="11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3</w:t>
            </w:r>
          </w:p>
        </w:tc>
        <w:tc>
          <w:tcPr>
            <w:tcW w:type="dxa" w:w="9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2</w:t>
            </w:r>
          </w:p>
        </w:tc>
        <w:tc>
          <w:tcPr>
            <w:tcW w:type="dxa" w:w="10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250 Hz</w:t>
            </w:r>
          </w:p>
        </w:tc>
        <w:tc>
          <w:tcPr>
            <w:tcW w:type="dxa" w:w="12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720</w:t>
            </w:r>
          </w:p>
        </w:tc>
      </w:tr>
      <w:tr>
        <w:trPr>
          <w:cantSplit/>
        </w:trPr>
        <w:tc>
          <w:tcPr>
            <w:tcW w:type="dxa" w:w="2500"/>
            <w:tcMar>
              <w:top w:type="dxa" w:w="80"/>
              <w:left w:type="dxa" w:w="110"/>
              <w:bottom w:type="dxa" w:w="80"/>
              <w:right w:type="dxa" w:w="110"/>
            </w:tcMar>
          </w:tcPr>
          <w:p>
            <w:pPr>
              <w:spacing w:after="0" w:line="240"/>
              <w:jc w:val="left"/>
            </w:pPr>
            <w:r>
              <w:rPr>
                <w:b/>
                <w:bCs/>
                <w:i w:val="false"/>
                <w:iCs w:val="false"/>
                <w:sz w:val="19"/>
                <w:szCs w:val="19"/>
              </w:rPr>
              <w:t xml:space="preserve">High Gamma Dataset</w:t>
            </w:r>
          </w:p>
        </w:tc>
        <w:tc>
          <w:tcPr>
            <w:tcW w:type="dxa" w:w="1300"/>
            <w:tcMar>
              <w:top w:type="dxa" w:w="80"/>
              <w:left w:type="dxa" w:w="110"/>
              <w:bottom w:type="dxa" w:w="80"/>
              <w:right w:type="dxa" w:w="110"/>
            </w:tcMar>
          </w:tcPr>
          <w:p>
            <w:pPr>
              <w:spacing w:after="0" w:line="240"/>
              <w:jc w:val="center"/>
            </w:pPr>
            <w:r>
              <w:rPr>
                <w:b w:val="false"/>
                <w:bCs w:val="false"/>
                <w:i w:val="false"/>
                <w:iCs w:val="false"/>
                <w:sz w:val="19"/>
                <w:szCs w:val="19"/>
              </w:rPr>
              <w:t xml:space="preserve">Stretch</w:t>
            </w:r>
          </w:p>
        </w:tc>
        <w:tc>
          <w:tcPr>
            <w:tcW w:type="dxa" w:w="1000"/>
            <w:tcMar>
              <w:top w:type="dxa" w:w="80"/>
              <w:left w:type="dxa" w:w="110"/>
              <w:bottom w:type="dxa" w:w="80"/>
              <w:right w:type="dxa" w:w="110"/>
            </w:tcMar>
          </w:tcPr>
          <w:p>
            <w:pPr>
              <w:spacing w:after="0" w:line="240"/>
              <w:jc w:val="center"/>
            </w:pPr>
            <w:r>
              <w:rPr>
                <w:b w:val="false"/>
                <w:bCs w:val="false"/>
                <w:i w:val="false"/>
                <w:iCs w:val="false"/>
                <w:sz w:val="19"/>
                <w:szCs w:val="19"/>
              </w:rPr>
              <w:t xml:space="preserve">14</w:t>
            </w:r>
          </w:p>
        </w:tc>
        <w:tc>
          <w:tcPr>
            <w:tcW w:type="dxa" w:w="1100"/>
            <w:tcMar>
              <w:top w:type="dxa" w:w="80"/>
              <w:left w:type="dxa" w:w="110"/>
              <w:bottom w:type="dxa" w:w="80"/>
              <w:right w:type="dxa" w:w="110"/>
            </w:tcMar>
          </w:tcPr>
          <w:p>
            <w:pPr>
              <w:spacing w:after="0" w:line="240"/>
              <w:jc w:val="center"/>
            </w:pPr>
            <w:r>
              <w:rPr>
                <w:b w:val="false"/>
                <w:bCs w:val="false"/>
                <w:i w:val="false"/>
                <w:iCs w:val="false"/>
                <w:sz w:val="19"/>
                <w:szCs w:val="19"/>
              </w:rPr>
              <w:t xml:space="preserve">128</w:t>
            </w:r>
          </w:p>
        </w:tc>
        <w:tc>
          <w:tcPr>
            <w:tcW w:type="dxa" w:w="900"/>
            <w:tcMar>
              <w:top w:type="dxa" w:w="80"/>
              <w:left w:type="dxa" w:w="110"/>
              <w:bottom w:type="dxa" w:w="80"/>
              <w:right w:type="dxa" w:w="110"/>
            </w:tcMar>
          </w:tcPr>
          <w:p>
            <w:pPr>
              <w:spacing w:after="0" w:line="240"/>
              <w:jc w:val="center"/>
            </w:pPr>
            <w:r>
              <w:rPr>
                <w:b w:val="false"/>
                <w:bCs w:val="false"/>
                <w:i w:val="false"/>
                <w:iCs w:val="false"/>
                <w:sz w:val="19"/>
                <w:szCs w:val="19"/>
              </w:rPr>
              <w:t xml:space="preserve">4</w:t>
            </w:r>
          </w:p>
        </w:tc>
        <w:tc>
          <w:tcPr>
            <w:tcW w:type="dxa" w:w="1000"/>
            <w:tcMar>
              <w:top w:type="dxa" w:w="80"/>
              <w:left w:type="dxa" w:w="110"/>
              <w:bottom w:type="dxa" w:w="80"/>
              <w:right w:type="dxa" w:w="110"/>
            </w:tcMar>
          </w:tcPr>
          <w:p>
            <w:pPr>
              <w:spacing w:after="0" w:line="240"/>
              <w:jc w:val="center"/>
            </w:pPr>
            <w:r>
              <w:rPr>
                <w:b w:val="false"/>
                <w:bCs w:val="false"/>
                <w:i w:val="false"/>
                <w:iCs w:val="false"/>
                <w:sz w:val="19"/>
                <w:szCs w:val="19"/>
              </w:rPr>
              <w:t xml:space="preserve">500 Hz</w:t>
            </w:r>
          </w:p>
        </w:tc>
        <w:tc>
          <w:tcPr>
            <w:tcW w:type="dxa" w:w="1200"/>
            <w:tcMar>
              <w:top w:type="dxa" w:w="80"/>
              <w:left w:type="dxa" w:w="110"/>
              <w:bottom w:type="dxa" w:w="80"/>
              <w:right w:type="dxa" w:w="110"/>
            </w:tcMar>
          </w:tcPr>
          <w:p>
            <w:pPr>
              <w:spacing w:after="0" w:line="240"/>
              <w:jc w:val="center"/>
            </w:pPr>
            <w:r>
              <w:rPr>
                <w:b w:val="false"/>
                <w:bCs w:val="false"/>
                <w:i w:val="false"/>
                <w:iCs w:val="false"/>
                <w:sz w:val="19"/>
                <w:szCs w:val="19"/>
              </w:rPr>
              <w:t xml:space="preserve">~880</w:t>
            </w:r>
          </w:p>
        </w:tc>
      </w:tr>
    </w:tbl>
    <w:p>
      <w:pPr>
        <w:spacing w:after="200" w:before="60"/>
      </w:pPr>
      <w:r>
        <w:rPr>
          <w:i/>
          <w:iCs/>
          <w:color w:val="595959"/>
          <w:sz w:val="17"/>
          <w:szCs w:val="17"/>
        </w:rPr>
        <w:t xml:space="preserve">Table 5.1 — Dataset tiers. The primary dataset carries the main claims; the secondary tests whether they transfer; the stretch tier is attempted only if the schedule allows and is not load-bearing for any conclusion.</w:t>
      </w:r>
    </w:p>
    <w:p>
      <w:pPr>
        <w:pStyle w:val="Heading2"/>
        <w:spacing w:after="120" w:before="240"/>
      </w:pPr>
      <w:r>
        <w:rPr>
          <w:b/>
          <w:bCs/>
          <w:color w:val="2E74B5"/>
          <w:sz w:val="24"/>
          <w:szCs w:val="24"/>
        </w:rPr>
        <w:t xml:space="preserve">5.1 Why these three</w:t>
      </w:r>
    </w:p>
    <w:p>
      <w:pPr>
        <w:pStyle w:val="ListParagraph"/>
        <w:numPr>
          <w:ilvl w:val="0"/>
          <w:numId w:val="2"/>
        </w:numPr>
        <w:spacing w:after="70" w:line="276"/>
      </w:pPr>
      <w:r>
        <w:rPr>
          <w:sz w:val="21"/>
          <w:szCs w:val="21"/>
        </w:rPr>
        <w:t xml:space="preserve">BCI IV-2a is the common denominator of all four reviewed papers, so our reproduced baselines can be sanity-checked against published numbers before we trust anything else.</w:t>
      </w:r>
    </w:p>
    <w:p>
      <w:pPr>
        <w:pStyle w:val="ListParagraph"/>
        <w:numPr>
          <w:ilvl w:val="0"/>
          <w:numId w:val="2"/>
        </w:numPr>
        <w:spacing w:after="70" w:line="276"/>
      </w:pPr>
      <w:r>
        <w:rPr>
          <w:sz w:val="21"/>
          <w:szCs w:val="21"/>
        </w:rPr>
        <w:t xml:space="preserve">BCI IV-2b uses only three electrodes (C3, Cz, C4), which sit inside 2a's montage. It tests whether the approach survives a drastic reduction in spatial information — directly relevant to low-cost consumer headsets.</w:t>
      </w:r>
    </w:p>
    <w:p>
      <w:pPr>
        <w:pStyle w:val="ListParagraph"/>
        <w:numPr>
          <w:ilvl w:val="0"/>
          <w:numId w:val="2"/>
        </w:numPr>
        <w:spacing w:after="70" w:line="276"/>
      </w:pPr>
      <w:r>
        <w:rPr>
          <w:sz w:val="21"/>
          <w:szCs w:val="21"/>
        </w:rPr>
        <w:t xml:space="preserve">High Gamma Dataset has more subjects and higher-density coverage, giving a harder generalisation test if time permits.</w:t>
      </w:r>
    </w:p>
    <w:p>
      <w:pPr>
        <w:pStyle w:val="Heading2"/>
        <w:spacing w:after="120" w:before="240"/>
      </w:pPr>
      <w:r>
        <w:rPr>
          <w:b/>
          <w:bCs/>
          <w:color w:val="2E74B5"/>
          <w:sz w:val="24"/>
          <w:szCs w:val="24"/>
        </w:rPr>
        <w:t xml:space="preserve">5.2 Why SEED is excluded</w:t>
      </w:r>
    </w:p>
    <w:p>
      <w:pPr>
        <w:spacing w:after="120" w:line="276"/>
        <w:jc w:val="both"/>
      </w:pPr>
      <w:r>
        <w:rPr>
          <w:b w:val="false"/>
          <w:bCs w:val="false"/>
          <w:i w:val="false"/>
          <w:iCs w:val="false"/>
          <w:sz w:val="21"/>
          <w:szCs w:val="21"/>
        </w:rPr>
        <w:t xml:space="preserve">The EEG Conformer paper also evaluates on SEED, and it was tempting to include it for breadth. SEED is an emotion recognition dataset: participants watch film clips and the task is to predict positive, neutral or negative affect. It contains no motor imagery and no movement labels. A model trained jointly on SEED and IV-2a would be predicting across two unrelated label spaces, which measures nothing about motor intent decoding. It is therefore excluded, and this is a deliberate decision rather than an oversight.</w:t>
      </w:r>
    </w:p>
    <w:p>
      <w:pPr>
        <w:pStyle w:val="Heading2"/>
        <w:spacing w:after="120" w:before="240"/>
      </w:pPr>
      <w:r>
        <w:rPr>
          <w:b/>
          <w:bCs/>
          <w:color w:val="2E74B5"/>
          <w:sz w:val="24"/>
          <w:szCs w:val="24"/>
        </w:rPr>
        <w:t xml:space="preserve">5.3 Preprocessing pipeline</w:t>
      </w:r>
    </w:p>
    <w:p>
      <w:pPr>
        <w:pStyle w:val="ListParagraph"/>
        <w:numPr>
          <w:ilvl w:val="0"/>
          <w:numId w:val="4"/>
        </w:numPr>
        <w:spacing w:after="70" w:line="276"/>
      </w:pPr>
      <w:r>
        <w:rPr>
          <w:sz w:val="21"/>
          <w:szCs w:val="21"/>
        </w:rPr>
        <w:t xml:space="preserve">Load raw recordings via MNE-Python / MOABB; retain the 22 EEG channels and discard the 3 EOG channels.</w:t>
      </w:r>
    </w:p>
    <w:p>
      <w:pPr>
        <w:pStyle w:val="ListParagraph"/>
        <w:numPr>
          <w:ilvl w:val="0"/>
          <w:numId w:val="4"/>
        </w:numPr>
        <w:spacing w:after="70" w:line="276"/>
      </w:pPr>
      <w:r>
        <w:rPr>
          <w:sz w:val="21"/>
          <w:szCs w:val="21"/>
        </w:rPr>
        <w:t xml:space="preserve">Band-pass filter 4–38 Hz using a 4th-order Butterworth filter applied forward and backward (zero-phase) to preserve temporal structure.</w:t>
      </w:r>
    </w:p>
    <w:p>
      <w:pPr>
        <w:pStyle w:val="ListParagraph"/>
        <w:numPr>
          <w:ilvl w:val="0"/>
          <w:numId w:val="4"/>
        </w:numPr>
        <w:spacing w:after="70" w:line="276"/>
      </w:pPr>
      <w:r>
        <w:rPr>
          <w:sz w:val="21"/>
          <w:szCs w:val="21"/>
        </w:rPr>
        <w:t xml:space="preserve">Epoch each trial from 0.5 s to 4.0 s after the cue, giving 875 samples per trial at 250 Hz.</w:t>
      </w:r>
    </w:p>
    <w:p>
      <w:pPr>
        <w:pStyle w:val="ListParagraph"/>
        <w:numPr>
          <w:ilvl w:val="0"/>
          <w:numId w:val="4"/>
        </w:numPr>
        <w:spacing w:after="70" w:line="276"/>
      </w:pPr>
      <w:r>
        <w:rPr>
          <w:sz w:val="21"/>
          <w:szCs w:val="21"/>
        </w:rPr>
        <w:t xml:space="preserve">Reject trials whose peak-to-peak amplitude exceeds 100 μV on any channel, after recording the rejection rate per subject.</w:t>
      </w:r>
    </w:p>
    <w:p>
      <w:pPr>
        <w:pStyle w:val="ListParagraph"/>
        <w:numPr>
          <w:ilvl w:val="0"/>
          <w:numId w:val="4"/>
        </w:numPr>
        <w:spacing w:after="70" w:line="276"/>
      </w:pPr>
      <w:r>
        <w:rPr>
          <w:sz w:val="21"/>
          <w:szCs w:val="21"/>
        </w:rPr>
        <w:t xml:space="preserve">Compute the Euclidean Alignment matrix per subject per session and apply it. For the held-out test subject this uses only their unlabelled trials.</w:t>
      </w:r>
    </w:p>
    <w:p>
      <w:pPr>
        <w:pStyle w:val="ListParagraph"/>
        <w:numPr>
          <w:ilvl w:val="0"/>
          <w:numId w:val="4"/>
        </w:numPr>
        <w:spacing w:after="70" w:line="276"/>
      </w:pPr>
      <w:r>
        <w:rPr>
          <w:sz w:val="21"/>
          <w:szCs w:val="21"/>
        </w:rPr>
        <w:t xml:space="preserve">Standardise per channel using exponential moving standardisation, with statistics computed on the training subjects only.</w:t>
      </w:r>
    </w:p>
    <w:p>
      <w:pPr>
        <w:pStyle w:val="ListParagraph"/>
        <w:numPr>
          <w:ilvl w:val="0"/>
          <w:numId w:val="4"/>
        </w:numPr>
        <w:spacing w:after="70" w:line="276"/>
      </w:pPr>
      <w:r>
        <w:rPr>
          <w:sz w:val="21"/>
          <w:szCs w:val="21"/>
        </w:rPr>
        <w:t xml:space="preserve">Augment the training split using Segmentation and Reconstruction — splitting trials into segments and recombining segments from same-class trials — following the procedure used by EEG Conformer and CTNet.</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color="auto" w:val="clear"/>
            <w:tcMar>
              <w:top w:type="dxa" w:w="140"/>
              <w:left w:type="dxa" w:w="160"/>
              <w:bottom w:type="dxa" w:w="140"/>
              <w:right w:type="dxa" w:w="160"/>
            </w:tcMar>
          </w:tcPr>
          <w:p>
            <w:pPr>
              <w:spacing w:after="70"/>
            </w:pPr>
            <w:r>
              <w:rPr>
                <w:b/>
                <w:bCs/>
                <w:color w:val="1F3864"/>
                <w:sz w:val="21"/>
                <w:szCs w:val="21"/>
              </w:rPr>
              <w:t xml:space="preserve">Leakage control</w:t>
            </w:r>
          </w:p>
          <w:p>
            <w:pPr>
              <w:spacing w:after="50" w:line="276"/>
              <w:jc w:val="both"/>
            </w:pPr>
            <w:r>
              <w:rPr>
                <w:sz w:val="21"/>
                <w:szCs w:val="21"/>
              </w:rPr>
              <w:t xml:space="preserve">Normalisation statistics, augmentation and hyperparameter selection are derived exclusively from the training and validation subjects. The held-out test subject contributes only unlabelled trials to the alignment step, which is the same information a real deployment would have. Any deviation from this is a leak and invalidates the cross-subject claim.</w:t>
            </w:r>
          </w:p>
        </w:tc>
      </w:tr>
    </w:tbl>
    <w:p>
      <w:pPr>
        <w:pStyle w:val="Heading1"/>
        <w:spacing w:after="160" w:before="360"/>
      </w:pPr>
      <w:r>
        <w:rPr>
          <w:b/>
          <w:bCs/>
          <w:color w:val="1F3864"/>
          <w:sz w:val="30"/>
          <w:szCs w:val="30"/>
        </w:rPr>
        <w:t xml:space="preserve">6. Baseline Models</w:t>
      </w:r>
    </w:p>
    <w:p>
      <w:pPr>
        <w:spacing w:after="120" w:line="276"/>
        <w:jc w:val="both"/>
      </w:pPr>
      <w:r>
        <w:rPr>
          <w:b w:val="false"/>
          <w:bCs w:val="false"/>
          <w:i w:val="false"/>
          <w:iCs w:val="false"/>
          <w:sz w:val="21"/>
          <w:szCs w:val="21"/>
        </w:rPr>
        <w:t xml:space="preserve">Five baselines are reproduced. Four are the architectures from the literature survey; the fifth is a classical method included because deep models are not automatically better on data of this size.</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400"/>
        <w:gridCol w:w="2000"/>
        <w:gridCol w:w="1400"/>
      </w:tblGrid>
      <w:tr>
        <w:trPr>
          <w:cantSplit/>
          <w:tblHeader/>
        </w:trPr>
        <w:tc>
          <w:tcPr>
            <w:tcW w:type="dxa" w:w="21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Baseline</w:t>
            </w:r>
          </w:p>
        </w:tc>
        <w:tc>
          <w:tcPr>
            <w:tcW w:type="dxa" w:w="21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Type</w:t>
            </w:r>
          </w:p>
        </w:tc>
        <w:tc>
          <w:tcPr>
            <w:tcW w:type="dxa" w:w="14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Parameters</w:t>
            </w:r>
          </w:p>
        </w:tc>
        <w:tc>
          <w:tcPr>
            <w:tcW w:type="dxa" w:w="20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Published IV-2a accuracy</w:t>
            </w:r>
          </w:p>
        </w:tc>
        <w:tc>
          <w:tcPr>
            <w:tcW w:type="dxa" w:w="14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Protocol used in source</w:t>
            </w:r>
          </w:p>
        </w:tc>
      </w:tr>
      <w:tr>
        <w:trPr>
          <w:cantSplit/>
        </w:trPr>
        <w:tc>
          <w:tcPr>
            <w:tcW w:type="dxa" w:w="2100"/>
            <w:tcMar>
              <w:top w:type="dxa" w:w="80"/>
              <w:left w:type="dxa" w:w="110"/>
              <w:bottom w:type="dxa" w:w="80"/>
              <w:right w:type="dxa" w:w="110"/>
            </w:tcMar>
          </w:tcPr>
          <w:p>
            <w:pPr>
              <w:spacing w:after="0" w:line="240"/>
              <w:jc w:val="left"/>
            </w:pPr>
            <w:r>
              <w:rPr>
                <w:b/>
                <w:bCs/>
                <w:i w:val="false"/>
                <w:iCs w:val="false"/>
                <w:sz w:val="19"/>
                <w:szCs w:val="19"/>
              </w:rPr>
              <w:t xml:space="preserve">FBCSP + LDA</w:t>
            </w:r>
          </w:p>
        </w:tc>
        <w:tc>
          <w:tcPr>
            <w:tcW w:type="dxa" w:w="2100"/>
            <w:tcMar>
              <w:top w:type="dxa" w:w="80"/>
              <w:left w:type="dxa" w:w="110"/>
              <w:bottom w:type="dxa" w:w="80"/>
              <w:right w:type="dxa" w:w="110"/>
            </w:tcMar>
          </w:tcPr>
          <w:p>
            <w:pPr>
              <w:spacing w:after="0" w:line="240"/>
              <w:jc w:val="center"/>
            </w:pPr>
            <w:r>
              <w:rPr>
                <w:b w:val="false"/>
                <w:bCs w:val="false"/>
                <w:i w:val="false"/>
                <w:iCs w:val="false"/>
                <w:sz w:val="19"/>
                <w:szCs w:val="19"/>
              </w:rPr>
              <w:t xml:space="preserve">Classical</w:t>
            </w:r>
          </w:p>
        </w:tc>
        <w:tc>
          <w:tcPr>
            <w:tcW w:type="dxa" w:w="14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2000"/>
            <w:tcMar>
              <w:top w:type="dxa" w:w="80"/>
              <w:left w:type="dxa" w:w="110"/>
              <w:bottom w:type="dxa" w:w="80"/>
              <w:right w:type="dxa" w:w="110"/>
            </w:tcMar>
          </w:tcPr>
          <w:p>
            <w:pPr>
              <w:spacing w:after="0" w:line="240"/>
              <w:jc w:val="center"/>
            </w:pPr>
            <w:r>
              <w:rPr>
                <w:b w:val="false"/>
                <w:bCs w:val="false"/>
                <w:i w:val="false"/>
                <w:iCs w:val="false"/>
                <w:sz w:val="19"/>
                <w:szCs w:val="19"/>
              </w:rPr>
              <w:t xml:space="preserve">~68%</w:t>
            </w:r>
          </w:p>
        </w:tc>
        <w:tc>
          <w:tcPr>
            <w:tcW w:type="dxa" w:w="1400"/>
            <w:tcMar>
              <w:top w:type="dxa" w:w="80"/>
              <w:left w:type="dxa" w:w="110"/>
              <w:bottom w:type="dxa" w:w="80"/>
              <w:right w:type="dxa" w:w="110"/>
            </w:tcMar>
          </w:tcPr>
          <w:p>
            <w:pPr>
              <w:spacing w:after="0" w:line="240"/>
              <w:jc w:val="center"/>
            </w:pPr>
            <w:r>
              <w:rPr>
                <w:b w:val="false"/>
                <w:bCs w:val="false"/>
                <w:i w:val="false"/>
                <w:iCs w:val="false"/>
                <w:sz w:val="19"/>
                <w:szCs w:val="19"/>
              </w:rPr>
              <w:t xml:space="preserve">Subject-specific</w:t>
            </w:r>
          </w:p>
        </w:tc>
      </w:tr>
      <w:tr>
        <w:trPr>
          <w:cantSplit/>
        </w:trPr>
        <w:tc>
          <w:tcPr>
            <w:tcW w:type="dxa" w:w="21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EEGNet</w:t>
            </w:r>
          </w:p>
        </w:tc>
        <w:tc>
          <w:tcPr>
            <w:tcW w:type="dxa" w:w="21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Compact CNN</w:t>
            </w:r>
          </w:p>
        </w:tc>
        <w:tc>
          <w:tcPr>
            <w:tcW w:type="dxa" w:w="1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2,548</w:t>
            </w:r>
          </w:p>
        </w:tc>
        <w:tc>
          <w:tcPr>
            <w:tcW w:type="dxa" w:w="20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68.67% / 71.50%</w:t>
            </w:r>
          </w:p>
        </w:tc>
        <w:tc>
          <w:tcPr>
            <w:tcW w:type="dxa" w:w="1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Varies by source</w:t>
            </w:r>
          </w:p>
        </w:tc>
      </w:tr>
      <w:tr>
        <w:trPr>
          <w:cantSplit/>
        </w:trPr>
        <w:tc>
          <w:tcPr>
            <w:tcW w:type="dxa" w:w="2100"/>
            <w:tcMar>
              <w:top w:type="dxa" w:w="80"/>
              <w:left w:type="dxa" w:w="110"/>
              <w:bottom w:type="dxa" w:w="80"/>
              <w:right w:type="dxa" w:w="110"/>
            </w:tcMar>
          </w:tcPr>
          <w:p>
            <w:pPr>
              <w:spacing w:after="0" w:line="240"/>
              <w:jc w:val="left"/>
            </w:pPr>
            <w:r>
              <w:rPr>
                <w:b/>
                <w:bCs/>
                <w:i w:val="false"/>
                <w:iCs w:val="false"/>
                <w:sz w:val="19"/>
                <w:szCs w:val="19"/>
              </w:rPr>
              <w:t xml:space="preserve">ShallowConvNet</w:t>
            </w:r>
          </w:p>
        </w:tc>
        <w:tc>
          <w:tcPr>
            <w:tcW w:type="dxa" w:w="2100"/>
            <w:tcMar>
              <w:top w:type="dxa" w:w="80"/>
              <w:left w:type="dxa" w:w="110"/>
              <w:bottom w:type="dxa" w:w="80"/>
              <w:right w:type="dxa" w:w="110"/>
            </w:tcMar>
          </w:tcPr>
          <w:p>
            <w:pPr>
              <w:spacing w:after="0" w:line="240"/>
              <w:jc w:val="center"/>
            </w:pPr>
            <w:r>
              <w:rPr>
                <w:b w:val="false"/>
                <w:bCs w:val="false"/>
                <w:i w:val="false"/>
                <w:iCs w:val="false"/>
                <w:sz w:val="19"/>
                <w:szCs w:val="19"/>
              </w:rPr>
              <w:t xml:space="preserve">CNN</w:t>
            </w:r>
          </w:p>
        </w:tc>
        <w:tc>
          <w:tcPr>
            <w:tcW w:type="dxa" w:w="1400"/>
            <w:tcMar>
              <w:top w:type="dxa" w:w="80"/>
              <w:left w:type="dxa" w:w="110"/>
              <w:bottom w:type="dxa" w:w="80"/>
              <w:right w:type="dxa" w:w="110"/>
            </w:tcMar>
          </w:tcPr>
          <w:p>
            <w:pPr>
              <w:spacing w:after="0" w:line="240"/>
              <w:jc w:val="center"/>
            </w:pPr>
            <w:r>
              <w:rPr>
                <w:b w:val="false"/>
                <w:bCs w:val="false"/>
                <w:i w:val="false"/>
                <w:iCs w:val="false"/>
                <w:sz w:val="19"/>
                <w:szCs w:val="19"/>
              </w:rPr>
              <w:t xml:space="preserve">47,364</w:t>
            </w:r>
          </w:p>
        </w:tc>
        <w:tc>
          <w:tcPr>
            <w:tcW w:type="dxa" w:w="2000"/>
            <w:tcMar>
              <w:top w:type="dxa" w:w="80"/>
              <w:left w:type="dxa" w:w="110"/>
              <w:bottom w:type="dxa" w:w="80"/>
              <w:right w:type="dxa" w:w="110"/>
            </w:tcMar>
          </w:tcPr>
          <w:p>
            <w:pPr>
              <w:spacing w:after="0" w:line="240"/>
              <w:jc w:val="center"/>
            </w:pPr>
            <w:r>
              <w:rPr>
                <w:b w:val="false"/>
                <w:bCs w:val="false"/>
                <w:i w:val="false"/>
                <w:iCs w:val="false"/>
                <w:sz w:val="19"/>
                <w:szCs w:val="19"/>
              </w:rPr>
              <w:t xml:space="preserve">66.41% / 67.48%</w:t>
            </w:r>
          </w:p>
        </w:tc>
        <w:tc>
          <w:tcPr>
            <w:tcW w:type="dxa" w:w="1400"/>
            <w:tcMar>
              <w:top w:type="dxa" w:w="80"/>
              <w:left w:type="dxa" w:w="110"/>
              <w:bottom w:type="dxa" w:w="80"/>
              <w:right w:type="dxa" w:w="110"/>
            </w:tcMar>
          </w:tcPr>
          <w:p>
            <w:pPr>
              <w:spacing w:after="0" w:line="240"/>
              <w:jc w:val="center"/>
            </w:pPr>
            <w:r>
              <w:rPr>
                <w:b w:val="false"/>
                <w:bCs w:val="false"/>
                <w:i w:val="false"/>
                <w:iCs w:val="false"/>
                <w:sz w:val="19"/>
                <w:szCs w:val="19"/>
              </w:rPr>
              <w:t xml:space="preserve">Varies by source</w:t>
            </w:r>
          </w:p>
        </w:tc>
      </w:tr>
      <w:tr>
        <w:trPr>
          <w:cantSplit/>
        </w:trPr>
        <w:tc>
          <w:tcPr>
            <w:tcW w:type="dxa" w:w="21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ATCNet</w:t>
            </w:r>
          </w:p>
        </w:tc>
        <w:tc>
          <w:tcPr>
            <w:tcW w:type="dxa" w:w="21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CNN + attention + TCN</w:t>
            </w:r>
          </w:p>
        </w:tc>
        <w:tc>
          <w:tcPr>
            <w:tcW w:type="dxa" w:w="1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113,732</w:t>
            </w:r>
          </w:p>
        </w:tc>
        <w:tc>
          <w:tcPr>
            <w:tcW w:type="dxa" w:w="20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81.10%</w:t>
            </w:r>
          </w:p>
        </w:tc>
        <w:tc>
          <w:tcPr>
            <w:tcW w:type="dxa" w:w="1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Train-Val-Test split</w:t>
            </w:r>
          </w:p>
        </w:tc>
      </w:tr>
      <w:tr>
        <w:trPr>
          <w:cantSplit/>
        </w:trPr>
        <w:tc>
          <w:tcPr>
            <w:tcW w:type="dxa" w:w="2100"/>
            <w:tcMar>
              <w:top w:type="dxa" w:w="80"/>
              <w:left w:type="dxa" w:w="110"/>
              <w:bottom w:type="dxa" w:w="80"/>
              <w:right w:type="dxa" w:w="110"/>
            </w:tcMar>
          </w:tcPr>
          <w:p>
            <w:pPr>
              <w:spacing w:after="0" w:line="240"/>
              <w:jc w:val="left"/>
            </w:pPr>
            <w:r>
              <w:rPr>
                <w:b/>
                <w:bCs/>
                <w:i w:val="false"/>
                <w:iCs w:val="false"/>
                <w:sz w:val="19"/>
                <w:szCs w:val="19"/>
              </w:rPr>
              <w:t xml:space="preserve">CTNet</w:t>
            </w:r>
          </w:p>
        </w:tc>
        <w:tc>
          <w:tcPr>
            <w:tcW w:type="dxa" w:w="2100"/>
            <w:tcMar>
              <w:top w:type="dxa" w:w="80"/>
              <w:left w:type="dxa" w:w="110"/>
              <w:bottom w:type="dxa" w:w="80"/>
              <w:right w:type="dxa" w:w="110"/>
            </w:tcMar>
          </w:tcPr>
          <w:p>
            <w:pPr>
              <w:spacing w:after="0" w:line="240"/>
              <w:jc w:val="center"/>
            </w:pPr>
            <w:r>
              <w:rPr>
                <w:b w:val="false"/>
                <w:bCs w:val="false"/>
                <w:i w:val="false"/>
                <w:iCs w:val="false"/>
                <w:sz w:val="19"/>
                <w:szCs w:val="19"/>
              </w:rPr>
              <w:t xml:space="preserve">CNN + transformer</w:t>
            </w:r>
          </w:p>
        </w:tc>
        <w:tc>
          <w:tcPr>
            <w:tcW w:type="dxa" w:w="1400"/>
            <w:tcMar>
              <w:top w:type="dxa" w:w="80"/>
              <w:left w:type="dxa" w:w="110"/>
              <w:bottom w:type="dxa" w:w="80"/>
              <w:right w:type="dxa" w:w="110"/>
            </w:tcMar>
          </w:tcPr>
          <w:p>
            <w:pPr>
              <w:spacing w:after="0" w:line="240"/>
              <w:jc w:val="center"/>
            </w:pPr>
            <w:r>
              <w:rPr>
                <w:b w:val="false"/>
                <w:bCs w:val="false"/>
                <w:i w:val="false"/>
                <w:iCs w:val="false"/>
                <w:sz w:val="19"/>
                <w:szCs w:val="19"/>
              </w:rPr>
              <w:t xml:space="preserve">Not stated</w:t>
            </w:r>
          </w:p>
        </w:tc>
        <w:tc>
          <w:tcPr>
            <w:tcW w:type="dxa" w:w="2000"/>
            <w:tcMar>
              <w:top w:type="dxa" w:w="80"/>
              <w:left w:type="dxa" w:w="110"/>
              <w:bottom w:type="dxa" w:w="80"/>
              <w:right w:type="dxa" w:w="110"/>
            </w:tcMar>
          </w:tcPr>
          <w:p>
            <w:pPr>
              <w:spacing w:after="0" w:line="240"/>
              <w:jc w:val="center"/>
            </w:pPr>
            <w:r>
              <w:rPr>
                <w:b w:val="false"/>
                <w:bCs w:val="false"/>
                <w:i w:val="false"/>
                <w:iCs w:val="false"/>
                <w:sz w:val="19"/>
                <w:szCs w:val="19"/>
              </w:rPr>
              <w:t xml:space="preserve">82.52%</w:t>
            </w:r>
          </w:p>
        </w:tc>
        <w:tc>
          <w:tcPr>
            <w:tcW w:type="dxa" w:w="1400"/>
            <w:tcMar>
              <w:top w:type="dxa" w:w="80"/>
              <w:left w:type="dxa" w:w="110"/>
              <w:bottom w:type="dxa" w:w="80"/>
              <w:right w:type="dxa" w:w="110"/>
            </w:tcMar>
          </w:tcPr>
          <w:p>
            <w:pPr>
              <w:spacing w:after="0" w:line="240"/>
              <w:jc w:val="center"/>
            </w:pPr>
            <w:r>
              <w:rPr>
                <w:b w:val="false"/>
                <w:bCs w:val="false"/>
                <w:i w:val="false"/>
                <w:iCs w:val="false"/>
                <w:sz w:val="19"/>
                <w:szCs w:val="19"/>
              </w:rPr>
              <w:t xml:space="preserve">Subject-specific</w:t>
            </w:r>
          </w:p>
        </w:tc>
      </w:tr>
      <w:tr>
        <w:trPr>
          <w:cantSplit/>
        </w:trPr>
        <w:tc>
          <w:tcPr>
            <w:tcW w:type="dxa" w:w="21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EEG Conformer</w:t>
            </w:r>
          </w:p>
        </w:tc>
        <w:tc>
          <w:tcPr>
            <w:tcW w:type="dxa" w:w="21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CNN + transformer</w:t>
            </w:r>
          </w:p>
        </w:tc>
        <w:tc>
          <w:tcPr>
            <w:tcW w:type="dxa" w:w="1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Not stated</w:t>
            </w:r>
          </w:p>
        </w:tc>
        <w:tc>
          <w:tcPr>
            <w:tcW w:type="dxa" w:w="20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78.66%</w:t>
            </w:r>
          </w:p>
        </w:tc>
        <w:tc>
          <w:tcPr>
            <w:tcW w:type="dxa" w:w="1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Hold-out</w:t>
            </w:r>
          </w:p>
        </w:tc>
      </w:tr>
    </w:tbl>
    <w:p>
      <w:pPr>
        <w:spacing w:after="200" w:before="60"/>
      </w:pPr>
      <w:r>
        <w:rPr>
          <w:i/>
          <w:iCs/>
          <w:color w:val="595959"/>
          <w:sz w:val="17"/>
          <w:szCs w:val="17"/>
        </w:rPr>
        <w:t xml:space="preserve">Table 6.1 — Published baselines. Parameter counts for EEGNet, ShallowConvNet and ATCNet are from the ATCNet reference implementation. Accuracies are as reported by the authors under their own protocols.</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8" w:color="auto" w:val="clear"/>
            <w:tcMar>
              <w:top w:type="dxa" w:w="140"/>
              <w:left w:type="dxa" w:w="160"/>
              <w:bottom w:type="dxa" w:w="140"/>
              <w:right w:type="dxa" w:w="160"/>
            </w:tcMar>
          </w:tcPr>
          <w:p>
            <w:pPr>
              <w:spacing w:after="70"/>
            </w:pPr>
            <w:r>
              <w:rPr>
                <w:b/>
                <w:bCs/>
                <w:color w:val="1F3864"/>
                <w:sz w:val="21"/>
                <w:szCs w:val="21"/>
              </w:rPr>
              <w:t xml:space="preserve">Reading Table 6.1 correctly</w:t>
            </w:r>
          </w:p>
          <w:p>
            <w:pPr>
              <w:spacing w:after="50" w:line="276"/>
              <w:jc w:val="both"/>
            </w:pPr>
            <w:r>
              <w:rPr>
                <w:sz w:val="21"/>
                <w:szCs w:val="21"/>
              </w:rPr>
              <w:t xml:space="preserve">These numbers are not directly comparable. Each row uses a different train/test protocol, and some models appear with two different figures depending on which paper is reporting them. EEGNet is quoted at 68.67% by the ATCNet authors and 71.50% by the SATrans-Net authors — same model, same dataset, different evaluation. Re-running all of them under one protocol is precisely why Objective 2 exists.</w:t>
            </w:r>
          </w:p>
          <w:p>
            <w:pPr>
              <w:spacing w:after="50" w:line="276"/>
              <w:jc w:val="both"/>
            </w:pPr>
            <w:r>
              <w:rPr>
                <w:sz w:val="21"/>
                <w:szCs w:val="21"/>
              </w:rPr>
              <w:t xml:space="preserve">Cross-subject figures are scarcer and lower. CTNet reports 58.64% on IV-2a under subject-independent evaluation; independent LOSO studies place EEGNet and Conformer around 68–70%, and recent work (SATrans-Net) reports 72.33%. Our target band is set from these, not from the within-subject column.</w:t>
            </w:r>
          </w:p>
        </w:tc>
      </w:tr>
    </w:tbl>
    <w:p>
      <w:r>
        <w:br w:type="page"/>
      </w:r>
    </w:p>
    <w:p>
      <w:pPr>
        <w:pStyle w:val="Heading1"/>
        <w:spacing w:after="160" w:before="360"/>
      </w:pPr>
      <w:r>
        <w:rPr>
          <w:b/>
          <w:bCs/>
          <w:color w:val="1F3864"/>
          <w:sz w:val="30"/>
          <w:szCs w:val="30"/>
        </w:rPr>
        <w:t xml:space="preserve">7. Experimental Plan and Evaluation Protocol</w:t>
      </w:r>
    </w:p>
    <w:p>
      <w:pPr>
        <w:pStyle w:val="Heading2"/>
        <w:spacing w:after="120" w:before="240"/>
      </w:pPr>
      <w:r>
        <w:rPr>
          <w:b/>
          <w:bCs/>
          <w:color w:val="2E74B5"/>
          <w:sz w:val="24"/>
          <w:szCs w:val="24"/>
        </w:rPr>
        <w:t xml:space="preserve">7.1 Primary protocol — leave-one-subject-out</w:t>
      </w:r>
    </w:p>
    <w:p>
      <w:pPr>
        <w:spacing w:after="120" w:line="276"/>
        <w:jc w:val="both"/>
      </w:pPr>
      <w:r>
        <w:rPr>
          <w:b w:val="false"/>
          <w:bCs w:val="false"/>
          <w:i w:val="false"/>
          <w:iCs w:val="false"/>
          <w:sz w:val="21"/>
          <w:szCs w:val="21"/>
        </w:rPr>
        <w:t xml:space="preserve">For each of the 9 subjects in IV-2a, that subject is held out entirely as the test set. Of the remaining 8, one is held out as a validation subject for early stopping and hyperparameter selection, and 7 are used for training. This rotates 9 times and the reported figure is the mean and standard deviation across the 9 folds.</w:t>
      </w:r>
    </w:p>
    <w:p>
      <w:pPr>
        <w:spacing w:after="120" w:line="276"/>
        <w:jc w:val="both"/>
      </w:pPr>
      <w:r>
        <w:rPr>
          <w:b w:val="false"/>
          <w:bCs w:val="false"/>
          <w:i w:val="false"/>
          <w:iCs w:val="false"/>
          <w:sz w:val="21"/>
          <w:szCs w:val="21"/>
        </w:rPr>
        <w:t xml:space="preserve">Using a held-out validation subject rather than a random split of the training subjects' trials is deliberate. Validating on trials from subjects that also appear in training would select hyperparameters that favour within-subject fit, which is the behaviour we are trying to avoid.</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400"/>
        <w:gridCol w:w="2200"/>
      </w:tblGrid>
      <w:tr>
        <w:trPr>
          <w:cantSplit/>
          <w:tblHeader/>
        </w:trPr>
        <w:tc>
          <w:tcPr>
            <w:tcW w:type="dxa" w:w="9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Fold</w:t>
            </w:r>
          </w:p>
        </w:tc>
        <w:tc>
          <w:tcPr>
            <w:tcW w:type="dxa" w:w="35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Training subjects</w:t>
            </w:r>
          </w:p>
        </w:tc>
        <w:tc>
          <w:tcPr>
            <w:tcW w:type="dxa" w:w="24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Validation subject</w:t>
            </w:r>
          </w:p>
        </w:tc>
        <w:tc>
          <w:tcPr>
            <w:tcW w:type="dxa" w:w="22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Test subject</w:t>
            </w:r>
          </w:p>
        </w:tc>
      </w:tr>
      <w:tr>
        <w:trPr>
          <w:cantSplit/>
        </w:trPr>
        <w:tc>
          <w:tcPr>
            <w:tcW w:type="dxa" w:w="900"/>
            <w:tcMar>
              <w:top w:type="dxa" w:w="80"/>
              <w:left w:type="dxa" w:w="110"/>
              <w:bottom w:type="dxa" w:w="80"/>
              <w:right w:type="dxa" w:w="110"/>
            </w:tcMar>
          </w:tcPr>
          <w:p>
            <w:pPr>
              <w:spacing w:after="0" w:line="240"/>
              <w:jc w:val="left"/>
            </w:pPr>
            <w:r>
              <w:rPr>
                <w:b/>
                <w:bCs/>
                <w:i w:val="false"/>
                <w:iCs w:val="false"/>
                <w:sz w:val="19"/>
                <w:szCs w:val="19"/>
              </w:rPr>
              <w:t xml:space="preserve">1</w:t>
            </w:r>
          </w:p>
        </w:tc>
        <w:tc>
          <w:tcPr>
            <w:tcW w:type="dxa" w:w="3500"/>
            <w:tcMar>
              <w:top w:type="dxa" w:w="80"/>
              <w:left w:type="dxa" w:w="110"/>
              <w:bottom w:type="dxa" w:w="80"/>
              <w:right w:type="dxa" w:w="110"/>
            </w:tcMar>
          </w:tcPr>
          <w:p>
            <w:pPr>
              <w:spacing w:after="0" w:line="240"/>
              <w:jc w:val="left"/>
            </w:pPr>
            <w:r>
              <w:rPr>
                <w:b w:val="false"/>
                <w:bCs w:val="false"/>
                <w:i w:val="false"/>
                <w:iCs w:val="false"/>
                <w:sz w:val="19"/>
                <w:szCs w:val="19"/>
              </w:rPr>
              <w:t xml:space="preserve">S3 – S9 (7 subjects)</w:t>
            </w:r>
          </w:p>
        </w:tc>
        <w:tc>
          <w:tcPr>
            <w:tcW w:type="dxa" w:w="2400"/>
            <w:tcMar>
              <w:top w:type="dxa" w:w="80"/>
              <w:left w:type="dxa" w:w="110"/>
              <w:bottom w:type="dxa" w:w="80"/>
              <w:right w:type="dxa" w:w="110"/>
            </w:tcMar>
          </w:tcPr>
          <w:p>
            <w:pPr>
              <w:spacing w:after="0" w:line="240"/>
              <w:jc w:val="left"/>
            </w:pPr>
            <w:r>
              <w:rPr>
                <w:b w:val="false"/>
                <w:bCs w:val="false"/>
                <w:i w:val="false"/>
                <w:iCs w:val="false"/>
                <w:sz w:val="19"/>
                <w:szCs w:val="19"/>
              </w:rPr>
              <w:t xml:space="preserve">S2</w:t>
            </w:r>
          </w:p>
        </w:tc>
        <w:tc>
          <w:tcPr>
            <w:tcW w:type="dxa" w:w="2200"/>
            <w:tcMar>
              <w:top w:type="dxa" w:w="80"/>
              <w:left w:type="dxa" w:w="110"/>
              <w:bottom w:type="dxa" w:w="80"/>
              <w:right w:type="dxa" w:w="110"/>
            </w:tcMar>
          </w:tcPr>
          <w:p>
            <w:pPr>
              <w:spacing w:after="0" w:line="240"/>
              <w:jc w:val="left"/>
            </w:pPr>
            <w:r>
              <w:rPr>
                <w:b w:val="false"/>
                <w:bCs w:val="false"/>
                <w:i w:val="false"/>
                <w:iCs w:val="false"/>
                <w:sz w:val="19"/>
                <w:szCs w:val="19"/>
              </w:rPr>
              <w:t xml:space="preserve">S1</w:t>
            </w:r>
          </w:p>
        </w:tc>
      </w:tr>
      <w:tr>
        <w:trPr>
          <w:cantSplit/>
        </w:trPr>
        <w:tc>
          <w:tcPr>
            <w:tcW w:type="dxa" w:w="9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2</w:t>
            </w:r>
          </w:p>
        </w:tc>
        <w:tc>
          <w:tcPr>
            <w:tcW w:type="dxa" w:w="35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S1, S4 – S9</w:t>
            </w:r>
          </w:p>
        </w:tc>
        <w:tc>
          <w:tcPr>
            <w:tcW w:type="dxa" w:w="2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S3</w:t>
            </w:r>
          </w:p>
        </w:tc>
        <w:tc>
          <w:tcPr>
            <w:tcW w:type="dxa" w:w="22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S2</w:t>
            </w:r>
          </w:p>
        </w:tc>
      </w:tr>
      <w:tr>
        <w:trPr>
          <w:cantSplit/>
        </w:trPr>
        <w:tc>
          <w:tcPr>
            <w:tcW w:type="dxa" w:w="900"/>
            <w:tcMar>
              <w:top w:type="dxa" w:w="80"/>
              <w:left w:type="dxa" w:w="110"/>
              <w:bottom w:type="dxa" w:w="80"/>
              <w:right w:type="dxa" w:w="110"/>
            </w:tcMar>
          </w:tcPr>
          <w:p>
            <w:pPr>
              <w:spacing w:after="0" w:line="240"/>
              <w:jc w:val="left"/>
            </w:pPr>
            <w:r>
              <w:rPr>
                <w:b/>
                <w:bCs/>
                <w:i w:val="false"/>
                <w:iCs w:val="false"/>
                <w:sz w:val="19"/>
                <w:szCs w:val="19"/>
              </w:rPr>
              <w:t xml:space="preserve">…</w:t>
            </w:r>
          </w:p>
        </w:tc>
        <w:tc>
          <w:tcPr>
            <w:tcW w:type="dxa" w:w="3500"/>
            <w:tcMar>
              <w:top w:type="dxa" w:w="80"/>
              <w:left w:type="dxa" w:w="110"/>
              <w:bottom w:type="dxa" w:w="80"/>
              <w:right w:type="dxa" w:w="110"/>
            </w:tcMar>
          </w:tcPr>
          <w:p>
            <w:pPr>
              <w:spacing w:after="0" w:line="240"/>
              <w:jc w:val="left"/>
            </w:pPr>
            <w:r>
              <w:rPr>
                <w:b w:val="false"/>
                <w:bCs w:val="false"/>
                <w:i w:val="false"/>
                <w:iCs w:val="false"/>
                <w:sz w:val="19"/>
                <w:szCs w:val="19"/>
              </w:rPr>
              <w:t xml:space="preserve">…</w:t>
            </w:r>
          </w:p>
        </w:tc>
        <w:tc>
          <w:tcPr>
            <w:tcW w:type="dxa" w:w="2400"/>
            <w:tcMar>
              <w:top w:type="dxa" w:w="80"/>
              <w:left w:type="dxa" w:w="110"/>
              <w:bottom w:type="dxa" w:w="80"/>
              <w:right w:type="dxa" w:w="110"/>
            </w:tcMar>
          </w:tcPr>
          <w:p>
            <w:pPr>
              <w:spacing w:after="0" w:line="240"/>
              <w:jc w:val="left"/>
            </w:pPr>
            <w:r>
              <w:rPr>
                <w:b w:val="false"/>
                <w:bCs w:val="false"/>
                <w:i w:val="false"/>
                <w:iCs w:val="false"/>
                <w:sz w:val="19"/>
                <w:szCs w:val="19"/>
              </w:rPr>
              <w:t xml:space="preserve">…</w:t>
            </w:r>
          </w:p>
        </w:tc>
        <w:tc>
          <w:tcPr>
            <w:tcW w:type="dxa" w:w="2200"/>
            <w:tcMar>
              <w:top w:type="dxa" w:w="80"/>
              <w:left w:type="dxa" w:w="110"/>
              <w:bottom w:type="dxa" w:w="80"/>
              <w:right w:type="dxa" w:w="110"/>
            </w:tcMar>
          </w:tcPr>
          <w:p>
            <w:pPr>
              <w:spacing w:after="0" w:line="240"/>
              <w:jc w:val="left"/>
            </w:pPr>
            <w:r>
              <w:rPr>
                <w:b w:val="false"/>
                <w:bCs w:val="false"/>
                <w:i w:val="false"/>
                <w:iCs w:val="false"/>
                <w:sz w:val="19"/>
                <w:szCs w:val="19"/>
              </w:rPr>
              <w:t xml:space="preserve">…</w:t>
            </w:r>
          </w:p>
        </w:tc>
      </w:tr>
      <w:tr>
        <w:trPr>
          <w:cantSplit/>
        </w:trPr>
        <w:tc>
          <w:tcPr>
            <w:tcW w:type="dxa" w:w="9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9</w:t>
            </w:r>
          </w:p>
        </w:tc>
        <w:tc>
          <w:tcPr>
            <w:tcW w:type="dxa" w:w="35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S2 – S7</w:t>
            </w:r>
          </w:p>
        </w:tc>
        <w:tc>
          <w:tcPr>
            <w:tcW w:type="dxa" w:w="2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S1</w:t>
            </w:r>
          </w:p>
        </w:tc>
        <w:tc>
          <w:tcPr>
            <w:tcW w:type="dxa" w:w="22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S9</w:t>
            </w:r>
          </w:p>
        </w:tc>
      </w:tr>
    </w:tbl>
    <w:p>
      <w:pPr>
        <w:spacing w:after="200" w:before="60"/>
      </w:pPr>
      <w:r>
        <w:rPr>
          <w:i/>
          <w:iCs/>
          <w:color w:val="595959"/>
          <w:sz w:val="17"/>
          <w:szCs w:val="17"/>
        </w:rPr>
        <w:t xml:space="preserve">Table 7.1 — LOSO fold structure. No trial from the test subject is ever seen with its label during training.</w:t>
      </w:r>
    </w:p>
    <w:p>
      <w:pPr>
        <w:pStyle w:val="Heading2"/>
        <w:spacing w:after="120" w:before="240"/>
      </w:pPr>
      <w:r>
        <w:rPr>
          <w:b/>
          <w:bCs/>
          <w:color w:val="2E74B5"/>
          <w:sz w:val="24"/>
          <w:szCs w:val="24"/>
        </w:rPr>
        <w:t xml:space="preserve">7.2 Secondary protocol — within-subject reference</w:t>
      </w:r>
    </w:p>
    <w:p>
      <w:pPr>
        <w:spacing w:after="120" w:line="276"/>
        <w:jc w:val="both"/>
      </w:pPr>
      <w:r>
        <w:rPr>
          <w:b w:val="false"/>
          <w:bCs w:val="false"/>
          <w:i w:val="false"/>
          <w:iCs w:val="false"/>
          <w:sz w:val="21"/>
          <w:szCs w:val="21"/>
        </w:rPr>
        <w:t xml:space="preserve">Each model is also trained and tested within subject, session 1 to session 2, so our reproduced figures can be checked against the published ones. If our reproduced within-subject EEGNet lands far from the published value, the pipeline is wrong and the cross-subject numbers cannot be trusted either. This is a correctness check, not a headline result.</w:t>
      </w:r>
    </w:p>
    <w:p>
      <w:pPr>
        <w:pStyle w:val="Heading2"/>
        <w:spacing w:after="120" w:before="240"/>
      </w:pPr>
      <w:r>
        <w:rPr>
          <w:b/>
          <w:bCs/>
          <w:color w:val="2E74B5"/>
          <w:sz w:val="24"/>
          <w:szCs w:val="24"/>
        </w:rPr>
        <w:t xml:space="preserve">7.3 Calibration-efficiency experiment</w:t>
      </w:r>
    </w:p>
    <w:p>
      <w:pPr>
        <w:spacing w:after="120" w:line="276"/>
        <w:jc w:val="both"/>
      </w:pPr>
      <w:r>
        <w:rPr>
          <w:b w:val="false"/>
          <w:bCs w:val="false"/>
          <w:i w:val="false"/>
          <w:iCs w:val="false"/>
          <w:sz w:val="21"/>
          <w:szCs w:val="21"/>
        </w:rPr>
        <w:t xml:space="preserve">This experiment tests H3 and produces the figure most directly tied to the clinical motivation. After LOSO training, the model is fine-tuned on n labelled trials from the held-out subject, for n = 0, 5, 10, 20, 40 and 80, and accuracy is recorded at each point. Plotting accuracy against n for SAND-Net and each baseline shows how much labelled data a new user must supply before the system becomes usable. A model that reaches an acceptable threshold at n = 10 is far more deployable than one that needs n = 80, even if their n = 80 accuracies are identical.</w:t>
      </w:r>
    </w:p>
    <w:p>
      <w:pPr>
        <w:pStyle w:val="Heading2"/>
        <w:spacing w:after="120" w:before="240"/>
      </w:pPr>
      <w:r>
        <w:rPr>
          <w:b/>
          <w:bCs/>
          <w:color w:val="2E74B5"/>
          <w:sz w:val="24"/>
          <w:szCs w:val="24"/>
        </w:rPr>
        <w:t xml:space="preserve">7.4 Evaluation metrics</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00"/>
      </w:tblGrid>
      <w:tr>
        <w:trPr>
          <w:cantSplit/>
          <w:tblHeader/>
        </w:trPr>
        <w:tc>
          <w:tcPr>
            <w:tcW w:type="dxa" w:w="27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Metric</w:t>
            </w:r>
          </w:p>
        </w:tc>
        <w:tc>
          <w:tcPr>
            <w:tcW w:type="dxa" w:w="31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What it captures</w:t>
            </w:r>
          </w:p>
        </w:tc>
        <w:tc>
          <w:tcPr>
            <w:tcW w:type="dxa" w:w="32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Why included</w:t>
            </w:r>
          </w:p>
        </w:tc>
      </w:tr>
      <w:tr>
        <w:trPr>
          <w:cantSplit/>
        </w:trPr>
        <w:tc>
          <w:tcPr>
            <w:tcW w:type="dxa" w:w="2700"/>
            <w:tcMar>
              <w:top w:type="dxa" w:w="80"/>
              <w:left w:type="dxa" w:w="110"/>
              <w:bottom w:type="dxa" w:w="80"/>
              <w:right w:type="dxa" w:w="110"/>
            </w:tcMar>
          </w:tcPr>
          <w:p>
            <w:pPr>
              <w:spacing w:after="0" w:line="240"/>
              <w:jc w:val="left"/>
            </w:pPr>
            <w:r>
              <w:rPr>
                <w:b/>
                <w:bCs/>
                <w:i w:val="false"/>
                <w:iCs w:val="false"/>
                <w:sz w:val="19"/>
                <w:szCs w:val="19"/>
              </w:rPr>
              <w:t xml:space="preserve">Accuracy (mean ± std over 9 folds)</w:t>
            </w:r>
          </w:p>
        </w:tc>
        <w:tc>
          <w:tcPr>
            <w:tcW w:type="dxa" w:w="3100"/>
            <w:tcMar>
              <w:top w:type="dxa" w:w="80"/>
              <w:left w:type="dxa" w:w="110"/>
              <w:bottom w:type="dxa" w:w="80"/>
              <w:right w:type="dxa" w:w="110"/>
            </w:tcMar>
          </w:tcPr>
          <w:p>
            <w:pPr>
              <w:spacing w:after="0" w:line="240"/>
              <w:jc w:val="left"/>
            </w:pPr>
            <w:r>
              <w:rPr>
                <w:b w:val="false"/>
                <w:bCs w:val="false"/>
                <w:i w:val="false"/>
                <w:iCs w:val="false"/>
                <w:sz w:val="19"/>
                <w:szCs w:val="19"/>
              </w:rPr>
              <w:t xml:space="preserve">Overall correctness and its variability</w:t>
            </w:r>
          </w:p>
        </w:tc>
        <w:tc>
          <w:tcPr>
            <w:tcW w:type="dxa" w:w="3200"/>
            <w:tcMar>
              <w:top w:type="dxa" w:w="80"/>
              <w:left w:type="dxa" w:w="110"/>
              <w:bottom w:type="dxa" w:w="80"/>
              <w:right w:type="dxa" w:w="110"/>
            </w:tcMar>
          </w:tcPr>
          <w:p>
            <w:pPr>
              <w:spacing w:after="0" w:line="240"/>
              <w:jc w:val="left"/>
            </w:pPr>
            <w:r>
              <w:rPr>
                <w:b w:val="false"/>
                <w:bCs w:val="false"/>
                <w:i w:val="false"/>
                <w:iCs w:val="false"/>
                <w:sz w:val="19"/>
                <w:szCs w:val="19"/>
              </w:rPr>
              <w:t xml:space="preserve">Standard; the std across folds is as important as the mean</w:t>
            </w:r>
          </w:p>
        </w:tc>
      </w:tr>
      <w:tr>
        <w:trPr>
          <w:cantSplit/>
        </w:trPr>
        <w:tc>
          <w:tcPr>
            <w:tcW w:type="dxa" w:w="27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Cohen's kappa</w:t>
            </w:r>
          </w:p>
        </w:tc>
        <w:tc>
          <w:tcPr>
            <w:tcW w:type="dxa" w:w="31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Agreement corrected for chance</w:t>
            </w:r>
          </w:p>
        </w:tc>
        <w:tc>
          <w:tcPr>
            <w:tcW w:type="dxa" w:w="32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Standard in BCI; comparable to published work</w:t>
            </w:r>
          </w:p>
        </w:tc>
      </w:tr>
      <w:tr>
        <w:trPr>
          <w:cantSplit/>
        </w:trPr>
        <w:tc>
          <w:tcPr>
            <w:tcW w:type="dxa" w:w="2700"/>
            <w:tcMar>
              <w:top w:type="dxa" w:w="80"/>
              <w:left w:type="dxa" w:w="110"/>
              <w:bottom w:type="dxa" w:w="80"/>
              <w:right w:type="dxa" w:w="110"/>
            </w:tcMar>
          </w:tcPr>
          <w:p>
            <w:pPr>
              <w:spacing w:after="0" w:line="240"/>
              <w:jc w:val="left"/>
            </w:pPr>
            <w:r>
              <w:rPr>
                <w:b/>
                <w:bCs/>
                <w:i w:val="false"/>
                <w:iCs w:val="false"/>
                <w:sz w:val="19"/>
                <w:szCs w:val="19"/>
              </w:rPr>
              <w:t xml:space="preserve">Macro-F1</w:t>
            </w:r>
          </w:p>
        </w:tc>
        <w:tc>
          <w:tcPr>
            <w:tcW w:type="dxa" w:w="3100"/>
            <w:tcMar>
              <w:top w:type="dxa" w:w="80"/>
              <w:left w:type="dxa" w:w="110"/>
              <w:bottom w:type="dxa" w:w="80"/>
              <w:right w:type="dxa" w:w="110"/>
            </w:tcMar>
          </w:tcPr>
          <w:p>
            <w:pPr>
              <w:spacing w:after="0" w:line="240"/>
              <w:jc w:val="left"/>
            </w:pPr>
            <w:r>
              <w:rPr>
                <w:b w:val="false"/>
                <w:bCs w:val="false"/>
                <w:i w:val="false"/>
                <w:iCs w:val="false"/>
                <w:sz w:val="19"/>
                <w:szCs w:val="19"/>
              </w:rPr>
              <w:t xml:space="preserve">Per-class balance</w:t>
            </w:r>
          </w:p>
        </w:tc>
        <w:tc>
          <w:tcPr>
            <w:tcW w:type="dxa" w:w="3200"/>
            <w:tcMar>
              <w:top w:type="dxa" w:w="80"/>
              <w:left w:type="dxa" w:w="110"/>
              <w:bottom w:type="dxa" w:w="80"/>
              <w:right w:type="dxa" w:w="110"/>
            </w:tcMar>
          </w:tcPr>
          <w:p>
            <w:pPr>
              <w:spacing w:after="0" w:line="240"/>
              <w:jc w:val="left"/>
            </w:pPr>
            <w:r>
              <w:rPr>
                <w:b w:val="false"/>
                <w:bCs w:val="false"/>
                <w:i w:val="false"/>
                <w:iCs w:val="false"/>
                <w:sz w:val="19"/>
                <w:szCs w:val="19"/>
              </w:rPr>
              <w:t xml:space="preserve">Reveals a model that wins by ignoring a hard class</w:t>
            </w:r>
          </w:p>
        </w:tc>
      </w:tr>
      <w:tr>
        <w:trPr>
          <w:cantSplit/>
        </w:trPr>
        <w:tc>
          <w:tcPr>
            <w:tcW w:type="dxa" w:w="27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Confusion matrix</w:t>
            </w:r>
          </w:p>
        </w:tc>
        <w:tc>
          <w:tcPr>
            <w:tcW w:type="dxa" w:w="31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Which classes are confused</w:t>
            </w:r>
          </w:p>
        </w:tc>
        <w:tc>
          <w:tcPr>
            <w:tcW w:type="dxa" w:w="32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Feet vs tongue confusion is a known failure mode</w:t>
            </w:r>
          </w:p>
        </w:tc>
      </w:tr>
      <w:tr>
        <w:trPr>
          <w:cantSplit/>
        </w:trPr>
        <w:tc>
          <w:tcPr>
            <w:tcW w:type="dxa" w:w="2700"/>
            <w:tcMar>
              <w:top w:type="dxa" w:w="80"/>
              <w:left w:type="dxa" w:w="110"/>
              <w:bottom w:type="dxa" w:w="80"/>
              <w:right w:type="dxa" w:w="110"/>
            </w:tcMar>
          </w:tcPr>
          <w:p>
            <w:pPr>
              <w:spacing w:after="0" w:line="240"/>
              <w:jc w:val="left"/>
            </w:pPr>
            <w:r>
              <w:rPr>
                <w:b/>
                <w:bCs/>
                <w:i w:val="false"/>
                <w:iCs w:val="false"/>
                <w:sz w:val="19"/>
                <w:szCs w:val="19"/>
              </w:rPr>
              <w:t xml:space="preserve">Parameters, FLOPs, latency</w:t>
            </w:r>
          </w:p>
        </w:tc>
        <w:tc>
          <w:tcPr>
            <w:tcW w:type="dxa" w:w="3100"/>
            <w:tcMar>
              <w:top w:type="dxa" w:w="80"/>
              <w:left w:type="dxa" w:w="110"/>
              <w:bottom w:type="dxa" w:w="80"/>
              <w:right w:type="dxa" w:w="110"/>
            </w:tcMar>
          </w:tcPr>
          <w:p>
            <w:pPr>
              <w:spacing w:after="0" w:line="240"/>
              <w:jc w:val="left"/>
            </w:pPr>
            <w:r>
              <w:rPr>
                <w:b w:val="false"/>
                <w:bCs w:val="false"/>
                <w:i w:val="false"/>
                <w:iCs w:val="false"/>
                <w:sz w:val="19"/>
                <w:szCs w:val="19"/>
              </w:rPr>
              <w:t xml:space="preserve">Model cost</w:t>
            </w:r>
          </w:p>
        </w:tc>
        <w:tc>
          <w:tcPr>
            <w:tcW w:type="dxa" w:w="3200"/>
            <w:tcMar>
              <w:top w:type="dxa" w:w="80"/>
              <w:left w:type="dxa" w:w="110"/>
              <w:bottom w:type="dxa" w:w="80"/>
              <w:right w:type="dxa" w:w="110"/>
            </w:tcMar>
          </w:tcPr>
          <w:p>
            <w:pPr>
              <w:spacing w:after="0" w:line="240"/>
              <w:jc w:val="left"/>
            </w:pPr>
            <w:r>
              <w:rPr>
                <w:b w:val="false"/>
                <w:bCs w:val="false"/>
                <w:i w:val="false"/>
                <w:iCs w:val="false"/>
                <w:sz w:val="19"/>
                <w:szCs w:val="19"/>
              </w:rPr>
              <w:t xml:space="preserve">The 'lightweight' claim must be measured, not asserted</w:t>
            </w:r>
          </w:p>
        </w:tc>
      </w:tr>
      <w:tr>
        <w:trPr>
          <w:cantSplit/>
        </w:trPr>
        <w:tc>
          <w:tcPr>
            <w:tcW w:type="dxa" w:w="27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Wilcoxon signed-rank test</w:t>
            </w:r>
          </w:p>
        </w:tc>
        <w:tc>
          <w:tcPr>
            <w:tcW w:type="dxa" w:w="31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Statistical significance across subjects</w:t>
            </w:r>
          </w:p>
        </w:tc>
        <w:tc>
          <w:tcPr>
            <w:tcW w:type="dxa" w:w="32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Paired, non-parametric, n = 9; the test EEG Conformer uses</w:t>
            </w:r>
          </w:p>
        </w:tc>
      </w:tr>
    </w:tbl>
    <w:p>
      <w:pPr>
        <w:spacing w:after="200" w:before="60"/>
      </w:pPr>
      <w:r>
        <w:rPr>
          <w:i/>
          <w:iCs/>
          <w:color w:val="595959"/>
          <w:sz w:val="17"/>
          <w:szCs w:val="17"/>
        </w:rPr>
        <w:t xml:space="preserve">Table 7.2 — Evaluation metrics. Significance is tested at α = 0.05, paired across the 9 subjects.</w:t>
      </w:r>
    </w:p>
    <w:p>
      <w:pPr>
        <w:spacing w:after="120" w:line="276"/>
        <w:jc w:val="both"/>
      </w:pPr>
      <w:r>
        <w:rPr>
          <w:b w:val="false"/>
          <w:bCs w:val="false"/>
          <w:i w:val="false"/>
          <w:iCs w:val="false"/>
          <w:sz w:val="21"/>
          <w:szCs w:val="21"/>
        </w:rPr>
        <w:t xml:space="preserve">Reporting only the mean accuracy would hide the behaviour that matters most. Cross-subject decoders frequently fail badly on one or two specific subjects — the so-called BCI-illiteracy phenomenon — and a model with a slightly lower mean but a much smaller standard deviation is the better assistive device. Per-subject results will therefore be reported in full, not only as an average.</w:t>
      </w:r>
    </w:p>
    <w:p>
      <w:pPr>
        <w:pStyle w:val="Heading1"/>
        <w:spacing w:after="160" w:before="360"/>
      </w:pPr>
      <w:r>
        <w:rPr>
          <w:b/>
          <w:bCs/>
          <w:color w:val="1F3864"/>
          <w:sz w:val="30"/>
          <w:szCs w:val="30"/>
        </w:rPr>
        <w:t xml:space="preserve">8. Ablation Study Design</w:t>
      </w:r>
    </w:p>
    <w:p>
      <w:pPr>
        <w:spacing w:after="120" w:line="276"/>
        <w:jc w:val="both"/>
      </w:pPr>
      <w:r>
        <w:rPr>
          <w:b w:val="false"/>
          <w:bCs w:val="false"/>
          <w:i w:val="false"/>
          <w:iCs w:val="false"/>
          <w:sz w:val="21"/>
          <w:szCs w:val="21"/>
        </w:rPr>
        <w:t xml:space="preserve">The ablation is the experiment that tests H1, and it is designed so that specific row comparisons answer specific questions.</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400"/>
        <w:gridCol w:w="1500"/>
        <w:gridCol w:w="1100"/>
        <w:gridCol w:w="900"/>
        <w:gridCol w:w="2700"/>
      </w:tblGrid>
      <w:tr>
        <w:trPr>
          <w:cantSplit/>
          <w:tblHeader/>
        </w:trPr>
        <w:tc>
          <w:tcPr>
            <w:tcW w:type="dxa" w:w="6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w:t>
            </w:r>
          </w:p>
        </w:tc>
        <w:tc>
          <w:tcPr>
            <w:tcW w:type="dxa" w:w="8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EA</w:t>
            </w:r>
          </w:p>
        </w:tc>
        <w:tc>
          <w:tcPr>
            <w:tcW w:type="dxa" w:w="14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Multi-scale</w:t>
            </w:r>
          </w:p>
        </w:tc>
        <w:tc>
          <w:tcPr>
            <w:tcW w:type="dxa" w:w="15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Windowed attn</w:t>
            </w:r>
          </w:p>
        </w:tc>
        <w:tc>
          <w:tcPr>
            <w:tcW w:type="dxa" w:w="11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SupCon</w:t>
            </w:r>
          </w:p>
        </w:tc>
        <w:tc>
          <w:tcPr>
            <w:tcW w:type="dxa" w:w="9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DANN</w:t>
            </w:r>
          </w:p>
        </w:tc>
        <w:tc>
          <w:tcPr>
            <w:tcW w:type="dxa" w:w="27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What this row is</w:t>
            </w:r>
          </w:p>
        </w:tc>
      </w:tr>
      <w:tr>
        <w:trPr>
          <w:cantSplit/>
        </w:trPr>
        <w:tc>
          <w:tcPr>
            <w:tcW w:type="dxa" w:w="600"/>
            <w:tcMar>
              <w:top w:type="dxa" w:w="80"/>
              <w:left w:type="dxa" w:w="110"/>
              <w:bottom w:type="dxa" w:w="80"/>
              <w:right w:type="dxa" w:w="110"/>
            </w:tcMar>
          </w:tcPr>
          <w:p>
            <w:pPr>
              <w:spacing w:after="0" w:line="240"/>
              <w:jc w:val="left"/>
            </w:pPr>
            <w:r>
              <w:rPr>
                <w:b/>
                <w:bCs/>
                <w:i w:val="false"/>
                <w:iCs w:val="false"/>
                <w:sz w:val="19"/>
                <w:szCs w:val="19"/>
              </w:rPr>
              <w:t xml:space="preserve">A1</w:t>
            </w:r>
          </w:p>
        </w:tc>
        <w:tc>
          <w:tcPr>
            <w:tcW w:type="dxa" w:w="8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14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15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11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9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2700"/>
            <w:tcMar>
              <w:top w:type="dxa" w:w="80"/>
              <w:left w:type="dxa" w:w="110"/>
              <w:bottom w:type="dxa" w:w="80"/>
              <w:right w:type="dxa" w:w="110"/>
            </w:tcMar>
          </w:tcPr>
          <w:p>
            <w:pPr>
              <w:spacing w:after="0" w:line="240"/>
              <w:jc w:val="center"/>
            </w:pPr>
            <w:r>
              <w:rPr>
                <w:b w:val="false"/>
                <w:bCs w:val="false"/>
                <w:i w:val="false"/>
                <w:iCs w:val="false"/>
                <w:sz w:val="19"/>
                <w:szCs w:val="19"/>
              </w:rPr>
              <w:t xml:space="preserve">EEGNet-equivalent baseline</w:t>
            </w:r>
          </w:p>
        </w:tc>
      </w:tr>
      <w:tr>
        <w:trPr>
          <w:cantSplit/>
        </w:trPr>
        <w:tc>
          <w:tcPr>
            <w:tcW w:type="dxa" w:w="6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A2</w:t>
            </w:r>
          </w:p>
        </w:tc>
        <w:tc>
          <w:tcPr>
            <w:tcW w:type="dxa" w:w="8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15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11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9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27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Alignment alone</w:t>
            </w:r>
          </w:p>
        </w:tc>
      </w:tr>
      <w:tr>
        <w:trPr>
          <w:cantSplit/>
        </w:trPr>
        <w:tc>
          <w:tcPr>
            <w:tcW w:type="dxa" w:w="600"/>
            <w:tcMar>
              <w:top w:type="dxa" w:w="80"/>
              <w:left w:type="dxa" w:w="110"/>
              <w:bottom w:type="dxa" w:w="80"/>
              <w:right w:type="dxa" w:w="110"/>
            </w:tcMar>
          </w:tcPr>
          <w:p>
            <w:pPr>
              <w:spacing w:after="0" w:line="240"/>
              <w:jc w:val="left"/>
            </w:pPr>
            <w:r>
              <w:rPr>
                <w:b/>
                <w:bCs/>
                <w:i w:val="false"/>
                <w:iCs w:val="false"/>
                <w:sz w:val="19"/>
                <w:szCs w:val="19"/>
              </w:rPr>
              <w:t xml:space="preserve">A3</w:t>
            </w:r>
          </w:p>
        </w:tc>
        <w:tc>
          <w:tcPr>
            <w:tcW w:type="dxa" w:w="8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1400"/>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500"/>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1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9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2700"/>
            <w:tcMar>
              <w:top w:type="dxa" w:w="80"/>
              <w:left w:type="dxa" w:w="110"/>
              <w:bottom w:type="dxa" w:w="80"/>
              <w:right w:type="dxa" w:w="110"/>
            </w:tcMar>
          </w:tcPr>
          <w:p>
            <w:pPr>
              <w:spacing w:after="0" w:line="240"/>
              <w:jc w:val="center"/>
            </w:pPr>
            <w:r>
              <w:rPr>
                <w:b w:val="false"/>
                <w:bCs w:val="false"/>
                <w:i w:val="false"/>
                <w:iCs w:val="false"/>
                <w:sz w:val="19"/>
                <w:szCs w:val="19"/>
              </w:rPr>
              <w:t xml:space="preserve">Capacity alone</w:t>
            </w:r>
          </w:p>
        </w:tc>
      </w:tr>
      <w:tr>
        <w:trPr>
          <w:cantSplit/>
        </w:trPr>
        <w:tc>
          <w:tcPr>
            <w:tcW w:type="dxa" w:w="6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A4</w:t>
            </w:r>
          </w:p>
        </w:tc>
        <w:tc>
          <w:tcPr>
            <w:tcW w:type="dxa" w:w="8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5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11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9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27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Alignment + multi-scale</w:t>
            </w:r>
          </w:p>
        </w:tc>
      </w:tr>
      <w:tr>
        <w:trPr>
          <w:cantSplit/>
        </w:trPr>
        <w:tc>
          <w:tcPr>
            <w:tcW w:type="dxa" w:w="600"/>
            <w:tcMar>
              <w:top w:type="dxa" w:w="80"/>
              <w:left w:type="dxa" w:w="110"/>
              <w:bottom w:type="dxa" w:w="80"/>
              <w:right w:type="dxa" w:w="110"/>
            </w:tcMar>
          </w:tcPr>
          <w:p>
            <w:pPr>
              <w:spacing w:after="0" w:line="240"/>
              <w:jc w:val="left"/>
            </w:pPr>
            <w:r>
              <w:rPr>
                <w:b/>
                <w:bCs/>
                <w:i w:val="false"/>
                <w:iCs w:val="false"/>
                <w:sz w:val="19"/>
                <w:szCs w:val="19"/>
              </w:rPr>
              <w:t xml:space="preserve">A5</w:t>
            </w:r>
          </w:p>
        </w:tc>
        <w:tc>
          <w:tcPr>
            <w:tcW w:type="dxa" w:w="800"/>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400"/>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500"/>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1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9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2700"/>
            <w:tcMar>
              <w:top w:type="dxa" w:w="80"/>
              <w:left w:type="dxa" w:w="110"/>
              <w:bottom w:type="dxa" w:w="80"/>
              <w:right w:type="dxa" w:w="110"/>
            </w:tcMar>
          </w:tcPr>
          <w:p>
            <w:pPr>
              <w:spacing w:after="0" w:line="240"/>
              <w:jc w:val="center"/>
            </w:pPr>
            <w:r>
              <w:rPr>
                <w:b w:val="false"/>
                <w:bCs w:val="false"/>
                <w:i w:val="false"/>
                <w:iCs w:val="false"/>
                <w:sz w:val="19"/>
                <w:szCs w:val="19"/>
              </w:rPr>
              <w:t xml:space="preserve">Full architecture, no DG losses</w:t>
            </w:r>
          </w:p>
        </w:tc>
      </w:tr>
      <w:tr>
        <w:trPr>
          <w:cantSplit/>
        </w:trPr>
        <w:tc>
          <w:tcPr>
            <w:tcW w:type="dxa" w:w="6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A6</w:t>
            </w:r>
          </w:p>
        </w:tc>
        <w:tc>
          <w:tcPr>
            <w:tcW w:type="dxa" w:w="8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5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1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9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27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Plus contrastive</w:t>
            </w:r>
          </w:p>
        </w:tc>
      </w:tr>
      <w:tr>
        <w:trPr>
          <w:cantSplit/>
        </w:trPr>
        <w:tc>
          <w:tcPr>
            <w:tcW w:type="dxa" w:w="600"/>
            <w:tcMar>
              <w:top w:type="dxa" w:w="80"/>
              <w:left w:type="dxa" w:w="110"/>
              <w:bottom w:type="dxa" w:w="80"/>
              <w:right w:type="dxa" w:w="110"/>
            </w:tcMar>
          </w:tcPr>
          <w:p>
            <w:pPr>
              <w:spacing w:after="0" w:line="240"/>
              <w:jc w:val="left"/>
            </w:pPr>
            <w:r>
              <w:rPr>
                <w:b/>
                <w:bCs/>
                <w:i w:val="false"/>
                <w:iCs w:val="false"/>
                <w:sz w:val="19"/>
                <w:szCs w:val="19"/>
              </w:rPr>
              <w:t xml:space="preserve">A7</w:t>
            </w:r>
          </w:p>
        </w:tc>
        <w:tc>
          <w:tcPr>
            <w:tcW w:type="dxa" w:w="800"/>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400"/>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500"/>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100"/>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900"/>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2700"/>
            <w:tcMar>
              <w:top w:type="dxa" w:w="80"/>
              <w:left w:type="dxa" w:w="110"/>
              <w:bottom w:type="dxa" w:w="80"/>
              <w:right w:type="dxa" w:w="110"/>
            </w:tcMar>
          </w:tcPr>
          <w:p>
            <w:pPr>
              <w:spacing w:after="0" w:line="240"/>
              <w:jc w:val="center"/>
            </w:pPr>
            <w:r>
              <w:rPr>
                <w:b w:val="false"/>
                <w:bCs w:val="false"/>
                <w:i w:val="false"/>
                <w:iCs w:val="false"/>
                <w:sz w:val="19"/>
                <w:szCs w:val="19"/>
              </w:rPr>
              <w:t xml:space="preserve">Plus adversarial</w:t>
            </w:r>
          </w:p>
        </w:tc>
      </w:tr>
      <w:tr>
        <w:trPr>
          <w:cantSplit/>
        </w:trPr>
        <w:tc>
          <w:tcPr>
            <w:tcW w:type="dxa" w:w="6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A8</w:t>
            </w:r>
          </w:p>
        </w:tc>
        <w:tc>
          <w:tcPr>
            <w:tcW w:type="dxa" w:w="8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5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11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9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Yes</w:t>
            </w:r>
          </w:p>
        </w:tc>
        <w:tc>
          <w:tcPr>
            <w:tcW w:type="dxa" w:w="27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Full SAND-Net</w:t>
            </w:r>
          </w:p>
        </w:tc>
      </w:tr>
    </w:tbl>
    <w:p>
      <w:pPr>
        <w:spacing w:after="200" w:before="60"/>
      </w:pPr>
      <w:r>
        <w:rPr>
          <w:i/>
          <w:iCs/>
          <w:color w:val="595959"/>
          <w:sz w:val="17"/>
          <w:szCs w:val="17"/>
        </w:rPr>
        <w:t xml:space="preserve">Table 8.1 — Ablation grid. Each configuration is run over all 9 LOSO folds.</w:t>
      </w:r>
    </w:p>
    <w:p>
      <w:pPr>
        <w:pStyle w:val="Heading2"/>
        <w:spacing w:after="120" w:before="240"/>
      </w:pPr>
      <w:r>
        <w:rPr>
          <w:b/>
          <w:bCs/>
          <w:color w:val="2E74B5"/>
          <w:sz w:val="24"/>
          <w:szCs w:val="24"/>
        </w:rPr>
        <w:t xml:space="preserve">8.1 Which comparison answers which question</w:t>
      </w:r>
    </w:p>
    <w:p>
      <w:pPr>
        <w:pStyle w:val="ListParagraph"/>
        <w:numPr>
          <w:ilvl w:val="0"/>
          <w:numId w:val="2"/>
        </w:numPr>
        <w:spacing w:after="70" w:line="276"/>
      </w:pPr>
      <w:r>
        <w:rPr>
          <w:b/>
          <w:bCs/>
          <w:i w:val="false"/>
          <w:iCs w:val="false"/>
          <w:sz w:val="21"/>
          <w:szCs w:val="21"/>
        </w:rPr>
        <w:t xml:space="preserve">A1 vs A2 vs A3 — </w:t>
      </w:r>
      <w:r>
        <w:rPr>
          <w:b w:val="false"/>
          <w:bCs w:val="false"/>
          <w:i w:val="false"/>
          <w:iCs w:val="false"/>
          <w:sz w:val="21"/>
          <w:szCs w:val="21"/>
        </w:rPr>
        <w:t xml:space="preserve">the core test of H1. A2 isolates the gain from alignment with no added capacity; A3 isolates the gain from added capacity with no alignment. If A2 − A1 &gt; A3 − A1, H1 is supported.</w:t>
      </w:r>
    </w:p>
    <w:p>
      <w:pPr>
        <w:pStyle w:val="ListParagraph"/>
        <w:numPr>
          <w:ilvl w:val="0"/>
          <w:numId w:val="2"/>
        </w:numPr>
        <w:spacing w:after="70" w:line="276"/>
      </w:pPr>
      <w:r>
        <w:rPr>
          <w:b/>
          <w:bCs/>
          <w:i w:val="false"/>
          <w:iCs w:val="false"/>
          <w:sz w:val="21"/>
          <w:szCs w:val="21"/>
        </w:rPr>
        <w:t xml:space="preserve">A3 vs A5 — </w:t>
      </w:r>
      <w:r>
        <w:rPr>
          <w:b w:val="false"/>
          <w:bCs w:val="false"/>
          <w:i w:val="false"/>
          <w:iCs w:val="false"/>
          <w:sz w:val="21"/>
          <w:szCs w:val="21"/>
        </w:rPr>
        <w:t xml:space="preserve">does alignment still help once the architecture is already strong, or is its benefit absorbed by capacity?</w:t>
      </w:r>
    </w:p>
    <w:p>
      <w:pPr>
        <w:pStyle w:val="ListParagraph"/>
        <w:numPr>
          <w:ilvl w:val="0"/>
          <w:numId w:val="2"/>
        </w:numPr>
        <w:spacing w:after="70" w:line="276"/>
      </w:pPr>
      <w:r>
        <w:rPr>
          <w:b/>
          <w:bCs/>
          <w:i w:val="false"/>
          <w:iCs w:val="false"/>
          <w:sz w:val="21"/>
          <w:szCs w:val="21"/>
        </w:rPr>
        <w:t xml:space="preserve">A5 vs A6, A7, A8 — </w:t>
      </w:r>
      <w:r>
        <w:rPr>
          <w:b w:val="false"/>
          <w:bCs w:val="false"/>
          <w:i w:val="false"/>
          <w:iCs w:val="false"/>
          <w:sz w:val="21"/>
          <w:szCs w:val="21"/>
        </w:rPr>
        <w:t xml:space="preserve">are the domain-generalisation losses complementary to input alignment, or redundant with it? This is the second half of H1.</w:t>
      </w:r>
    </w:p>
    <w:p>
      <w:pPr>
        <w:pStyle w:val="ListParagraph"/>
        <w:numPr>
          <w:ilvl w:val="0"/>
          <w:numId w:val="2"/>
        </w:numPr>
        <w:spacing w:after="70" w:line="276"/>
      </w:pPr>
      <w:r>
        <w:rPr>
          <w:b/>
          <w:bCs/>
          <w:i w:val="false"/>
          <w:iCs w:val="false"/>
          <w:sz w:val="21"/>
          <w:szCs w:val="21"/>
        </w:rPr>
        <w:t xml:space="preserve">A4 vs A5 — </w:t>
      </w:r>
      <w:r>
        <w:rPr>
          <w:b w:val="false"/>
          <w:bCs w:val="false"/>
          <w:i w:val="false"/>
          <w:iCs w:val="false"/>
          <w:sz w:val="21"/>
          <w:szCs w:val="21"/>
        </w:rPr>
        <w:t xml:space="preserve">does windowed attention earn its parameters, or is the multi-scale convolution doing the work?</w:t>
      </w:r>
    </w:p>
    <w:p>
      <w:pPr>
        <w:spacing w:after="120" w:line="276"/>
        <w:jc w:val="both"/>
      </w:pPr>
      <w:r>
        <w:rPr>
          <w:b w:val="false"/>
          <w:bCs w:val="false"/>
          <w:i w:val="false"/>
          <w:iCs w:val="false"/>
          <w:sz w:val="21"/>
          <w:szCs w:val="21"/>
        </w:rPr>
        <w:t xml:space="preserve">A separate run replaces windowed attention with full self-attention at matched depth, holding everything else fixed, to test H2.</w:t>
      </w:r>
    </w:p>
    <w:p>
      <w:r>
        <w:br w:type="page"/>
      </w:r>
    </w:p>
    <w:p>
      <w:pPr>
        <w:pStyle w:val="Heading1"/>
        <w:spacing w:after="160" w:before="360"/>
      </w:pPr>
      <w:r>
        <w:rPr>
          <w:b/>
          <w:bCs/>
          <w:color w:val="1F3864"/>
          <w:sz w:val="30"/>
          <w:szCs w:val="30"/>
        </w:rPr>
        <w:t xml:space="preserve">9. Interpretability and Neurophysiological Validation</w:t>
      </w:r>
    </w:p>
    <w:p>
      <w:pPr>
        <w:spacing w:after="120" w:line="276"/>
        <w:jc w:val="both"/>
      </w:pPr>
      <w:r>
        <w:rPr>
          <w:b w:val="false"/>
          <w:bCs w:val="false"/>
          <w:i w:val="false"/>
          <w:iCs w:val="false"/>
          <w:sz w:val="21"/>
          <w:szCs w:val="21"/>
        </w:rPr>
        <w:t xml:space="preserve">Interpretability here is not a presentation aid; it is a correctness check. EEG models are notorious for achieving high accuracy by learning eye-movement or muscle artefacts that happen to correlate with the cue, rather than the motor imagery itself. Two analyses are run.</w:t>
      </w:r>
    </w:p>
    <w:p>
      <w:pPr>
        <w:pStyle w:val="Heading2"/>
        <w:spacing w:after="120" w:before="240"/>
      </w:pPr>
      <w:r>
        <w:rPr>
          <w:b/>
          <w:bCs/>
          <w:color w:val="2E74B5"/>
          <w:sz w:val="24"/>
          <w:szCs w:val="24"/>
        </w:rPr>
        <w:t xml:space="preserve">9.1 Class Activation Topography</w:t>
      </w:r>
    </w:p>
    <w:p>
      <w:pPr>
        <w:spacing w:after="120" w:line="276"/>
        <w:jc w:val="both"/>
      </w:pPr>
      <w:r>
        <w:rPr>
          <w:b w:val="false"/>
          <w:bCs w:val="false"/>
          <w:i w:val="false"/>
          <w:iCs w:val="false"/>
          <w:sz w:val="21"/>
          <w:szCs w:val="21"/>
        </w:rPr>
        <w:t xml:space="preserve">Following the method introduced with EEG Conformer, per-class channel contributions are projected onto a scalp topography. This yields one topographic map per motor imagery class, showing which electrodes drove the decision.</w:t>
      </w:r>
    </w:p>
    <w:p>
      <w:pPr>
        <w:pStyle w:val="Heading2"/>
        <w:spacing w:after="120" w:before="240"/>
      </w:pPr>
      <w:r>
        <w:rPr>
          <w:b/>
          <w:bCs/>
          <w:color w:val="2E74B5"/>
          <w:sz w:val="24"/>
          <w:szCs w:val="24"/>
        </w:rPr>
        <w:t xml:space="preserve">9.2 The falsification test</w:t>
      </w:r>
    </w:p>
    <w:p>
      <w:pPr>
        <w:spacing w:after="120" w:line="276"/>
        <w:jc w:val="both"/>
      </w:pPr>
      <w:r>
        <w:rPr>
          <w:b w:val="false"/>
          <w:bCs w:val="false"/>
          <w:i w:val="false"/>
          <w:iCs w:val="false"/>
          <w:sz w:val="21"/>
          <w:szCs w:val="21"/>
        </w:rPr>
        <w:t xml:space="preserve">Motor imagery produces event-related desynchronisation contralateral to the imagined limb: imagining left-hand movement suppresses mu rhythm over the right sensorimotor cortex, near electrode C4, and right-hand imagery does the same over the left, near C3. This is established neurophysiology, independent of any model.</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8F3EC" w:color="auto" w:val="clear"/>
            <w:tcMar>
              <w:top w:type="dxa" w:w="140"/>
              <w:left w:type="dxa" w:w="160"/>
              <w:bottom w:type="dxa" w:w="140"/>
              <w:right w:type="dxa" w:w="160"/>
            </w:tcMar>
          </w:tcPr>
          <w:p>
            <w:pPr>
              <w:spacing w:after="70"/>
            </w:pPr>
            <w:r>
              <w:rPr>
                <w:b/>
                <w:bCs/>
                <w:color w:val="1F3864"/>
                <w:sz w:val="21"/>
                <w:szCs w:val="21"/>
              </w:rPr>
              <w:t xml:space="preserve">Pass / fail criterion</w:t>
            </w:r>
          </w:p>
          <w:p>
            <w:pPr>
              <w:spacing w:after="50" w:line="276"/>
              <w:jc w:val="both"/>
            </w:pPr>
            <w:r>
              <w:rPr>
                <w:sz w:val="21"/>
                <w:szCs w:val="21"/>
              </w:rPr>
              <w:t xml:space="preserve">If the left-hand topography peaks near C4 and the right-hand topography peaks near C3, the model has learned genuine sensorimotor physiology. If the peaks are frontal, symmetric, or concentrated on peripheral electrodes, the model is likely exploiting ocular or muscular artefacts, and the accuracy figure is not measuring motor intent decoding regardless of how high it is.</w:t>
            </w:r>
          </w:p>
          <w:p>
            <w:pPr>
              <w:spacing w:after="50" w:line="276"/>
              <w:jc w:val="both"/>
            </w:pPr>
            <w:r>
              <w:rPr>
                <w:sz w:val="21"/>
                <w:szCs w:val="21"/>
              </w:rPr>
              <w:t xml:space="preserve">This is a genuine test with a genuine failure mode, and the result will be reported either way.</w:t>
            </w:r>
          </w:p>
        </w:tc>
      </w:tr>
    </w:tbl>
    <w:p>
      <w:pPr>
        <w:pStyle w:val="Heading2"/>
        <w:spacing w:after="120" w:before="240"/>
      </w:pPr>
      <w:r>
        <w:rPr>
          <w:b/>
          <w:bCs/>
          <w:color w:val="2E74B5"/>
          <w:sz w:val="24"/>
          <w:szCs w:val="24"/>
        </w:rPr>
        <w:t xml:space="preserve">9.3 Attention analysis</w:t>
      </w:r>
    </w:p>
    <w:p>
      <w:pPr>
        <w:spacing w:after="120" w:line="276"/>
        <w:jc w:val="both"/>
      </w:pPr>
      <w:r>
        <w:rPr>
          <w:b w:val="false"/>
          <w:bCs w:val="false"/>
          <w:i w:val="false"/>
          <w:iCs w:val="false"/>
          <w:sz w:val="21"/>
          <w:szCs w:val="21"/>
        </w:rPr>
        <w:t xml:space="preserve">Attention weights across the five temporal windows are averaged per class and plotted against trial time. The expectation is that weight concentrates roughly 0.5 to 2.5 s after the cue, the interval in which event-related desynchronisation is strongest. Attention concentrated at trial onset would suggest the model is reading the cue artefact rather than the imagery.</w:t>
      </w:r>
    </w:p>
    <w:p>
      <w:pPr>
        <w:pStyle w:val="Heading1"/>
        <w:spacing w:after="160" w:before="360"/>
      </w:pPr>
      <w:r>
        <w:rPr>
          <w:b/>
          <w:bCs/>
          <w:color w:val="1F3864"/>
          <w:sz w:val="30"/>
          <w:szCs w:val="30"/>
        </w:rPr>
        <w:t xml:space="preserve">10. Tools, Frameworks and Environment</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cantSplit/>
          <w:tblHeader/>
        </w:trPr>
        <w:tc>
          <w:tcPr>
            <w:tcW w:type="dxa" w:w="20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Category</w:t>
            </w:r>
          </w:p>
        </w:tc>
        <w:tc>
          <w:tcPr>
            <w:tcW w:type="dxa" w:w="30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Choice</w:t>
            </w:r>
          </w:p>
        </w:tc>
        <w:tc>
          <w:tcPr>
            <w:tcW w:type="dxa" w:w="40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Role</w:t>
            </w:r>
          </w:p>
        </w:tc>
      </w:tr>
      <w:tr>
        <w:trPr>
          <w:cantSplit/>
        </w:trPr>
        <w:tc>
          <w:tcPr>
            <w:tcW w:type="dxa" w:w="2000"/>
            <w:tcMar>
              <w:top w:type="dxa" w:w="80"/>
              <w:left w:type="dxa" w:w="110"/>
              <w:bottom w:type="dxa" w:w="80"/>
              <w:right w:type="dxa" w:w="110"/>
            </w:tcMar>
          </w:tcPr>
          <w:p>
            <w:pPr>
              <w:spacing w:after="0" w:line="240"/>
              <w:jc w:val="left"/>
            </w:pPr>
            <w:r>
              <w:rPr>
                <w:b/>
                <w:bCs/>
                <w:i w:val="false"/>
                <w:iCs w:val="false"/>
                <w:sz w:val="19"/>
                <w:szCs w:val="19"/>
              </w:rPr>
              <w:t xml:space="preserve">Language</w:t>
            </w:r>
          </w:p>
        </w:tc>
        <w:tc>
          <w:tcPr>
            <w:tcW w:type="dxa" w:w="3000"/>
            <w:tcMar>
              <w:top w:type="dxa" w:w="80"/>
              <w:left w:type="dxa" w:w="110"/>
              <w:bottom w:type="dxa" w:w="80"/>
              <w:right w:type="dxa" w:w="110"/>
            </w:tcMar>
          </w:tcPr>
          <w:p>
            <w:pPr>
              <w:spacing w:after="0" w:line="240"/>
              <w:jc w:val="left"/>
            </w:pPr>
            <w:r>
              <w:rPr>
                <w:b w:val="false"/>
                <w:bCs w:val="false"/>
                <w:i w:val="false"/>
                <w:iCs w:val="false"/>
                <w:sz w:val="19"/>
                <w:szCs w:val="19"/>
              </w:rPr>
              <w:t xml:space="preserve">Python 3.10+</w:t>
            </w:r>
          </w:p>
        </w:tc>
        <w:tc>
          <w:tcPr>
            <w:tcW w:type="dxa" w:w="4000"/>
            <w:tcMar>
              <w:top w:type="dxa" w:w="80"/>
              <w:left w:type="dxa" w:w="110"/>
              <w:bottom w:type="dxa" w:w="80"/>
              <w:right w:type="dxa" w:w="110"/>
            </w:tcMar>
          </w:tcPr>
          <w:p>
            <w:pPr>
              <w:spacing w:after="0" w:line="240"/>
              <w:jc w:val="left"/>
            </w:pPr>
            <w:r>
              <w:rPr>
                <w:b w:val="false"/>
                <w:bCs w:val="false"/>
                <w:i w:val="false"/>
                <w:iCs w:val="false"/>
                <w:sz w:val="19"/>
                <w:szCs w:val="19"/>
              </w:rPr>
              <w:t xml:space="preserve">All implementation</w:t>
            </w:r>
          </w:p>
        </w:tc>
      </w:tr>
      <w:tr>
        <w:trPr>
          <w:cantSplit/>
        </w:trPr>
        <w:tc>
          <w:tcPr>
            <w:tcW w:type="dxa" w:w="20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Deep learning</w:t>
            </w:r>
          </w:p>
        </w:tc>
        <w:tc>
          <w:tcPr>
            <w:tcW w:type="dxa" w:w="30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PyTorch 2.x</w:t>
            </w:r>
          </w:p>
        </w:tc>
        <w:tc>
          <w:tcPr>
            <w:tcW w:type="dxa" w:w="40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Model definition, training, autograd for gradient reversal</w:t>
            </w:r>
          </w:p>
        </w:tc>
      </w:tr>
      <w:tr>
        <w:trPr>
          <w:cantSplit/>
        </w:trPr>
        <w:tc>
          <w:tcPr>
            <w:tcW w:type="dxa" w:w="2000"/>
            <w:tcMar>
              <w:top w:type="dxa" w:w="80"/>
              <w:left w:type="dxa" w:w="110"/>
              <w:bottom w:type="dxa" w:w="80"/>
              <w:right w:type="dxa" w:w="110"/>
            </w:tcMar>
          </w:tcPr>
          <w:p>
            <w:pPr>
              <w:spacing w:after="0" w:line="240"/>
              <w:jc w:val="left"/>
            </w:pPr>
            <w:r>
              <w:rPr>
                <w:b/>
                <w:bCs/>
                <w:i w:val="false"/>
                <w:iCs w:val="false"/>
                <w:sz w:val="19"/>
                <w:szCs w:val="19"/>
              </w:rPr>
              <w:t xml:space="preserve">EEG processing</w:t>
            </w:r>
          </w:p>
        </w:tc>
        <w:tc>
          <w:tcPr>
            <w:tcW w:type="dxa" w:w="3000"/>
            <w:tcMar>
              <w:top w:type="dxa" w:w="80"/>
              <w:left w:type="dxa" w:w="110"/>
              <w:bottom w:type="dxa" w:w="80"/>
              <w:right w:type="dxa" w:w="110"/>
            </w:tcMar>
          </w:tcPr>
          <w:p>
            <w:pPr>
              <w:spacing w:after="0" w:line="240"/>
              <w:jc w:val="left"/>
            </w:pPr>
            <w:r>
              <w:rPr>
                <w:b w:val="false"/>
                <w:bCs w:val="false"/>
                <w:i w:val="false"/>
                <w:iCs w:val="false"/>
                <w:sz w:val="19"/>
                <w:szCs w:val="19"/>
              </w:rPr>
              <w:t xml:space="preserve">MNE-Python</w:t>
            </w:r>
          </w:p>
        </w:tc>
        <w:tc>
          <w:tcPr>
            <w:tcW w:type="dxa" w:w="4000"/>
            <w:tcMar>
              <w:top w:type="dxa" w:w="80"/>
              <w:left w:type="dxa" w:w="110"/>
              <w:bottom w:type="dxa" w:w="80"/>
              <w:right w:type="dxa" w:w="110"/>
            </w:tcMar>
          </w:tcPr>
          <w:p>
            <w:pPr>
              <w:spacing w:after="0" w:line="240"/>
              <w:jc w:val="left"/>
            </w:pPr>
            <w:r>
              <w:rPr>
                <w:b w:val="false"/>
                <w:bCs w:val="false"/>
                <w:i w:val="false"/>
                <w:iCs w:val="false"/>
                <w:sz w:val="19"/>
                <w:szCs w:val="19"/>
              </w:rPr>
              <w:t xml:space="preserve">Loading, filtering, epoching, topographic plotting</w:t>
            </w:r>
          </w:p>
        </w:tc>
      </w:tr>
      <w:tr>
        <w:trPr>
          <w:cantSplit/>
        </w:trPr>
        <w:tc>
          <w:tcPr>
            <w:tcW w:type="dxa" w:w="20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Dataset access</w:t>
            </w:r>
          </w:p>
        </w:tc>
        <w:tc>
          <w:tcPr>
            <w:tcW w:type="dxa" w:w="30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MOABB</w:t>
            </w:r>
          </w:p>
        </w:tc>
        <w:tc>
          <w:tcPr>
            <w:tcW w:type="dxa" w:w="40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Programmatic download and standardised cross-subject splits</w:t>
            </w:r>
          </w:p>
        </w:tc>
      </w:tr>
      <w:tr>
        <w:trPr>
          <w:cantSplit/>
        </w:trPr>
        <w:tc>
          <w:tcPr>
            <w:tcW w:type="dxa" w:w="2000"/>
            <w:tcMar>
              <w:top w:type="dxa" w:w="80"/>
              <w:left w:type="dxa" w:w="110"/>
              <w:bottom w:type="dxa" w:w="80"/>
              <w:right w:type="dxa" w:w="110"/>
            </w:tcMar>
          </w:tcPr>
          <w:p>
            <w:pPr>
              <w:spacing w:after="0" w:line="240"/>
              <w:jc w:val="left"/>
            </w:pPr>
            <w:r>
              <w:rPr>
                <w:b/>
                <w:bCs/>
                <w:i w:val="false"/>
                <w:iCs w:val="false"/>
                <w:sz w:val="19"/>
                <w:szCs w:val="19"/>
              </w:rPr>
              <w:t xml:space="preserve">Reference models</w:t>
            </w:r>
          </w:p>
        </w:tc>
        <w:tc>
          <w:tcPr>
            <w:tcW w:type="dxa" w:w="3000"/>
            <w:tcMar>
              <w:top w:type="dxa" w:w="80"/>
              <w:left w:type="dxa" w:w="110"/>
              <w:bottom w:type="dxa" w:w="80"/>
              <w:right w:type="dxa" w:w="110"/>
            </w:tcMar>
          </w:tcPr>
          <w:p>
            <w:pPr>
              <w:spacing w:after="0" w:line="240"/>
              <w:jc w:val="left"/>
            </w:pPr>
            <w:r>
              <w:rPr>
                <w:b w:val="false"/>
                <w:bCs w:val="false"/>
                <w:i w:val="false"/>
                <w:iCs w:val="false"/>
                <w:sz w:val="19"/>
                <w:szCs w:val="19"/>
              </w:rPr>
              <w:t xml:space="preserve">Braindecode</w:t>
            </w:r>
          </w:p>
        </w:tc>
        <w:tc>
          <w:tcPr>
            <w:tcW w:type="dxa" w:w="4000"/>
            <w:tcMar>
              <w:top w:type="dxa" w:w="80"/>
              <w:left w:type="dxa" w:w="110"/>
              <w:bottom w:type="dxa" w:w="80"/>
              <w:right w:type="dxa" w:w="110"/>
            </w:tcMar>
          </w:tcPr>
          <w:p>
            <w:pPr>
              <w:spacing w:after="0" w:line="240"/>
              <w:jc w:val="left"/>
            </w:pPr>
            <w:r>
              <w:rPr>
                <w:b w:val="false"/>
                <w:bCs w:val="false"/>
                <w:i w:val="false"/>
                <w:iCs w:val="false"/>
                <w:sz w:val="19"/>
                <w:szCs w:val="19"/>
              </w:rPr>
              <w:t xml:space="preserve">Validated EEGNet, ShallowConvNet, Deep4Net implementations</w:t>
            </w:r>
          </w:p>
        </w:tc>
      </w:tr>
      <w:tr>
        <w:trPr>
          <w:cantSplit/>
        </w:trPr>
        <w:tc>
          <w:tcPr>
            <w:tcW w:type="dxa" w:w="20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Classical baseline</w:t>
            </w:r>
          </w:p>
        </w:tc>
        <w:tc>
          <w:tcPr>
            <w:tcW w:type="dxa" w:w="30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scikit-learn, pyRiemann</w:t>
            </w:r>
          </w:p>
        </w:tc>
        <w:tc>
          <w:tcPr>
            <w:tcW w:type="dxa" w:w="40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FBCSP + LDA</w:t>
            </w:r>
          </w:p>
        </w:tc>
      </w:tr>
      <w:tr>
        <w:trPr>
          <w:cantSplit/>
        </w:trPr>
        <w:tc>
          <w:tcPr>
            <w:tcW w:type="dxa" w:w="2000"/>
            <w:tcMar>
              <w:top w:type="dxa" w:w="80"/>
              <w:left w:type="dxa" w:w="110"/>
              <w:bottom w:type="dxa" w:w="80"/>
              <w:right w:type="dxa" w:w="110"/>
            </w:tcMar>
          </w:tcPr>
          <w:p>
            <w:pPr>
              <w:spacing w:after="0" w:line="240"/>
              <w:jc w:val="left"/>
            </w:pPr>
            <w:r>
              <w:rPr>
                <w:b/>
                <w:bCs/>
                <w:i w:val="false"/>
                <w:iCs w:val="false"/>
                <w:sz w:val="19"/>
                <w:szCs w:val="19"/>
              </w:rPr>
              <w:t xml:space="preserve">Numerics</w:t>
            </w:r>
          </w:p>
        </w:tc>
        <w:tc>
          <w:tcPr>
            <w:tcW w:type="dxa" w:w="3000"/>
            <w:tcMar>
              <w:top w:type="dxa" w:w="80"/>
              <w:left w:type="dxa" w:w="110"/>
              <w:bottom w:type="dxa" w:w="80"/>
              <w:right w:type="dxa" w:w="110"/>
            </w:tcMar>
          </w:tcPr>
          <w:p>
            <w:pPr>
              <w:spacing w:after="0" w:line="240"/>
              <w:jc w:val="left"/>
            </w:pPr>
            <w:r>
              <w:rPr>
                <w:b w:val="false"/>
                <w:bCs w:val="false"/>
                <w:i w:val="false"/>
                <w:iCs w:val="false"/>
                <w:sz w:val="19"/>
                <w:szCs w:val="19"/>
              </w:rPr>
              <w:t xml:space="preserve">NumPy, SciPy</w:t>
            </w:r>
          </w:p>
        </w:tc>
        <w:tc>
          <w:tcPr>
            <w:tcW w:type="dxa" w:w="4000"/>
            <w:tcMar>
              <w:top w:type="dxa" w:w="80"/>
              <w:left w:type="dxa" w:w="110"/>
              <w:bottom w:type="dxa" w:w="80"/>
              <w:right w:type="dxa" w:w="110"/>
            </w:tcMar>
          </w:tcPr>
          <w:p>
            <w:pPr>
              <w:spacing w:after="0" w:line="240"/>
              <w:jc w:val="left"/>
            </w:pPr>
            <w:r>
              <w:rPr>
                <w:b w:val="false"/>
                <w:bCs w:val="false"/>
                <w:i w:val="false"/>
                <w:iCs w:val="false"/>
                <w:sz w:val="19"/>
                <w:szCs w:val="19"/>
              </w:rPr>
              <w:t xml:space="preserve">Alignment matrices, filtering, statistical tests</w:t>
            </w:r>
          </w:p>
        </w:tc>
      </w:tr>
      <w:tr>
        <w:trPr>
          <w:cantSplit/>
        </w:trPr>
        <w:tc>
          <w:tcPr>
            <w:tcW w:type="dxa" w:w="20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Visualisation</w:t>
            </w:r>
          </w:p>
        </w:tc>
        <w:tc>
          <w:tcPr>
            <w:tcW w:type="dxa" w:w="30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Matplotlib, Seaborn, MNE topomaps</w:t>
            </w:r>
          </w:p>
        </w:tc>
        <w:tc>
          <w:tcPr>
            <w:tcW w:type="dxa" w:w="40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Results figures, topographies, confusion matrices</w:t>
            </w:r>
          </w:p>
        </w:tc>
      </w:tr>
      <w:tr>
        <w:trPr>
          <w:cantSplit/>
        </w:trPr>
        <w:tc>
          <w:tcPr>
            <w:tcW w:type="dxa" w:w="2000"/>
            <w:tcMar>
              <w:top w:type="dxa" w:w="80"/>
              <w:left w:type="dxa" w:w="110"/>
              <w:bottom w:type="dxa" w:w="80"/>
              <w:right w:type="dxa" w:w="110"/>
            </w:tcMar>
          </w:tcPr>
          <w:p>
            <w:pPr>
              <w:spacing w:after="0" w:line="240"/>
              <w:jc w:val="left"/>
            </w:pPr>
            <w:r>
              <w:rPr>
                <w:b/>
                <w:bCs/>
                <w:i w:val="false"/>
                <w:iCs w:val="false"/>
                <w:sz w:val="19"/>
                <w:szCs w:val="19"/>
              </w:rPr>
              <w:t xml:space="preserve">Experiment tracking</w:t>
            </w:r>
          </w:p>
        </w:tc>
        <w:tc>
          <w:tcPr>
            <w:tcW w:type="dxa" w:w="3000"/>
            <w:tcMar>
              <w:top w:type="dxa" w:w="80"/>
              <w:left w:type="dxa" w:w="110"/>
              <w:bottom w:type="dxa" w:w="80"/>
              <w:right w:type="dxa" w:w="110"/>
            </w:tcMar>
          </w:tcPr>
          <w:p>
            <w:pPr>
              <w:spacing w:after="0" w:line="240"/>
              <w:jc w:val="left"/>
            </w:pPr>
            <w:r>
              <w:rPr>
                <w:b w:val="false"/>
                <w:bCs w:val="false"/>
                <w:i w:val="false"/>
                <w:iCs w:val="false"/>
                <w:sz w:val="19"/>
                <w:szCs w:val="19"/>
              </w:rPr>
              <w:t xml:space="preserve">Weights &amp; Biases or TensorBoard</w:t>
            </w:r>
          </w:p>
        </w:tc>
        <w:tc>
          <w:tcPr>
            <w:tcW w:type="dxa" w:w="4000"/>
            <w:tcMar>
              <w:top w:type="dxa" w:w="80"/>
              <w:left w:type="dxa" w:w="110"/>
              <w:bottom w:type="dxa" w:w="80"/>
              <w:right w:type="dxa" w:w="110"/>
            </w:tcMar>
          </w:tcPr>
          <w:p>
            <w:pPr>
              <w:spacing w:after="0" w:line="240"/>
              <w:jc w:val="left"/>
            </w:pPr>
            <w:r>
              <w:rPr>
                <w:b w:val="false"/>
                <w:bCs w:val="false"/>
                <w:i w:val="false"/>
                <w:iCs w:val="false"/>
                <w:sz w:val="19"/>
                <w:szCs w:val="19"/>
              </w:rPr>
              <w:t xml:space="preserve">Logging 230+ training runs with fold-level metrics</w:t>
            </w:r>
          </w:p>
        </w:tc>
      </w:tr>
      <w:tr>
        <w:trPr>
          <w:cantSplit/>
        </w:trPr>
        <w:tc>
          <w:tcPr>
            <w:tcW w:type="dxa" w:w="20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Compute</w:t>
            </w:r>
          </w:p>
        </w:tc>
        <w:tc>
          <w:tcPr>
            <w:tcW w:type="dxa" w:w="30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Google Colab (T4) / Kaggle (P100)</w:t>
            </w:r>
          </w:p>
        </w:tc>
        <w:tc>
          <w:tcPr>
            <w:tcW w:type="dxa" w:w="40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GPU training with checkpointing</w:t>
            </w:r>
          </w:p>
        </w:tc>
      </w:tr>
      <w:tr>
        <w:trPr>
          <w:cantSplit/>
        </w:trPr>
        <w:tc>
          <w:tcPr>
            <w:tcW w:type="dxa" w:w="2000"/>
            <w:tcMar>
              <w:top w:type="dxa" w:w="80"/>
              <w:left w:type="dxa" w:w="110"/>
              <w:bottom w:type="dxa" w:w="80"/>
              <w:right w:type="dxa" w:w="110"/>
            </w:tcMar>
          </w:tcPr>
          <w:p>
            <w:pPr>
              <w:spacing w:after="0" w:line="240"/>
              <w:jc w:val="left"/>
            </w:pPr>
            <w:r>
              <w:rPr>
                <w:b/>
                <w:bCs/>
                <w:i w:val="false"/>
                <w:iCs w:val="false"/>
                <w:sz w:val="19"/>
                <w:szCs w:val="19"/>
              </w:rPr>
              <w:t xml:space="preserve">Version control</w:t>
            </w:r>
          </w:p>
        </w:tc>
        <w:tc>
          <w:tcPr>
            <w:tcW w:type="dxa" w:w="3000"/>
            <w:tcMar>
              <w:top w:type="dxa" w:w="80"/>
              <w:left w:type="dxa" w:w="110"/>
              <w:bottom w:type="dxa" w:w="80"/>
              <w:right w:type="dxa" w:w="110"/>
            </w:tcMar>
          </w:tcPr>
          <w:p>
            <w:pPr>
              <w:spacing w:after="0" w:line="240"/>
              <w:jc w:val="left"/>
            </w:pPr>
            <w:r>
              <w:rPr>
                <w:b w:val="false"/>
                <w:bCs w:val="false"/>
                <w:i w:val="false"/>
                <w:iCs w:val="false"/>
                <w:sz w:val="19"/>
                <w:szCs w:val="19"/>
              </w:rPr>
              <w:t xml:space="preserve">Git + GitHub</w:t>
            </w:r>
          </w:p>
        </w:tc>
        <w:tc>
          <w:tcPr>
            <w:tcW w:type="dxa" w:w="4000"/>
            <w:tcMar>
              <w:top w:type="dxa" w:w="80"/>
              <w:left w:type="dxa" w:w="110"/>
              <w:bottom w:type="dxa" w:w="80"/>
              <w:right w:type="dxa" w:w="110"/>
            </w:tcMar>
          </w:tcPr>
          <w:p>
            <w:pPr>
              <w:spacing w:after="0" w:line="240"/>
              <w:jc w:val="left"/>
            </w:pPr>
            <w:r>
              <w:rPr>
                <w:b w:val="false"/>
                <w:bCs w:val="false"/>
                <w:i w:val="false"/>
                <w:iCs w:val="false"/>
                <w:sz w:val="19"/>
                <w:szCs w:val="19"/>
              </w:rPr>
              <w:t xml:space="preserve">Code, configs, seeds, and result tables</w:t>
            </w:r>
          </w:p>
        </w:tc>
      </w:tr>
    </w:tbl>
    <w:p>
      <w:pPr>
        <w:spacing w:after="200" w:before="60"/>
      </w:pPr>
      <w:r>
        <w:rPr>
          <w:i/>
          <w:iCs/>
          <w:color w:val="595959"/>
          <w:sz w:val="17"/>
          <w:szCs w:val="17"/>
        </w:rPr>
        <w:t xml:space="preserve">Table 10.1 — Software and hardware environment.</w:t>
      </w:r>
    </w:p>
    <w:p>
      <w:pPr>
        <w:spacing w:after="120" w:line="276"/>
        <w:jc w:val="both"/>
      </w:pPr>
      <w:r>
        <w:rPr>
          <w:b w:val="false"/>
          <w:bCs w:val="false"/>
          <w:i w:val="false"/>
          <w:iCs w:val="false"/>
          <w:sz w:val="21"/>
          <w:szCs w:val="21"/>
        </w:rPr>
        <w:t xml:space="preserve">Using Braindecode's reference implementations rather than writing every baseline from scratch is a deliberate risk-reduction choice: a reproduction failure caused by our own reimplementation bug would be indistinguishable from a genuine result, and we do not have time in Phase 3 to debug four architectures.</w:t>
      </w:r>
    </w:p>
    <w:p>
      <w:pPr>
        <w:pStyle w:val="Heading2"/>
        <w:spacing w:after="120" w:before="240"/>
      </w:pPr>
      <w:r>
        <w:rPr>
          <w:b/>
          <w:bCs/>
          <w:color w:val="2E74B5"/>
          <w:sz w:val="24"/>
          <w:szCs w:val="24"/>
        </w:rPr>
        <w:t xml:space="preserve">10.1 Reproducibility measures</w:t>
      </w:r>
    </w:p>
    <w:p>
      <w:pPr>
        <w:pStyle w:val="ListParagraph"/>
        <w:numPr>
          <w:ilvl w:val="0"/>
          <w:numId w:val="2"/>
        </w:numPr>
        <w:spacing w:after="70" w:line="276"/>
      </w:pPr>
      <w:r>
        <w:rPr>
          <w:sz w:val="21"/>
          <w:szCs w:val="21"/>
        </w:rPr>
        <w:t xml:space="preserve">Every run is seeded; seeds are recorded alongside results.</w:t>
      </w:r>
    </w:p>
    <w:p>
      <w:pPr>
        <w:pStyle w:val="ListParagraph"/>
        <w:numPr>
          <w:ilvl w:val="0"/>
          <w:numId w:val="2"/>
        </w:numPr>
        <w:spacing w:after="70" w:line="276"/>
      </w:pPr>
      <w:r>
        <w:rPr>
          <w:sz w:val="21"/>
          <w:szCs w:val="21"/>
        </w:rPr>
        <w:t xml:space="preserve">Preprocessed tensors are cached to disk so that preprocessing is performed once, not once per model.</w:t>
      </w:r>
    </w:p>
    <w:p>
      <w:pPr>
        <w:pStyle w:val="ListParagraph"/>
        <w:numPr>
          <w:ilvl w:val="0"/>
          <w:numId w:val="2"/>
        </w:numPr>
        <w:spacing w:after="70" w:line="276"/>
      </w:pPr>
      <w:r>
        <w:rPr>
          <w:sz w:val="21"/>
          <w:szCs w:val="21"/>
        </w:rPr>
        <w:t xml:space="preserve">Every experiment is defined by a YAML config committed to the repository, so any reported number can be regenerated by pointing the trainer at its config.</w:t>
      </w:r>
    </w:p>
    <w:p>
      <w:pPr>
        <w:pStyle w:val="ListParagraph"/>
        <w:numPr>
          <w:ilvl w:val="0"/>
          <w:numId w:val="2"/>
        </w:numPr>
        <w:spacing w:after="70" w:line="276"/>
      </w:pPr>
      <w:r>
        <w:rPr>
          <w:sz w:val="21"/>
          <w:szCs w:val="21"/>
        </w:rPr>
        <w:t xml:space="preserve">Checkpoints are written every epoch to persistent storage, so a session timeout costs one epoch, not one fold.</w:t>
      </w:r>
    </w:p>
    <w:p>
      <w:pPr>
        <w:pStyle w:val="Heading1"/>
        <w:spacing w:after="160" w:before="360"/>
      </w:pPr>
      <w:r>
        <w:rPr>
          <w:b/>
          <w:bCs/>
          <w:color w:val="1F3864"/>
          <w:sz w:val="30"/>
          <w:szCs w:val="30"/>
        </w:rPr>
        <w:t xml:space="preserve">11. Implementation Plan and Milestones</w:t>
      </w:r>
    </w:p>
    <w:p>
      <w:pPr>
        <w:spacing w:after="120" w:line="276"/>
        <w:jc w:val="both"/>
      </w:pPr>
      <w:r>
        <w:rPr>
          <w:b w:val="false"/>
          <w:bCs w:val="false"/>
          <w:i w:val="false"/>
          <w:iCs w:val="false"/>
          <w:sz w:val="21"/>
          <w:szCs w:val="21"/>
        </w:rPr>
        <w:t xml:space="preserve">Phase 3 runs from 16 September to 3 October 2026 — 18 days. The plan is front-loaded: the pipeline and baselines must be working before the proposed model is written, because a proposed model evaluated on a broken pipeline is worthless.</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900"/>
        <w:gridCol w:w="3900"/>
      </w:tblGrid>
      <w:tr>
        <w:trPr>
          <w:cantSplit/>
          <w:tblHeader/>
        </w:trPr>
        <w:tc>
          <w:tcPr>
            <w:tcW w:type="dxa" w:w="8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Days</w:t>
            </w:r>
          </w:p>
        </w:tc>
        <w:tc>
          <w:tcPr>
            <w:tcW w:type="dxa" w:w="14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Dates</w:t>
            </w:r>
          </w:p>
        </w:tc>
        <w:tc>
          <w:tcPr>
            <w:tcW w:type="dxa" w:w="29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Milestone</w:t>
            </w:r>
          </w:p>
        </w:tc>
        <w:tc>
          <w:tcPr>
            <w:tcW w:type="dxa" w:w="39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Deliverable / exit criterion</w:t>
            </w:r>
          </w:p>
        </w:tc>
      </w:tr>
      <w:tr>
        <w:trPr>
          <w:cantSplit/>
        </w:trPr>
        <w:tc>
          <w:tcPr>
            <w:tcW w:type="dxa" w:w="800"/>
            <w:tcMar>
              <w:top w:type="dxa" w:w="80"/>
              <w:left w:type="dxa" w:w="110"/>
              <w:bottom w:type="dxa" w:w="80"/>
              <w:right w:type="dxa" w:w="110"/>
            </w:tcMar>
          </w:tcPr>
          <w:p>
            <w:pPr>
              <w:spacing w:after="0" w:line="240"/>
              <w:jc w:val="left"/>
            </w:pPr>
            <w:r>
              <w:rPr>
                <w:b/>
                <w:bCs/>
                <w:i w:val="false"/>
                <w:iCs w:val="false"/>
                <w:sz w:val="19"/>
                <w:szCs w:val="19"/>
              </w:rPr>
              <w:t xml:space="preserve">1–2</w:t>
            </w:r>
          </w:p>
        </w:tc>
        <w:tc>
          <w:tcPr>
            <w:tcW w:type="dxa" w:w="1400"/>
            <w:tcMar>
              <w:top w:type="dxa" w:w="80"/>
              <w:left w:type="dxa" w:w="110"/>
              <w:bottom w:type="dxa" w:w="80"/>
              <w:right w:type="dxa" w:w="110"/>
            </w:tcMar>
          </w:tcPr>
          <w:p>
            <w:pPr>
              <w:spacing w:after="0" w:line="240"/>
              <w:jc w:val="left"/>
            </w:pPr>
            <w:r>
              <w:rPr>
                <w:b w:val="false"/>
                <w:bCs w:val="false"/>
                <w:i w:val="false"/>
                <w:iCs w:val="false"/>
                <w:sz w:val="19"/>
                <w:szCs w:val="19"/>
              </w:rPr>
              <w:t xml:space="preserve">16–17 Sep</w:t>
            </w:r>
          </w:p>
        </w:tc>
        <w:tc>
          <w:tcPr>
            <w:tcW w:type="dxa" w:w="2900"/>
            <w:tcMar>
              <w:top w:type="dxa" w:w="80"/>
              <w:left w:type="dxa" w:w="110"/>
              <w:bottom w:type="dxa" w:w="80"/>
              <w:right w:type="dxa" w:w="110"/>
            </w:tcMar>
          </w:tcPr>
          <w:p>
            <w:pPr>
              <w:spacing w:after="0" w:line="240"/>
              <w:jc w:val="left"/>
            </w:pPr>
            <w:r>
              <w:rPr>
                <w:b w:val="false"/>
                <w:bCs w:val="false"/>
                <w:i w:val="false"/>
                <w:iCs w:val="false"/>
                <w:sz w:val="19"/>
                <w:szCs w:val="19"/>
              </w:rPr>
              <w:t xml:space="preserve">Environment and data</w:t>
            </w:r>
          </w:p>
        </w:tc>
        <w:tc>
          <w:tcPr>
            <w:tcW w:type="dxa" w:w="3900"/>
            <w:tcMar>
              <w:top w:type="dxa" w:w="80"/>
              <w:left w:type="dxa" w:w="110"/>
              <w:bottom w:type="dxa" w:w="80"/>
              <w:right w:type="dxa" w:w="110"/>
            </w:tcMar>
          </w:tcPr>
          <w:p>
            <w:pPr>
              <w:spacing w:after="0" w:line="240"/>
              <w:jc w:val="left"/>
            </w:pPr>
            <w:r>
              <w:rPr>
                <w:b w:val="false"/>
                <w:bCs w:val="false"/>
                <w:i w:val="false"/>
                <w:iCs w:val="false"/>
                <w:sz w:val="19"/>
                <w:szCs w:val="19"/>
              </w:rPr>
              <w:t xml:space="preserve">All three datasets downloading; EDA plots produced</w:t>
            </w:r>
          </w:p>
        </w:tc>
      </w:tr>
      <w:tr>
        <w:trPr>
          <w:cantSplit/>
        </w:trPr>
        <w:tc>
          <w:tcPr>
            <w:tcW w:type="dxa" w:w="8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3–4</w:t>
            </w:r>
          </w:p>
        </w:tc>
        <w:tc>
          <w:tcPr>
            <w:tcW w:type="dxa" w:w="1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18–19 Sep</w:t>
            </w:r>
          </w:p>
        </w:tc>
        <w:tc>
          <w:tcPr>
            <w:tcW w:type="dxa" w:w="29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Preprocessing + Euclidean Alignment</w:t>
            </w:r>
          </w:p>
        </w:tc>
        <w:tc>
          <w:tcPr>
            <w:tcW w:type="dxa" w:w="39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Cached tensors; alignment verified (covariance ≈ identity)</w:t>
            </w:r>
          </w:p>
        </w:tc>
      </w:tr>
      <w:tr>
        <w:trPr>
          <w:cantSplit/>
        </w:trPr>
        <w:tc>
          <w:tcPr>
            <w:tcW w:type="dxa" w:w="800"/>
            <w:tcMar>
              <w:top w:type="dxa" w:w="80"/>
              <w:left w:type="dxa" w:w="110"/>
              <w:bottom w:type="dxa" w:w="80"/>
              <w:right w:type="dxa" w:w="110"/>
            </w:tcMar>
          </w:tcPr>
          <w:p>
            <w:pPr>
              <w:spacing w:after="0" w:line="240"/>
              <w:jc w:val="left"/>
            </w:pPr>
            <w:r>
              <w:rPr>
                <w:b/>
                <w:bCs/>
                <w:i w:val="false"/>
                <w:iCs w:val="false"/>
                <w:sz w:val="19"/>
                <w:szCs w:val="19"/>
              </w:rPr>
              <w:t xml:space="preserve">5–7</w:t>
            </w:r>
          </w:p>
        </w:tc>
        <w:tc>
          <w:tcPr>
            <w:tcW w:type="dxa" w:w="1400"/>
            <w:tcMar>
              <w:top w:type="dxa" w:w="80"/>
              <w:left w:type="dxa" w:w="110"/>
              <w:bottom w:type="dxa" w:w="80"/>
              <w:right w:type="dxa" w:w="110"/>
            </w:tcMar>
          </w:tcPr>
          <w:p>
            <w:pPr>
              <w:spacing w:after="0" w:line="240"/>
              <w:jc w:val="left"/>
            </w:pPr>
            <w:r>
              <w:rPr>
                <w:b w:val="false"/>
                <w:bCs w:val="false"/>
                <w:i w:val="false"/>
                <w:iCs w:val="false"/>
                <w:sz w:val="19"/>
                <w:szCs w:val="19"/>
              </w:rPr>
              <w:t xml:space="preserve">20–22 Sep</w:t>
            </w:r>
          </w:p>
        </w:tc>
        <w:tc>
          <w:tcPr>
            <w:tcW w:type="dxa" w:w="2900"/>
            <w:tcMar>
              <w:top w:type="dxa" w:w="80"/>
              <w:left w:type="dxa" w:w="110"/>
              <w:bottom w:type="dxa" w:w="80"/>
              <w:right w:type="dxa" w:w="110"/>
            </w:tcMar>
          </w:tcPr>
          <w:p>
            <w:pPr>
              <w:spacing w:after="0" w:line="240"/>
              <w:jc w:val="left"/>
            </w:pPr>
            <w:r>
              <w:rPr>
                <w:b w:val="false"/>
                <w:bCs w:val="false"/>
                <w:i w:val="false"/>
                <w:iCs w:val="false"/>
                <w:sz w:val="19"/>
                <w:szCs w:val="19"/>
              </w:rPr>
              <w:t xml:space="preserve">Baselines, within-subject</w:t>
            </w:r>
          </w:p>
        </w:tc>
        <w:tc>
          <w:tcPr>
            <w:tcW w:type="dxa" w:w="3900"/>
            <w:tcMar>
              <w:top w:type="dxa" w:w="80"/>
              <w:left w:type="dxa" w:w="110"/>
              <w:bottom w:type="dxa" w:w="80"/>
              <w:right w:type="dxa" w:w="110"/>
            </w:tcMar>
          </w:tcPr>
          <w:p>
            <w:pPr>
              <w:spacing w:after="0" w:line="240"/>
              <w:jc w:val="left"/>
            </w:pPr>
            <w:r>
              <w:rPr>
                <w:b w:val="false"/>
                <w:bCs w:val="false"/>
                <w:i w:val="false"/>
                <w:iCs w:val="false"/>
                <w:sz w:val="19"/>
                <w:szCs w:val="19"/>
              </w:rPr>
              <w:t xml:space="preserve">EEGNet and Conformer reproduce published accuracy within ±3 pts</w:t>
            </w:r>
          </w:p>
        </w:tc>
      </w:tr>
      <w:tr>
        <w:trPr>
          <w:cantSplit/>
        </w:trPr>
        <w:tc>
          <w:tcPr>
            <w:tcW w:type="dxa" w:w="8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8–10</w:t>
            </w:r>
          </w:p>
        </w:tc>
        <w:tc>
          <w:tcPr>
            <w:tcW w:type="dxa" w:w="1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23–25 Sep</w:t>
            </w:r>
          </w:p>
        </w:tc>
        <w:tc>
          <w:tcPr>
            <w:tcW w:type="dxa" w:w="29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LOSO harness + all baselines</w:t>
            </w:r>
          </w:p>
        </w:tc>
        <w:tc>
          <w:tcPr>
            <w:tcW w:type="dxa" w:w="39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9-fold LOSO results for all five baselines on IV-2a</w:t>
            </w:r>
          </w:p>
        </w:tc>
      </w:tr>
      <w:tr>
        <w:trPr>
          <w:cantSplit/>
        </w:trPr>
        <w:tc>
          <w:tcPr>
            <w:tcW w:type="dxa" w:w="800"/>
            <w:tcMar>
              <w:top w:type="dxa" w:w="80"/>
              <w:left w:type="dxa" w:w="110"/>
              <w:bottom w:type="dxa" w:w="80"/>
              <w:right w:type="dxa" w:w="110"/>
            </w:tcMar>
          </w:tcPr>
          <w:p>
            <w:pPr>
              <w:spacing w:after="0" w:line="240"/>
              <w:jc w:val="left"/>
            </w:pPr>
            <w:r>
              <w:rPr>
                <w:b/>
                <w:bCs/>
                <w:i w:val="false"/>
                <w:iCs w:val="false"/>
                <w:sz w:val="19"/>
                <w:szCs w:val="19"/>
              </w:rPr>
              <w:t xml:space="preserve">11–13</w:t>
            </w:r>
          </w:p>
        </w:tc>
        <w:tc>
          <w:tcPr>
            <w:tcW w:type="dxa" w:w="1400"/>
            <w:tcMar>
              <w:top w:type="dxa" w:w="80"/>
              <w:left w:type="dxa" w:w="110"/>
              <w:bottom w:type="dxa" w:w="80"/>
              <w:right w:type="dxa" w:w="110"/>
            </w:tcMar>
          </w:tcPr>
          <w:p>
            <w:pPr>
              <w:spacing w:after="0" w:line="240"/>
              <w:jc w:val="left"/>
            </w:pPr>
            <w:r>
              <w:rPr>
                <w:b w:val="false"/>
                <w:bCs w:val="false"/>
                <w:i w:val="false"/>
                <w:iCs w:val="false"/>
                <w:sz w:val="19"/>
                <w:szCs w:val="19"/>
              </w:rPr>
              <w:t xml:space="preserve">26–28 Sep</w:t>
            </w:r>
          </w:p>
        </w:tc>
        <w:tc>
          <w:tcPr>
            <w:tcW w:type="dxa" w:w="2900"/>
            <w:tcMar>
              <w:top w:type="dxa" w:w="80"/>
              <w:left w:type="dxa" w:w="110"/>
              <w:bottom w:type="dxa" w:w="80"/>
              <w:right w:type="dxa" w:w="110"/>
            </w:tcMar>
          </w:tcPr>
          <w:p>
            <w:pPr>
              <w:spacing w:after="0" w:line="240"/>
              <w:jc w:val="left"/>
            </w:pPr>
            <w:r>
              <w:rPr>
                <w:b w:val="false"/>
                <w:bCs w:val="false"/>
                <w:i w:val="false"/>
                <w:iCs w:val="false"/>
                <w:sz w:val="19"/>
                <w:szCs w:val="19"/>
              </w:rPr>
              <w:t xml:space="preserve">SAND-Net implementation</w:t>
            </w:r>
          </w:p>
        </w:tc>
        <w:tc>
          <w:tcPr>
            <w:tcW w:type="dxa" w:w="3900"/>
            <w:tcMar>
              <w:top w:type="dxa" w:w="80"/>
              <w:left w:type="dxa" w:w="110"/>
              <w:bottom w:type="dxa" w:w="80"/>
              <w:right w:type="dxa" w:w="110"/>
            </w:tcMar>
          </w:tcPr>
          <w:p>
            <w:pPr>
              <w:spacing w:after="0" w:line="240"/>
              <w:jc w:val="left"/>
            </w:pPr>
            <w:r>
              <w:rPr>
                <w:b w:val="false"/>
                <w:bCs w:val="false"/>
                <w:i w:val="false"/>
                <w:iCs w:val="false"/>
                <w:sz w:val="19"/>
                <w:szCs w:val="19"/>
              </w:rPr>
              <w:t xml:space="preserve">Model trains end to end; parameter count under 50k confirmed</w:t>
            </w:r>
          </w:p>
        </w:tc>
      </w:tr>
      <w:tr>
        <w:trPr>
          <w:cantSplit/>
        </w:trPr>
        <w:tc>
          <w:tcPr>
            <w:tcW w:type="dxa" w:w="8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14–15</w:t>
            </w:r>
          </w:p>
        </w:tc>
        <w:tc>
          <w:tcPr>
            <w:tcW w:type="dxa" w:w="1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29–30 Sep</w:t>
            </w:r>
          </w:p>
        </w:tc>
        <w:tc>
          <w:tcPr>
            <w:tcW w:type="dxa" w:w="29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Ablation study</w:t>
            </w:r>
          </w:p>
        </w:tc>
        <w:tc>
          <w:tcPr>
            <w:tcW w:type="dxa" w:w="39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All 8 configurations × 9 folds complete</w:t>
            </w:r>
          </w:p>
        </w:tc>
      </w:tr>
      <w:tr>
        <w:trPr>
          <w:cantSplit/>
        </w:trPr>
        <w:tc>
          <w:tcPr>
            <w:tcW w:type="dxa" w:w="800"/>
            <w:tcMar>
              <w:top w:type="dxa" w:w="80"/>
              <w:left w:type="dxa" w:w="110"/>
              <w:bottom w:type="dxa" w:w="80"/>
              <w:right w:type="dxa" w:w="110"/>
            </w:tcMar>
          </w:tcPr>
          <w:p>
            <w:pPr>
              <w:spacing w:after="0" w:line="240"/>
              <w:jc w:val="left"/>
            </w:pPr>
            <w:r>
              <w:rPr>
                <w:b/>
                <w:bCs/>
                <w:i w:val="false"/>
                <w:iCs w:val="false"/>
                <w:sz w:val="19"/>
                <w:szCs w:val="19"/>
              </w:rPr>
              <w:t xml:space="preserve">16–17</w:t>
            </w:r>
          </w:p>
        </w:tc>
        <w:tc>
          <w:tcPr>
            <w:tcW w:type="dxa" w:w="1400"/>
            <w:tcMar>
              <w:top w:type="dxa" w:w="80"/>
              <w:left w:type="dxa" w:w="110"/>
              <w:bottom w:type="dxa" w:w="80"/>
              <w:right w:type="dxa" w:w="110"/>
            </w:tcMar>
          </w:tcPr>
          <w:p>
            <w:pPr>
              <w:spacing w:after="0" w:line="240"/>
              <w:jc w:val="left"/>
            </w:pPr>
            <w:r>
              <w:rPr>
                <w:b w:val="false"/>
                <w:bCs w:val="false"/>
                <w:i w:val="false"/>
                <w:iCs w:val="false"/>
                <w:sz w:val="19"/>
                <w:szCs w:val="19"/>
              </w:rPr>
              <w:t xml:space="preserve">1–2 Oct</w:t>
            </w:r>
          </w:p>
        </w:tc>
        <w:tc>
          <w:tcPr>
            <w:tcW w:type="dxa" w:w="2900"/>
            <w:tcMar>
              <w:top w:type="dxa" w:w="80"/>
              <w:left w:type="dxa" w:w="110"/>
              <w:bottom w:type="dxa" w:w="80"/>
              <w:right w:type="dxa" w:w="110"/>
            </w:tcMar>
          </w:tcPr>
          <w:p>
            <w:pPr>
              <w:spacing w:after="0" w:line="240"/>
              <w:jc w:val="left"/>
            </w:pPr>
            <w:r>
              <w:rPr>
                <w:b w:val="false"/>
                <w:bCs w:val="false"/>
                <w:i w:val="false"/>
                <w:iCs w:val="false"/>
                <w:sz w:val="19"/>
                <w:szCs w:val="19"/>
              </w:rPr>
              <w:t xml:space="preserve">IV-2b, calibration curve, interpretability</w:t>
            </w:r>
          </w:p>
        </w:tc>
        <w:tc>
          <w:tcPr>
            <w:tcW w:type="dxa" w:w="3900"/>
            <w:tcMar>
              <w:top w:type="dxa" w:w="80"/>
              <w:left w:type="dxa" w:w="110"/>
              <w:bottom w:type="dxa" w:w="80"/>
              <w:right w:type="dxa" w:w="110"/>
            </w:tcMar>
          </w:tcPr>
          <w:p>
            <w:pPr>
              <w:spacing w:after="0" w:line="240"/>
              <w:jc w:val="left"/>
            </w:pPr>
            <w:r>
              <w:rPr>
                <w:b w:val="false"/>
                <w:bCs w:val="false"/>
                <w:i w:val="false"/>
                <w:iCs w:val="false"/>
                <w:sz w:val="19"/>
                <w:szCs w:val="19"/>
              </w:rPr>
              <w:t xml:space="preserve">Cross-dataset results; topographies; calibration figure</w:t>
            </w:r>
          </w:p>
        </w:tc>
      </w:tr>
      <w:tr>
        <w:trPr>
          <w:cantSplit/>
        </w:trPr>
        <w:tc>
          <w:tcPr>
            <w:tcW w:type="dxa" w:w="8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18</w:t>
            </w:r>
          </w:p>
        </w:tc>
        <w:tc>
          <w:tcPr>
            <w:tcW w:type="dxa" w:w="14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3 Oct</w:t>
            </w:r>
          </w:p>
        </w:tc>
        <w:tc>
          <w:tcPr>
            <w:tcW w:type="dxa" w:w="29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Consolidation</w:t>
            </w:r>
          </w:p>
        </w:tc>
        <w:tc>
          <w:tcPr>
            <w:tcW w:type="dxa" w:w="39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Final tables, figures and significance tests for the 2nd Review</w:t>
            </w:r>
          </w:p>
        </w:tc>
      </w:tr>
    </w:tbl>
    <w:p>
      <w:pPr>
        <w:spacing w:after="200" w:before="60"/>
      </w:pPr>
      <w:r>
        <w:rPr>
          <w:i/>
          <w:iCs/>
          <w:color w:val="595959"/>
          <w:sz w:val="17"/>
          <w:szCs w:val="17"/>
        </w:rPr>
        <w:t xml:space="preserve">Table 11.1 — Phase 3 schedule, aligned to the 2nd Review on 3 October 2026.</w:t>
      </w:r>
    </w:p>
    <w:p>
      <w:pPr>
        <w:pStyle w:val="Heading2"/>
        <w:spacing w:after="120" w:before="240"/>
      </w:pPr>
      <w:r>
        <w:rPr>
          <w:b/>
          <w:bCs/>
          <w:color w:val="2E74B5"/>
          <w:sz w:val="24"/>
          <w:szCs w:val="24"/>
        </w:rPr>
        <w:t xml:space="preserve">11.1 Compute budget</w:t>
      </w:r>
    </w:p>
    <w:p>
      <w:pPr>
        <w:spacing w:after="120" w:line="276"/>
        <w:jc w:val="both"/>
      </w:pPr>
      <w:r>
        <w:rPr>
          <w:b w:val="false"/>
          <w:bCs w:val="false"/>
          <w:i w:val="false"/>
          <w:iCs w:val="false"/>
          <w:sz w:val="21"/>
          <w:szCs w:val="21"/>
        </w:rPr>
        <w:t xml:space="preserve">The schedule is only credible if the experiments fit the available GPU time. Estimated per-fold training times on a T4-class GPU:</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100"/>
        <w:gridCol w:w="1500"/>
      </w:tblGrid>
      <w:tr>
        <w:trPr>
          <w:cantSplit/>
          <w:tblHeader/>
        </w:trPr>
        <w:tc>
          <w:tcPr>
            <w:tcW w:type="dxa" w:w="30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Experiment set</w:t>
            </w:r>
          </w:p>
        </w:tc>
        <w:tc>
          <w:tcPr>
            <w:tcW w:type="dxa" w:w="24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Runs</w:t>
            </w:r>
          </w:p>
        </w:tc>
        <w:tc>
          <w:tcPr>
            <w:tcW w:type="dxa" w:w="21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Est. minutes per run</w:t>
            </w:r>
          </w:p>
        </w:tc>
        <w:tc>
          <w:tcPr>
            <w:tcW w:type="dxa" w:w="1500"/>
            <w:shd w:fill="1F3864" w:color="auto" w:val="clear"/>
            <w:tcMar>
              <w:top w:type="dxa" w:w="80"/>
              <w:left w:type="dxa" w:w="110"/>
              <w:bottom w:type="dxa" w:w="80"/>
              <w:right w:type="dxa" w:w="110"/>
            </w:tcMar>
          </w:tcPr>
          <w:p>
            <w:pPr>
              <w:spacing w:after="0" w:line="240"/>
              <w:jc w:val="center"/>
            </w:pPr>
            <w:r>
              <w:rPr>
                <w:b/>
                <w:bCs/>
                <w:i w:val="false"/>
                <w:iCs w:val="false"/>
                <w:color w:val="FFFFFF"/>
                <w:sz w:val="19"/>
                <w:szCs w:val="19"/>
              </w:rPr>
              <w:t xml:space="preserve">Est. total</w:t>
            </w:r>
          </w:p>
        </w:tc>
      </w:tr>
      <w:tr>
        <w:trPr>
          <w:cantSplit/>
        </w:trPr>
        <w:tc>
          <w:tcPr>
            <w:tcW w:type="dxa" w:w="3000"/>
            <w:tcMar>
              <w:top w:type="dxa" w:w="80"/>
              <w:left w:type="dxa" w:w="110"/>
              <w:bottom w:type="dxa" w:w="80"/>
              <w:right w:type="dxa" w:w="110"/>
            </w:tcMar>
          </w:tcPr>
          <w:p>
            <w:pPr>
              <w:spacing w:after="0" w:line="240"/>
              <w:jc w:val="left"/>
            </w:pPr>
            <w:r>
              <w:rPr>
                <w:b/>
                <w:bCs/>
                <w:i w:val="false"/>
                <w:iCs w:val="false"/>
                <w:sz w:val="19"/>
                <w:szCs w:val="19"/>
              </w:rPr>
              <w:t xml:space="preserve">Baselines, LOSO, IV-2a</w:t>
            </w:r>
          </w:p>
        </w:tc>
        <w:tc>
          <w:tcPr>
            <w:tcW w:type="dxa" w:w="2400"/>
            <w:tcMar>
              <w:top w:type="dxa" w:w="80"/>
              <w:left w:type="dxa" w:w="110"/>
              <w:bottom w:type="dxa" w:w="80"/>
              <w:right w:type="dxa" w:w="110"/>
            </w:tcMar>
          </w:tcPr>
          <w:p>
            <w:pPr>
              <w:spacing w:after="0" w:line="240"/>
              <w:jc w:val="center"/>
            </w:pPr>
            <w:r>
              <w:rPr>
                <w:b w:val="false"/>
                <w:bCs w:val="false"/>
                <w:i w:val="false"/>
                <w:iCs w:val="false"/>
                <w:sz w:val="19"/>
                <w:szCs w:val="19"/>
              </w:rPr>
              <w:t xml:space="preserve">5 models × 9 folds = 45</w:t>
            </w:r>
          </w:p>
        </w:tc>
        <w:tc>
          <w:tcPr>
            <w:tcW w:type="dxa" w:w="2100"/>
            <w:tcMar>
              <w:top w:type="dxa" w:w="80"/>
              <w:left w:type="dxa" w:w="110"/>
              <w:bottom w:type="dxa" w:w="80"/>
              <w:right w:type="dxa" w:w="110"/>
            </w:tcMar>
          </w:tcPr>
          <w:p>
            <w:pPr>
              <w:spacing w:after="0" w:line="240"/>
              <w:jc w:val="center"/>
            </w:pPr>
            <w:r>
              <w:rPr>
                <w:b w:val="false"/>
                <w:bCs w:val="false"/>
                <w:i w:val="false"/>
                <w:iCs w:val="false"/>
                <w:sz w:val="19"/>
                <w:szCs w:val="19"/>
              </w:rPr>
              <w:t xml:space="preserve">3 – 15</w:t>
            </w:r>
          </w:p>
        </w:tc>
        <w:tc>
          <w:tcPr>
            <w:tcW w:type="dxa" w:w="1500"/>
            <w:tcMar>
              <w:top w:type="dxa" w:w="80"/>
              <w:left w:type="dxa" w:w="110"/>
              <w:bottom w:type="dxa" w:w="80"/>
              <w:right w:type="dxa" w:w="110"/>
            </w:tcMar>
          </w:tcPr>
          <w:p>
            <w:pPr>
              <w:spacing w:after="0" w:line="240"/>
              <w:jc w:val="center"/>
            </w:pPr>
            <w:r>
              <w:rPr>
                <w:b w:val="false"/>
                <w:bCs w:val="false"/>
                <w:i w:val="false"/>
                <w:iCs w:val="false"/>
                <w:sz w:val="19"/>
                <w:szCs w:val="19"/>
              </w:rPr>
              <w:t xml:space="preserve">≈ 6 h</w:t>
            </w:r>
          </w:p>
        </w:tc>
      </w:tr>
      <w:tr>
        <w:trPr>
          <w:cantSplit/>
        </w:trPr>
        <w:tc>
          <w:tcPr>
            <w:tcW w:type="dxa" w:w="30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SAND-Net, LOSO, IV-2a</w:t>
            </w:r>
          </w:p>
        </w:tc>
        <w:tc>
          <w:tcPr>
            <w:tcW w:type="dxa" w:w="2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9</w:t>
            </w:r>
          </w:p>
        </w:tc>
        <w:tc>
          <w:tcPr>
            <w:tcW w:type="dxa" w:w="21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8</w:t>
            </w:r>
          </w:p>
        </w:tc>
        <w:tc>
          <w:tcPr>
            <w:tcW w:type="dxa" w:w="15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 1.2 h</w:t>
            </w:r>
          </w:p>
        </w:tc>
      </w:tr>
      <w:tr>
        <w:trPr>
          <w:cantSplit/>
        </w:trPr>
        <w:tc>
          <w:tcPr>
            <w:tcW w:type="dxa" w:w="3000"/>
            <w:tcMar>
              <w:top w:type="dxa" w:w="80"/>
              <w:left w:type="dxa" w:w="110"/>
              <w:bottom w:type="dxa" w:w="80"/>
              <w:right w:type="dxa" w:w="110"/>
            </w:tcMar>
          </w:tcPr>
          <w:p>
            <w:pPr>
              <w:spacing w:after="0" w:line="240"/>
              <w:jc w:val="left"/>
            </w:pPr>
            <w:r>
              <w:rPr>
                <w:b/>
                <w:bCs/>
                <w:i w:val="false"/>
                <w:iCs w:val="false"/>
                <w:sz w:val="19"/>
                <w:szCs w:val="19"/>
              </w:rPr>
              <w:t xml:space="preserve">Ablation, 8 configs</w:t>
            </w:r>
          </w:p>
        </w:tc>
        <w:tc>
          <w:tcPr>
            <w:tcW w:type="dxa" w:w="2400"/>
            <w:tcMar>
              <w:top w:type="dxa" w:w="80"/>
              <w:left w:type="dxa" w:w="110"/>
              <w:bottom w:type="dxa" w:w="80"/>
              <w:right w:type="dxa" w:w="110"/>
            </w:tcMar>
          </w:tcPr>
          <w:p>
            <w:pPr>
              <w:spacing w:after="0" w:line="240"/>
              <w:jc w:val="center"/>
            </w:pPr>
            <w:r>
              <w:rPr>
                <w:b w:val="false"/>
                <w:bCs w:val="false"/>
                <w:i w:val="false"/>
                <w:iCs w:val="false"/>
                <w:sz w:val="19"/>
                <w:szCs w:val="19"/>
              </w:rPr>
              <w:t xml:space="preserve">8 × 9 = 72</w:t>
            </w:r>
          </w:p>
        </w:tc>
        <w:tc>
          <w:tcPr>
            <w:tcW w:type="dxa" w:w="2100"/>
            <w:tcMar>
              <w:top w:type="dxa" w:w="80"/>
              <w:left w:type="dxa" w:w="110"/>
              <w:bottom w:type="dxa" w:w="80"/>
              <w:right w:type="dxa" w:w="110"/>
            </w:tcMar>
          </w:tcPr>
          <w:p>
            <w:pPr>
              <w:spacing w:after="0" w:line="240"/>
              <w:jc w:val="center"/>
            </w:pPr>
            <w:r>
              <w:rPr>
                <w:b w:val="false"/>
                <w:bCs w:val="false"/>
                <w:i w:val="false"/>
                <w:iCs w:val="false"/>
                <w:sz w:val="19"/>
                <w:szCs w:val="19"/>
              </w:rPr>
              <w:t xml:space="preserve">8</w:t>
            </w:r>
          </w:p>
        </w:tc>
        <w:tc>
          <w:tcPr>
            <w:tcW w:type="dxa" w:w="1500"/>
            <w:tcMar>
              <w:top w:type="dxa" w:w="80"/>
              <w:left w:type="dxa" w:w="110"/>
              <w:bottom w:type="dxa" w:w="80"/>
              <w:right w:type="dxa" w:w="110"/>
            </w:tcMar>
          </w:tcPr>
          <w:p>
            <w:pPr>
              <w:spacing w:after="0" w:line="240"/>
              <w:jc w:val="center"/>
            </w:pPr>
            <w:r>
              <w:rPr>
                <w:b w:val="false"/>
                <w:bCs w:val="false"/>
                <w:i w:val="false"/>
                <w:iCs w:val="false"/>
                <w:sz w:val="19"/>
                <w:szCs w:val="19"/>
              </w:rPr>
              <w:t xml:space="preserve">≈ 9.6 h</w:t>
            </w:r>
          </w:p>
        </w:tc>
      </w:tr>
      <w:tr>
        <w:trPr>
          <w:cantSplit/>
        </w:trPr>
        <w:tc>
          <w:tcPr>
            <w:tcW w:type="dxa" w:w="30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IV-2b, all models</w:t>
            </w:r>
          </w:p>
        </w:tc>
        <w:tc>
          <w:tcPr>
            <w:tcW w:type="dxa" w:w="2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6 × 9 = 54</w:t>
            </w:r>
          </w:p>
        </w:tc>
        <w:tc>
          <w:tcPr>
            <w:tcW w:type="dxa" w:w="21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3</w:t>
            </w:r>
          </w:p>
        </w:tc>
        <w:tc>
          <w:tcPr>
            <w:tcW w:type="dxa" w:w="15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 2.7 h</w:t>
            </w:r>
          </w:p>
        </w:tc>
      </w:tr>
      <w:tr>
        <w:trPr>
          <w:cantSplit/>
        </w:trPr>
        <w:tc>
          <w:tcPr>
            <w:tcW w:type="dxa" w:w="3000"/>
            <w:tcMar>
              <w:top w:type="dxa" w:w="80"/>
              <w:left w:type="dxa" w:w="110"/>
              <w:bottom w:type="dxa" w:w="80"/>
              <w:right w:type="dxa" w:w="110"/>
            </w:tcMar>
          </w:tcPr>
          <w:p>
            <w:pPr>
              <w:spacing w:after="0" w:line="240"/>
              <w:jc w:val="left"/>
            </w:pPr>
            <w:r>
              <w:rPr>
                <w:b/>
                <w:bCs/>
                <w:i w:val="false"/>
                <w:iCs w:val="false"/>
                <w:sz w:val="19"/>
                <w:szCs w:val="19"/>
              </w:rPr>
              <w:t xml:space="preserve">Calibration curve</w:t>
            </w:r>
          </w:p>
        </w:tc>
        <w:tc>
          <w:tcPr>
            <w:tcW w:type="dxa" w:w="2400"/>
            <w:tcMar>
              <w:top w:type="dxa" w:w="80"/>
              <w:left w:type="dxa" w:w="110"/>
              <w:bottom w:type="dxa" w:w="80"/>
              <w:right w:type="dxa" w:w="110"/>
            </w:tcMar>
          </w:tcPr>
          <w:p>
            <w:pPr>
              <w:spacing w:after="0" w:line="240"/>
              <w:jc w:val="center"/>
            </w:pPr>
            <w:r>
              <w:rPr>
                <w:b w:val="false"/>
                <w:bCs w:val="false"/>
                <w:i w:val="false"/>
                <w:iCs w:val="false"/>
                <w:sz w:val="19"/>
                <w:szCs w:val="19"/>
              </w:rPr>
              <w:t xml:space="preserve">6 points × 9 folds</w:t>
            </w:r>
          </w:p>
        </w:tc>
        <w:tc>
          <w:tcPr>
            <w:tcW w:type="dxa" w:w="2100"/>
            <w:tcMar>
              <w:top w:type="dxa" w:w="80"/>
              <w:left w:type="dxa" w:w="110"/>
              <w:bottom w:type="dxa" w:w="80"/>
              <w:right w:type="dxa" w:w="110"/>
            </w:tcMar>
          </w:tcPr>
          <w:p>
            <w:pPr>
              <w:spacing w:after="0" w:line="240"/>
              <w:jc w:val="center"/>
            </w:pPr>
            <w:r>
              <w:rPr>
                <w:b w:val="false"/>
                <w:bCs w:val="false"/>
                <w:i w:val="false"/>
                <w:iCs w:val="false"/>
                <w:sz w:val="19"/>
                <w:szCs w:val="19"/>
              </w:rPr>
              <w:t xml:space="preserve">2</w:t>
            </w:r>
          </w:p>
        </w:tc>
        <w:tc>
          <w:tcPr>
            <w:tcW w:type="dxa" w:w="1500"/>
            <w:tcMar>
              <w:top w:type="dxa" w:w="80"/>
              <w:left w:type="dxa" w:w="110"/>
              <w:bottom w:type="dxa" w:w="80"/>
              <w:right w:type="dxa" w:w="110"/>
            </w:tcMar>
          </w:tcPr>
          <w:p>
            <w:pPr>
              <w:spacing w:after="0" w:line="240"/>
              <w:jc w:val="center"/>
            </w:pPr>
            <w:r>
              <w:rPr>
                <w:b w:val="false"/>
                <w:bCs w:val="false"/>
                <w:i w:val="false"/>
                <w:iCs w:val="false"/>
                <w:sz w:val="19"/>
                <w:szCs w:val="19"/>
              </w:rPr>
              <w:t xml:space="preserve">≈ 1.8 h</w:t>
            </w:r>
          </w:p>
        </w:tc>
      </w:tr>
      <w:tr>
        <w:trPr>
          <w:cantSplit/>
        </w:trPr>
        <w:tc>
          <w:tcPr>
            <w:tcW w:type="dxa" w:w="30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Contingency for reruns</w:t>
            </w:r>
          </w:p>
        </w:tc>
        <w:tc>
          <w:tcPr>
            <w:tcW w:type="dxa" w:w="24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21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w:t>
            </w:r>
          </w:p>
        </w:tc>
        <w:tc>
          <w:tcPr>
            <w:tcW w:type="dxa" w:w="1500"/>
            <w:shd w:fill="F2F5FA" w:color="auto" w:val="clear"/>
            <w:tcMar>
              <w:top w:type="dxa" w:w="80"/>
              <w:left w:type="dxa" w:w="110"/>
              <w:bottom w:type="dxa" w:w="80"/>
              <w:right w:type="dxa" w:w="110"/>
            </w:tcMar>
          </w:tcPr>
          <w:p>
            <w:pPr>
              <w:spacing w:after="0" w:line="240"/>
              <w:jc w:val="center"/>
            </w:pPr>
            <w:r>
              <w:rPr>
                <w:b w:val="false"/>
                <w:bCs w:val="false"/>
                <w:i w:val="false"/>
                <w:iCs w:val="false"/>
                <w:sz w:val="19"/>
                <w:szCs w:val="19"/>
              </w:rPr>
              <w:t xml:space="preserve">≈ 5 h</w:t>
            </w:r>
          </w:p>
        </w:tc>
      </w:tr>
      <w:tr>
        <w:trPr>
          <w:cantSplit/>
        </w:trPr>
        <w:tc>
          <w:tcPr>
            <w:tcW w:type="dxa" w:w="3000"/>
            <w:tcMar>
              <w:top w:type="dxa" w:w="80"/>
              <w:left w:type="dxa" w:w="110"/>
              <w:bottom w:type="dxa" w:w="80"/>
              <w:right w:type="dxa" w:w="110"/>
            </w:tcMar>
          </w:tcPr>
          <w:p>
            <w:pPr>
              <w:spacing w:after="0" w:line="240"/>
              <w:jc w:val="left"/>
            </w:pPr>
            <w:r>
              <w:rPr>
                <w:b/>
                <w:bCs/>
                <w:i w:val="false"/>
                <w:iCs w:val="false"/>
                <w:sz w:val="19"/>
                <w:szCs w:val="19"/>
              </w:rPr>
              <w:t xml:space="preserve">Total</w:t>
            </w:r>
          </w:p>
        </w:tc>
        <w:tc>
          <w:tcPr>
            <w:tcW w:type="dxa" w:w="2400"/>
            <w:tcMar>
              <w:top w:type="dxa" w:w="80"/>
              <w:left w:type="dxa" w:w="110"/>
              <w:bottom w:type="dxa" w:w="80"/>
              <w:right w:type="dxa" w:w="110"/>
            </w:tcMar>
          </w:tcPr>
          <w:p>
            <w:pPr>
              <w:spacing w:after="0" w:line="240"/>
              <w:jc w:val="center"/>
            </w:pPr>
            <w:r>
              <w:rPr>
                <w:b w:val="false"/>
                <w:bCs w:val="false"/>
                <w:i w:val="false"/>
                <w:iCs w:val="false"/>
                <w:sz w:val="19"/>
                <w:szCs w:val="19"/>
              </w:rPr>
              <w:t xml:space="preserve"/>
            </w:r>
          </w:p>
        </w:tc>
        <w:tc>
          <w:tcPr>
            <w:tcW w:type="dxa" w:w="2100"/>
            <w:tcMar>
              <w:top w:type="dxa" w:w="80"/>
              <w:left w:type="dxa" w:w="110"/>
              <w:bottom w:type="dxa" w:w="80"/>
              <w:right w:type="dxa" w:w="110"/>
            </w:tcMar>
          </w:tcPr>
          <w:p>
            <w:pPr>
              <w:spacing w:after="0" w:line="240"/>
              <w:jc w:val="center"/>
            </w:pPr>
            <w:r>
              <w:rPr>
                <w:b w:val="false"/>
                <w:bCs w:val="false"/>
                <w:i w:val="false"/>
                <w:iCs w:val="false"/>
                <w:sz w:val="19"/>
                <w:szCs w:val="19"/>
              </w:rPr>
              <w:t xml:space="preserve"/>
            </w:r>
          </w:p>
        </w:tc>
        <w:tc>
          <w:tcPr>
            <w:tcW w:type="dxa" w:w="1500"/>
            <w:tcMar>
              <w:top w:type="dxa" w:w="80"/>
              <w:left w:type="dxa" w:w="110"/>
              <w:bottom w:type="dxa" w:w="80"/>
              <w:right w:type="dxa" w:w="110"/>
            </w:tcMar>
          </w:tcPr>
          <w:p>
            <w:pPr>
              <w:spacing w:after="0" w:line="240"/>
              <w:jc w:val="center"/>
            </w:pPr>
            <w:r>
              <w:rPr>
                <w:b w:val="false"/>
                <w:bCs w:val="false"/>
                <w:i w:val="false"/>
                <w:iCs w:val="false"/>
                <w:sz w:val="19"/>
                <w:szCs w:val="19"/>
              </w:rPr>
              <w:t xml:space="preserve">≈ 26 GPU-hours</w:t>
            </w:r>
          </w:p>
        </w:tc>
      </w:tr>
    </w:tbl>
    <w:p>
      <w:pPr>
        <w:spacing w:after="200" w:before="60"/>
      </w:pPr>
      <w:r>
        <w:rPr>
          <w:i/>
          <w:iCs/>
          <w:color w:val="595959"/>
          <w:sz w:val="17"/>
          <w:szCs w:val="17"/>
        </w:rPr>
        <w:t xml:space="preserve">Table 11.2 — Compute estimate. Kaggle provides roughly 30 GPU-hours per week, so this fits within the window provided preprocessing is cached and runs are checkpointed. Free-tier Colab alone would be tight and the ablation would need to be run over multiple sessions.</w:t>
      </w:r>
    </w:p>
    <w:p>
      <w:pPr>
        <w:pStyle w:val="Heading1"/>
        <w:spacing w:after="160" w:before="360"/>
      </w:pPr>
      <w:r>
        <w:rPr>
          <w:b/>
          <w:bCs/>
          <w:color w:val="1F3864"/>
          <w:sz w:val="30"/>
          <w:szCs w:val="30"/>
        </w:rPr>
        <w:t xml:space="preserve">12. Risk Register</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100"/>
        <w:gridCol w:w="3800"/>
      </w:tblGrid>
      <w:tr>
        <w:trPr>
          <w:cantSplit/>
          <w:tblHeader/>
        </w:trPr>
        <w:tc>
          <w:tcPr>
            <w:tcW w:type="dxa" w:w="29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Risk</w:t>
            </w:r>
          </w:p>
        </w:tc>
        <w:tc>
          <w:tcPr>
            <w:tcW w:type="dxa" w:w="12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Likelihood</w:t>
            </w:r>
          </w:p>
        </w:tc>
        <w:tc>
          <w:tcPr>
            <w:tcW w:type="dxa" w:w="11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Impact</w:t>
            </w:r>
          </w:p>
        </w:tc>
        <w:tc>
          <w:tcPr>
            <w:tcW w:type="dxa" w:w="38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Mitigation</w:t>
            </w:r>
          </w:p>
        </w:tc>
      </w:tr>
      <w:tr>
        <w:trPr>
          <w:cantSplit/>
        </w:trPr>
        <w:tc>
          <w:tcPr>
            <w:tcW w:type="dxa" w:w="2900"/>
            <w:tcMar>
              <w:top w:type="dxa" w:w="80"/>
              <w:left w:type="dxa" w:w="110"/>
              <w:bottom w:type="dxa" w:w="80"/>
              <w:right w:type="dxa" w:w="110"/>
            </w:tcMar>
          </w:tcPr>
          <w:p>
            <w:pPr>
              <w:spacing w:after="0" w:line="240"/>
              <w:jc w:val="left"/>
            </w:pPr>
            <w:r>
              <w:rPr>
                <w:b/>
                <w:bCs/>
                <w:i w:val="false"/>
                <w:iCs w:val="false"/>
                <w:sz w:val="19"/>
                <w:szCs w:val="19"/>
              </w:rPr>
              <w:t xml:space="preserve">LOSO runtime exceeds available GPU hours</w:t>
            </w:r>
          </w:p>
        </w:tc>
        <w:tc>
          <w:tcPr>
            <w:tcW w:type="dxa" w:w="1200"/>
            <w:tcMar>
              <w:top w:type="dxa" w:w="80"/>
              <w:left w:type="dxa" w:w="110"/>
              <w:bottom w:type="dxa" w:w="80"/>
              <w:right w:type="dxa" w:w="110"/>
            </w:tcMar>
          </w:tcPr>
          <w:p>
            <w:pPr>
              <w:spacing w:after="0" w:line="240"/>
              <w:jc w:val="left"/>
            </w:pPr>
            <w:r>
              <w:rPr>
                <w:b w:val="false"/>
                <w:bCs w:val="false"/>
                <w:i w:val="false"/>
                <w:iCs w:val="false"/>
                <w:sz w:val="19"/>
                <w:szCs w:val="19"/>
              </w:rPr>
              <w:t xml:space="preserve">Medium</w:t>
            </w:r>
          </w:p>
        </w:tc>
        <w:tc>
          <w:tcPr>
            <w:tcW w:type="dxa" w:w="1100"/>
            <w:tcMar>
              <w:top w:type="dxa" w:w="80"/>
              <w:left w:type="dxa" w:w="110"/>
              <w:bottom w:type="dxa" w:w="80"/>
              <w:right w:type="dxa" w:w="110"/>
            </w:tcMar>
          </w:tcPr>
          <w:p>
            <w:pPr>
              <w:spacing w:after="0" w:line="240"/>
              <w:jc w:val="left"/>
            </w:pPr>
            <w:r>
              <w:rPr>
                <w:b w:val="false"/>
                <w:bCs w:val="false"/>
                <w:i w:val="false"/>
                <w:iCs w:val="false"/>
                <w:sz w:val="19"/>
                <w:szCs w:val="19"/>
              </w:rPr>
              <w:t xml:space="preserve">High</w:t>
            </w:r>
          </w:p>
        </w:tc>
        <w:tc>
          <w:tcPr>
            <w:tcW w:type="dxa" w:w="3800"/>
            <w:tcMar>
              <w:top w:type="dxa" w:w="80"/>
              <w:left w:type="dxa" w:w="110"/>
              <w:bottom w:type="dxa" w:w="80"/>
              <w:right w:type="dxa" w:w="110"/>
            </w:tcMar>
          </w:tcPr>
          <w:p>
            <w:pPr>
              <w:spacing w:after="0" w:line="240"/>
              <w:jc w:val="left"/>
            </w:pPr>
            <w:r>
              <w:rPr>
                <w:b w:val="false"/>
                <w:bCs w:val="false"/>
                <w:i w:val="false"/>
                <w:iCs w:val="false"/>
                <w:sz w:val="19"/>
                <w:szCs w:val="19"/>
              </w:rPr>
              <w:t xml:space="preserve">Cache preprocessed tensors; mixed-precision training; early stopping; drop the High Gamma tier first</w:t>
            </w:r>
          </w:p>
        </w:tc>
      </w:tr>
      <w:tr>
        <w:trPr>
          <w:cantSplit/>
        </w:trPr>
        <w:tc>
          <w:tcPr>
            <w:tcW w:type="dxa" w:w="29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Reproduced baselines miss published accuracy</w:t>
            </w:r>
          </w:p>
        </w:tc>
        <w:tc>
          <w:tcPr>
            <w:tcW w:type="dxa" w:w="12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Medium</w:t>
            </w:r>
          </w:p>
        </w:tc>
        <w:tc>
          <w:tcPr>
            <w:tcW w:type="dxa" w:w="11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High</w:t>
            </w:r>
          </w:p>
        </w:tc>
        <w:tc>
          <w:tcPr>
            <w:tcW w:type="dxa" w:w="38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Use Braindecode / official repositories; report reproduced and published figures side by side and explain the gap</w:t>
            </w:r>
          </w:p>
        </w:tc>
      </w:tr>
      <w:tr>
        <w:trPr>
          <w:cantSplit/>
        </w:trPr>
        <w:tc>
          <w:tcPr>
            <w:tcW w:type="dxa" w:w="2900"/>
            <w:tcMar>
              <w:top w:type="dxa" w:w="80"/>
              <w:left w:type="dxa" w:w="110"/>
              <w:bottom w:type="dxa" w:w="80"/>
              <w:right w:type="dxa" w:w="110"/>
            </w:tcMar>
          </w:tcPr>
          <w:p>
            <w:pPr>
              <w:spacing w:after="0" w:line="240"/>
              <w:jc w:val="left"/>
            </w:pPr>
            <w:r>
              <w:rPr>
                <w:b/>
                <w:bCs/>
                <w:i w:val="false"/>
                <w:iCs w:val="false"/>
                <w:sz w:val="19"/>
                <w:szCs w:val="19"/>
              </w:rPr>
              <w:t xml:space="preserve">Session timeouts lose training progress</w:t>
            </w:r>
          </w:p>
        </w:tc>
        <w:tc>
          <w:tcPr>
            <w:tcW w:type="dxa" w:w="1200"/>
            <w:tcMar>
              <w:top w:type="dxa" w:w="80"/>
              <w:left w:type="dxa" w:w="110"/>
              <w:bottom w:type="dxa" w:w="80"/>
              <w:right w:type="dxa" w:w="110"/>
            </w:tcMar>
          </w:tcPr>
          <w:p>
            <w:pPr>
              <w:spacing w:after="0" w:line="240"/>
              <w:jc w:val="left"/>
            </w:pPr>
            <w:r>
              <w:rPr>
                <w:b w:val="false"/>
                <w:bCs w:val="false"/>
                <w:i w:val="false"/>
                <w:iCs w:val="false"/>
                <w:sz w:val="19"/>
                <w:szCs w:val="19"/>
              </w:rPr>
              <w:t xml:space="preserve">High</w:t>
            </w:r>
          </w:p>
        </w:tc>
        <w:tc>
          <w:tcPr>
            <w:tcW w:type="dxa" w:w="1100"/>
            <w:tcMar>
              <w:top w:type="dxa" w:w="80"/>
              <w:left w:type="dxa" w:w="110"/>
              <w:bottom w:type="dxa" w:w="80"/>
              <w:right w:type="dxa" w:w="110"/>
            </w:tcMar>
          </w:tcPr>
          <w:p>
            <w:pPr>
              <w:spacing w:after="0" w:line="240"/>
              <w:jc w:val="left"/>
            </w:pPr>
            <w:r>
              <w:rPr>
                <w:b w:val="false"/>
                <w:bCs w:val="false"/>
                <w:i w:val="false"/>
                <w:iCs w:val="false"/>
                <w:sz w:val="19"/>
                <w:szCs w:val="19"/>
              </w:rPr>
              <w:t xml:space="preserve">Medium</w:t>
            </w:r>
          </w:p>
        </w:tc>
        <w:tc>
          <w:tcPr>
            <w:tcW w:type="dxa" w:w="3800"/>
            <w:tcMar>
              <w:top w:type="dxa" w:w="80"/>
              <w:left w:type="dxa" w:w="110"/>
              <w:bottom w:type="dxa" w:w="80"/>
              <w:right w:type="dxa" w:w="110"/>
            </w:tcMar>
          </w:tcPr>
          <w:p>
            <w:pPr>
              <w:spacing w:after="0" w:line="240"/>
              <w:jc w:val="left"/>
            </w:pPr>
            <w:r>
              <w:rPr>
                <w:b w:val="false"/>
                <w:bCs w:val="false"/>
                <w:i w:val="false"/>
                <w:iCs w:val="false"/>
                <w:sz w:val="19"/>
                <w:szCs w:val="19"/>
              </w:rPr>
              <w:t xml:space="preserve">Checkpoint every epoch to persistent storage; resumable trainer</w:t>
            </w:r>
          </w:p>
        </w:tc>
      </w:tr>
      <w:tr>
        <w:trPr>
          <w:cantSplit/>
        </w:trPr>
        <w:tc>
          <w:tcPr>
            <w:tcW w:type="dxa" w:w="29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SAND-Net does not beat the baselines</w:t>
            </w:r>
          </w:p>
        </w:tc>
        <w:tc>
          <w:tcPr>
            <w:tcW w:type="dxa" w:w="12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Medium</w:t>
            </w:r>
          </w:p>
        </w:tc>
        <w:tc>
          <w:tcPr>
            <w:tcW w:type="dxa" w:w="11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Medium</w:t>
            </w:r>
          </w:p>
        </w:tc>
        <w:tc>
          <w:tcPr>
            <w:tcW w:type="dxa" w:w="38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The ablation still answers H1; a negative result that shows capacity beats alignment is a valid and reportable finding</w:t>
            </w:r>
          </w:p>
        </w:tc>
      </w:tr>
      <w:tr>
        <w:trPr>
          <w:cantSplit/>
        </w:trPr>
        <w:tc>
          <w:tcPr>
            <w:tcW w:type="dxa" w:w="2900"/>
            <w:tcMar>
              <w:top w:type="dxa" w:w="80"/>
              <w:left w:type="dxa" w:w="110"/>
              <w:bottom w:type="dxa" w:w="80"/>
              <w:right w:type="dxa" w:w="110"/>
            </w:tcMar>
          </w:tcPr>
          <w:p>
            <w:pPr>
              <w:spacing w:after="0" w:line="240"/>
              <w:jc w:val="left"/>
            </w:pPr>
            <w:r>
              <w:rPr>
                <w:b/>
                <w:bCs/>
                <w:i w:val="false"/>
                <w:iCs w:val="false"/>
                <w:sz w:val="19"/>
                <w:szCs w:val="19"/>
              </w:rPr>
              <w:t xml:space="preserve">High Gamma Dataset too heavy to process</w:t>
            </w:r>
          </w:p>
        </w:tc>
        <w:tc>
          <w:tcPr>
            <w:tcW w:type="dxa" w:w="1200"/>
            <w:tcMar>
              <w:top w:type="dxa" w:w="80"/>
              <w:left w:type="dxa" w:w="110"/>
              <w:bottom w:type="dxa" w:w="80"/>
              <w:right w:type="dxa" w:w="110"/>
            </w:tcMar>
          </w:tcPr>
          <w:p>
            <w:pPr>
              <w:spacing w:after="0" w:line="240"/>
              <w:jc w:val="left"/>
            </w:pPr>
            <w:r>
              <w:rPr>
                <w:b w:val="false"/>
                <w:bCs w:val="false"/>
                <w:i w:val="false"/>
                <w:iCs w:val="false"/>
                <w:sz w:val="19"/>
                <w:szCs w:val="19"/>
              </w:rPr>
              <w:t xml:space="preserve">Medium</w:t>
            </w:r>
          </w:p>
        </w:tc>
        <w:tc>
          <w:tcPr>
            <w:tcW w:type="dxa" w:w="1100"/>
            <w:tcMar>
              <w:top w:type="dxa" w:w="80"/>
              <w:left w:type="dxa" w:w="110"/>
              <w:bottom w:type="dxa" w:w="80"/>
              <w:right w:type="dxa" w:w="110"/>
            </w:tcMar>
          </w:tcPr>
          <w:p>
            <w:pPr>
              <w:spacing w:after="0" w:line="240"/>
              <w:jc w:val="left"/>
            </w:pPr>
            <w:r>
              <w:rPr>
                <w:b w:val="false"/>
                <w:bCs w:val="false"/>
                <w:i w:val="false"/>
                <w:iCs w:val="false"/>
                <w:sz w:val="19"/>
                <w:szCs w:val="19"/>
              </w:rPr>
              <w:t xml:space="preserve">Low</w:t>
            </w:r>
          </w:p>
        </w:tc>
        <w:tc>
          <w:tcPr>
            <w:tcW w:type="dxa" w:w="3800"/>
            <w:tcMar>
              <w:top w:type="dxa" w:w="80"/>
              <w:left w:type="dxa" w:w="110"/>
              <w:bottom w:type="dxa" w:w="80"/>
              <w:right w:type="dxa" w:w="110"/>
            </w:tcMar>
          </w:tcPr>
          <w:p>
            <w:pPr>
              <w:spacing w:after="0" w:line="240"/>
              <w:jc w:val="left"/>
            </w:pPr>
            <w:r>
              <w:rPr>
                <w:b w:val="false"/>
                <w:bCs w:val="false"/>
                <w:i w:val="false"/>
                <w:iCs w:val="false"/>
                <w:sz w:val="19"/>
                <w:szCs w:val="19"/>
              </w:rPr>
              <w:t xml:space="preserve">Declared a stretch tier; no conclusion depends on it</w:t>
            </w:r>
          </w:p>
        </w:tc>
      </w:tr>
      <w:tr>
        <w:trPr>
          <w:cantSplit/>
        </w:trPr>
        <w:tc>
          <w:tcPr>
            <w:tcW w:type="dxa" w:w="29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Adversarial loss destabilises training</w:t>
            </w:r>
          </w:p>
        </w:tc>
        <w:tc>
          <w:tcPr>
            <w:tcW w:type="dxa" w:w="12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Medium</w:t>
            </w:r>
          </w:p>
        </w:tc>
        <w:tc>
          <w:tcPr>
            <w:tcW w:type="dxa" w:w="11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Medium</w:t>
            </w:r>
          </w:p>
        </w:tc>
        <w:tc>
          <w:tcPr>
            <w:tcW w:type="dxa" w:w="38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Ramp λ₂ from zero; A6 (contrastive only) is a working fallback configuration</w:t>
            </w:r>
          </w:p>
        </w:tc>
      </w:tr>
      <w:tr>
        <w:trPr>
          <w:cantSplit/>
        </w:trPr>
        <w:tc>
          <w:tcPr>
            <w:tcW w:type="dxa" w:w="2900"/>
            <w:tcMar>
              <w:top w:type="dxa" w:w="80"/>
              <w:left w:type="dxa" w:w="110"/>
              <w:bottom w:type="dxa" w:w="80"/>
              <w:right w:type="dxa" w:w="110"/>
            </w:tcMar>
          </w:tcPr>
          <w:p>
            <w:pPr>
              <w:spacing w:after="0" w:line="240"/>
              <w:jc w:val="left"/>
            </w:pPr>
            <w:r>
              <w:rPr>
                <w:b/>
                <w:bCs/>
                <w:i w:val="false"/>
                <w:iCs w:val="false"/>
                <w:sz w:val="19"/>
                <w:szCs w:val="19"/>
              </w:rPr>
              <w:t xml:space="preserve">Interpretability shows artefact reliance</w:t>
            </w:r>
          </w:p>
        </w:tc>
        <w:tc>
          <w:tcPr>
            <w:tcW w:type="dxa" w:w="1200"/>
            <w:tcMar>
              <w:top w:type="dxa" w:w="80"/>
              <w:left w:type="dxa" w:w="110"/>
              <w:bottom w:type="dxa" w:w="80"/>
              <w:right w:type="dxa" w:w="110"/>
            </w:tcMar>
          </w:tcPr>
          <w:p>
            <w:pPr>
              <w:spacing w:after="0" w:line="240"/>
              <w:jc w:val="left"/>
            </w:pPr>
            <w:r>
              <w:rPr>
                <w:b w:val="false"/>
                <w:bCs w:val="false"/>
                <w:i w:val="false"/>
                <w:iCs w:val="false"/>
                <w:sz w:val="19"/>
                <w:szCs w:val="19"/>
              </w:rPr>
              <w:t xml:space="preserve">Low</w:t>
            </w:r>
          </w:p>
        </w:tc>
        <w:tc>
          <w:tcPr>
            <w:tcW w:type="dxa" w:w="1100"/>
            <w:tcMar>
              <w:top w:type="dxa" w:w="80"/>
              <w:left w:type="dxa" w:w="110"/>
              <w:bottom w:type="dxa" w:w="80"/>
              <w:right w:type="dxa" w:w="110"/>
            </w:tcMar>
          </w:tcPr>
          <w:p>
            <w:pPr>
              <w:spacing w:after="0" w:line="240"/>
              <w:jc w:val="left"/>
            </w:pPr>
            <w:r>
              <w:rPr>
                <w:b w:val="false"/>
                <w:bCs w:val="false"/>
                <w:i w:val="false"/>
                <w:iCs w:val="false"/>
                <w:sz w:val="19"/>
                <w:szCs w:val="19"/>
              </w:rPr>
              <w:t xml:space="preserve">High</w:t>
            </w:r>
          </w:p>
        </w:tc>
        <w:tc>
          <w:tcPr>
            <w:tcW w:type="dxa" w:w="3800"/>
            <w:tcMar>
              <w:top w:type="dxa" w:w="80"/>
              <w:left w:type="dxa" w:w="110"/>
              <w:bottom w:type="dxa" w:w="80"/>
              <w:right w:type="dxa" w:w="110"/>
            </w:tcMar>
          </w:tcPr>
          <w:p>
            <w:pPr>
              <w:spacing w:after="0" w:line="240"/>
              <w:jc w:val="left"/>
            </w:pPr>
            <w:r>
              <w:rPr>
                <w:b w:val="false"/>
                <w:bCs w:val="false"/>
                <w:i w:val="false"/>
                <w:iCs w:val="false"/>
                <w:sz w:val="19"/>
                <w:szCs w:val="19"/>
              </w:rPr>
              <w:t xml:space="preserve">Report it honestly; tighten artefact rejection and re-run; this is the reason the check exists</w:t>
            </w:r>
          </w:p>
        </w:tc>
      </w:tr>
    </w:tbl>
    <w:p>
      <w:pPr>
        <w:spacing w:after="200" w:before="60"/>
      </w:pPr>
      <w:r>
        <w:rPr>
          <w:i/>
          <w:iCs/>
          <w:color w:val="595959"/>
          <w:sz w:val="17"/>
          <w:szCs w:val="17"/>
        </w:rPr>
        <w:t xml:space="preserve">Table 12.1 — Risk register with mitigations. Risks are listed with the response already decided, so Phase 3 does not lose days to deliberation.</w:t>
      </w:r>
    </w:p>
    <w:p>
      <w:pPr>
        <w:pStyle w:val="Heading1"/>
        <w:spacing w:after="160" w:before="360"/>
      </w:pPr>
      <w:r>
        <w:rPr>
          <w:b/>
          <w:bCs/>
          <w:color w:val="1F3864"/>
          <w:sz w:val="30"/>
          <w:szCs w:val="30"/>
        </w:rPr>
        <w:t xml:space="preserve">13. Expected Outcomes and Success Criteria</w:t>
      </w:r>
    </w:p>
    <w:p>
      <w:pPr>
        <w:spacing w:after="120" w:line="276"/>
        <w:jc w:val="both"/>
      </w:pPr>
      <w:r>
        <w:rPr>
          <w:b w:val="false"/>
          <w:bCs w:val="false"/>
          <w:i w:val="false"/>
          <w:iCs w:val="false"/>
          <w:sz w:val="21"/>
          <w:szCs w:val="21"/>
        </w:rPr>
        <w:t xml:space="preserve">Success is defined in advance so that the 2nd Review can be assessed against a fixed standard rather than a standard chosen after seeing the results.</w:t>
      </w:r>
    </w:p>
    <w:p>
      <w:pPr>
        <w:spacing w:after="60"/>
      </w:pPr>
      <w:r>
        <w:rPr>
          <w:sz w:val="12"/>
          <w:szCs w:val="1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tblGrid>
      <w:tr>
        <w:trPr>
          <w:cantSplit/>
          <w:tblHeader/>
        </w:trPr>
        <w:tc>
          <w:tcPr>
            <w:tcW w:type="dxa" w:w="27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Criterion</w:t>
            </w:r>
          </w:p>
        </w:tc>
        <w:tc>
          <w:tcPr>
            <w:tcW w:type="dxa" w:w="27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Target</w:t>
            </w:r>
          </w:p>
        </w:tc>
        <w:tc>
          <w:tcPr>
            <w:tcW w:type="dxa" w:w="3600"/>
            <w:shd w:fill="1F3864" w:color="auto" w:val="clear"/>
            <w:tcMar>
              <w:top w:type="dxa" w:w="80"/>
              <w:left w:type="dxa" w:w="110"/>
              <w:bottom w:type="dxa" w:w="80"/>
              <w:right w:type="dxa" w:w="110"/>
            </w:tcMar>
          </w:tcPr>
          <w:p>
            <w:pPr>
              <w:spacing w:after="0" w:line="240"/>
              <w:jc w:val="left"/>
            </w:pPr>
            <w:r>
              <w:rPr>
                <w:b/>
                <w:bCs/>
                <w:i w:val="false"/>
                <w:iCs w:val="false"/>
                <w:color w:val="FFFFFF"/>
                <w:sz w:val="19"/>
                <w:szCs w:val="19"/>
              </w:rPr>
              <w:t xml:space="preserve">Basis for the target</w:t>
            </w:r>
          </w:p>
        </w:tc>
      </w:tr>
      <w:tr>
        <w:trPr>
          <w:cantSplit/>
        </w:trPr>
        <w:tc>
          <w:tcPr>
            <w:tcW w:type="dxa" w:w="2700"/>
            <w:tcMar>
              <w:top w:type="dxa" w:w="80"/>
              <w:left w:type="dxa" w:w="110"/>
              <w:bottom w:type="dxa" w:w="80"/>
              <w:right w:type="dxa" w:w="110"/>
            </w:tcMar>
          </w:tcPr>
          <w:p>
            <w:pPr>
              <w:spacing w:after="0" w:line="240"/>
              <w:jc w:val="left"/>
            </w:pPr>
            <w:r>
              <w:rPr>
                <w:b/>
                <w:bCs/>
                <w:i w:val="false"/>
                <w:iCs w:val="false"/>
                <w:sz w:val="19"/>
                <w:szCs w:val="19"/>
              </w:rPr>
              <w:t xml:space="preserve">LOSO accuracy, IV-2a</w:t>
            </w:r>
          </w:p>
        </w:tc>
        <w:tc>
          <w:tcPr>
            <w:tcW w:type="dxa" w:w="2700"/>
            <w:tcMar>
              <w:top w:type="dxa" w:w="80"/>
              <w:left w:type="dxa" w:w="110"/>
              <w:bottom w:type="dxa" w:w="80"/>
              <w:right w:type="dxa" w:w="110"/>
            </w:tcMar>
          </w:tcPr>
          <w:p>
            <w:pPr>
              <w:spacing w:after="0" w:line="240"/>
              <w:jc w:val="left"/>
            </w:pPr>
            <w:r>
              <w:rPr>
                <w:b w:val="false"/>
                <w:bCs w:val="false"/>
                <w:i w:val="false"/>
                <w:iCs w:val="false"/>
                <w:sz w:val="19"/>
                <w:szCs w:val="19"/>
              </w:rPr>
              <w:t xml:space="preserve">≥ 70%</w:t>
            </w:r>
          </w:p>
        </w:tc>
        <w:tc>
          <w:tcPr>
            <w:tcW w:type="dxa" w:w="3600"/>
            <w:tcMar>
              <w:top w:type="dxa" w:w="80"/>
              <w:left w:type="dxa" w:w="110"/>
              <w:bottom w:type="dxa" w:w="80"/>
              <w:right w:type="dxa" w:w="110"/>
            </w:tcMar>
          </w:tcPr>
          <w:p>
            <w:pPr>
              <w:spacing w:after="0" w:line="240"/>
              <w:jc w:val="left"/>
            </w:pPr>
            <w:r>
              <w:rPr>
                <w:b w:val="false"/>
                <w:bCs w:val="false"/>
                <w:i w:val="false"/>
                <w:iCs w:val="false"/>
                <w:sz w:val="19"/>
                <w:szCs w:val="19"/>
              </w:rPr>
              <w:t xml:space="preserve">Independent LOSO studies place EEGNet and Conformer at 68–70%; SATrans-Net reports 72.33%</w:t>
            </w:r>
          </w:p>
        </w:tc>
      </w:tr>
      <w:tr>
        <w:trPr>
          <w:cantSplit/>
        </w:trPr>
        <w:tc>
          <w:tcPr>
            <w:tcW w:type="dxa" w:w="27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Parameter count</w:t>
            </w:r>
          </w:p>
        </w:tc>
        <w:tc>
          <w:tcPr>
            <w:tcW w:type="dxa" w:w="2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&lt; 50,000</w:t>
            </w:r>
          </w:p>
        </w:tc>
        <w:tc>
          <w:tcPr>
            <w:tcW w:type="dxa" w:w="36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Below ShallowConvNet (47,364) and well below ATCNet (113,732)</w:t>
            </w:r>
          </w:p>
        </w:tc>
      </w:tr>
      <w:tr>
        <w:trPr>
          <w:cantSplit/>
        </w:trPr>
        <w:tc>
          <w:tcPr>
            <w:tcW w:type="dxa" w:w="2700"/>
            <w:tcMar>
              <w:top w:type="dxa" w:w="80"/>
              <w:left w:type="dxa" w:w="110"/>
              <w:bottom w:type="dxa" w:w="80"/>
              <w:right w:type="dxa" w:w="110"/>
            </w:tcMar>
          </w:tcPr>
          <w:p>
            <w:pPr>
              <w:spacing w:after="0" w:line="240"/>
              <w:jc w:val="left"/>
            </w:pPr>
            <w:r>
              <w:rPr>
                <w:b/>
                <w:bCs/>
                <w:i w:val="false"/>
                <w:iCs w:val="false"/>
                <w:sz w:val="19"/>
                <w:szCs w:val="19"/>
              </w:rPr>
              <w:t xml:space="preserve">Std. dev. across subjects</w:t>
            </w:r>
          </w:p>
        </w:tc>
        <w:tc>
          <w:tcPr>
            <w:tcW w:type="dxa" w:w="2700"/>
            <w:tcMar>
              <w:top w:type="dxa" w:w="80"/>
              <w:left w:type="dxa" w:w="110"/>
              <w:bottom w:type="dxa" w:w="80"/>
              <w:right w:type="dxa" w:w="110"/>
            </w:tcMar>
          </w:tcPr>
          <w:p>
            <w:pPr>
              <w:spacing w:after="0" w:line="240"/>
              <w:jc w:val="left"/>
            </w:pPr>
            <w:r>
              <w:rPr>
                <w:b w:val="false"/>
                <w:bCs w:val="false"/>
                <w:i w:val="false"/>
                <w:iCs w:val="false"/>
                <w:sz w:val="19"/>
                <w:szCs w:val="19"/>
              </w:rPr>
              <w:t xml:space="preserve">Lower than the best baseline</w:t>
            </w:r>
          </w:p>
        </w:tc>
        <w:tc>
          <w:tcPr>
            <w:tcW w:type="dxa" w:w="3600"/>
            <w:tcMar>
              <w:top w:type="dxa" w:w="80"/>
              <w:left w:type="dxa" w:w="110"/>
              <w:bottom w:type="dxa" w:w="80"/>
              <w:right w:type="dxa" w:w="110"/>
            </w:tcMar>
          </w:tcPr>
          <w:p>
            <w:pPr>
              <w:spacing w:after="0" w:line="240"/>
              <w:jc w:val="left"/>
            </w:pPr>
            <w:r>
              <w:rPr>
                <w:b w:val="false"/>
                <w:bCs w:val="false"/>
                <w:i w:val="false"/>
                <w:iCs w:val="false"/>
                <w:sz w:val="19"/>
                <w:szCs w:val="19"/>
              </w:rPr>
              <w:t xml:space="preserve">Consistency matters more than peak accuracy for assistive use</w:t>
            </w:r>
          </w:p>
        </w:tc>
      </w:tr>
      <w:tr>
        <w:trPr>
          <w:cantSplit/>
        </w:trPr>
        <w:tc>
          <w:tcPr>
            <w:tcW w:type="dxa" w:w="27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Calibration efficiency</w:t>
            </w:r>
          </w:p>
        </w:tc>
        <w:tc>
          <w:tcPr>
            <w:tcW w:type="dxa" w:w="2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Within 5 pts of subject-specific accuracy using ≤ 20 labelled trials</w:t>
            </w:r>
          </w:p>
        </w:tc>
        <w:tc>
          <w:tcPr>
            <w:tcW w:type="dxa" w:w="36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Defines what 'without lengthy calibration' means in practice</w:t>
            </w:r>
          </w:p>
        </w:tc>
      </w:tr>
      <w:tr>
        <w:trPr>
          <w:cantSplit/>
        </w:trPr>
        <w:tc>
          <w:tcPr>
            <w:tcW w:type="dxa" w:w="2700"/>
            <w:tcMar>
              <w:top w:type="dxa" w:w="80"/>
              <w:left w:type="dxa" w:w="110"/>
              <w:bottom w:type="dxa" w:w="80"/>
              <w:right w:type="dxa" w:w="110"/>
            </w:tcMar>
          </w:tcPr>
          <w:p>
            <w:pPr>
              <w:spacing w:after="0" w:line="240"/>
              <w:jc w:val="left"/>
            </w:pPr>
            <w:r>
              <w:rPr>
                <w:b/>
                <w:bCs/>
                <w:i w:val="false"/>
                <w:iCs w:val="false"/>
                <w:sz w:val="19"/>
                <w:szCs w:val="19"/>
              </w:rPr>
              <w:t xml:space="preserve">Statistical significance</w:t>
            </w:r>
          </w:p>
        </w:tc>
        <w:tc>
          <w:tcPr>
            <w:tcW w:type="dxa" w:w="2700"/>
            <w:tcMar>
              <w:top w:type="dxa" w:w="80"/>
              <w:left w:type="dxa" w:w="110"/>
              <w:bottom w:type="dxa" w:w="80"/>
              <w:right w:type="dxa" w:w="110"/>
            </w:tcMar>
          </w:tcPr>
          <w:p>
            <w:pPr>
              <w:spacing w:after="0" w:line="240"/>
              <w:jc w:val="left"/>
            </w:pPr>
            <w:r>
              <w:rPr>
                <w:b w:val="false"/>
                <w:bCs w:val="false"/>
                <w:i w:val="false"/>
                <w:iCs w:val="false"/>
                <w:sz w:val="19"/>
                <w:szCs w:val="19"/>
              </w:rPr>
              <w:t xml:space="preserve">p &lt; 0.05, Wilcoxon signed-rank</w:t>
            </w:r>
          </w:p>
        </w:tc>
        <w:tc>
          <w:tcPr>
            <w:tcW w:type="dxa" w:w="3600"/>
            <w:tcMar>
              <w:top w:type="dxa" w:w="80"/>
              <w:left w:type="dxa" w:w="110"/>
              <w:bottom w:type="dxa" w:w="80"/>
              <w:right w:type="dxa" w:w="110"/>
            </w:tcMar>
          </w:tcPr>
          <w:p>
            <w:pPr>
              <w:spacing w:after="0" w:line="240"/>
              <w:jc w:val="left"/>
            </w:pPr>
            <w:r>
              <w:rPr>
                <w:b w:val="false"/>
                <w:bCs w:val="false"/>
                <w:i w:val="false"/>
                <w:iCs w:val="false"/>
                <w:sz w:val="19"/>
                <w:szCs w:val="19"/>
              </w:rPr>
              <w:t xml:space="preserve">Same test used by EEG Conformer</w:t>
            </w:r>
          </w:p>
        </w:tc>
      </w:tr>
      <w:tr>
        <w:trPr>
          <w:cantSplit/>
        </w:trPr>
        <w:tc>
          <w:tcPr>
            <w:tcW w:type="dxa" w:w="2700"/>
            <w:shd w:fill="F2F5FA" w:color="auto" w:val="clear"/>
            <w:tcMar>
              <w:top w:type="dxa" w:w="80"/>
              <w:left w:type="dxa" w:w="110"/>
              <w:bottom w:type="dxa" w:w="80"/>
              <w:right w:type="dxa" w:w="110"/>
            </w:tcMar>
          </w:tcPr>
          <w:p>
            <w:pPr>
              <w:spacing w:after="0" w:line="240"/>
              <w:jc w:val="left"/>
            </w:pPr>
            <w:r>
              <w:rPr>
                <w:b/>
                <w:bCs/>
                <w:i w:val="false"/>
                <w:iCs w:val="false"/>
                <w:sz w:val="19"/>
                <w:szCs w:val="19"/>
              </w:rPr>
              <w:t xml:space="preserve">Interpretability</w:t>
            </w:r>
          </w:p>
        </w:tc>
        <w:tc>
          <w:tcPr>
            <w:tcW w:type="dxa" w:w="27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Contralateral peaks at C3 / C4</w:t>
            </w:r>
          </w:p>
        </w:tc>
        <w:tc>
          <w:tcPr>
            <w:tcW w:type="dxa" w:w="3600"/>
            <w:shd w:fill="F2F5FA" w:color="auto" w:val="clear"/>
            <w:tcMar>
              <w:top w:type="dxa" w:w="80"/>
              <w:left w:type="dxa" w:w="110"/>
              <w:bottom w:type="dxa" w:w="80"/>
              <w:right w:type="dxa" w:w="110"/>
            </w:tcMar>
          </w:tcPr>
          <w:p>
            <w:pPr>
              <w:spacing w:after="0" w:line="240"/>
              <w:jc w:val="left"/>
            </w:pPr>
            <w:r>
              <w:rPr>
                <w:b w:val="false"/>
                <w:bCs w:val="false"/>
                <w:i w:val="false"/>
                <w:iCs w:val="false"/>
                <w:sz w:val="19"/>
                <w:szCs w:val="19"/>
              </w:rPr>
              <w:t xml:space="preserve">Established event-related desynchronisation physiology</w:t>
            </w:r>
          </w:p>
        </w:tc>
      </w:tr>
    </w:tbl>
    <w:p>
      <w:pPr>
        <w:spacing w:after="200" w:before="60"/>
      </w:pPr>
      <w:r>
        <w:rPr>
          <w:i/>
          <w:iCs/>
          <w:color w:val="595959"/>
          <w:sz w:val="17"/>
          <w:szCs w:val="17"/>
        </w:rPr>
        <w:t xml:space="preserve">Table 13.1 — Pre-registered success criteria.</w:t>
      </w:r>
    </w:p>
    <w:p>
      <w:pPr>
        <w:pStyle w:val="Heading2"/>
        <w:spacing w:after="120" w:before="240"/>
      </w:pPr>
      <w:r>
        <w:rPr>
          <w:b/>
          <w:bCs/>
          <w:color w:val="2E74B5"/>
          <w:sz w:val="24"/>
          <w:szCs w:val="24"/>
        </w:rPr>
        <w:t xml:space="preserve">13.1 Deliverables at the 2nd Review (3 October 2026)</w:t>
      </w:r>
    </w:p>
    <w:p>
      <w:pPr>
        <w:pStyle w:val="ListParagraph"/>
        <w:numPr>
          <w:ilvl w:val="0"/>
          <w:numId w:val="2"/>
        </w:numPr>
        <w:spacing w:after="70" w:line="276"/>
      </w:pPr>
      <w:r>
        <w:rPr>
          <w:sz w:val="21"/>
          <w:szCs w:val="21"/>
        </w:rPr>
        <w:t xml:space="preserve">Working implementation of the full pipeline, five baselines and SAND-Net, in a public repository.</w:t>
      </w:r>
    </w:p>
    <w:p>
      <w:pPr>
        <w:pStyle w:val="ListParagraph"/>
        <w:numPr>
          <w:ilvl w:val="0"/>
          <w:numId w:val="2"/>
        </w:numPr>
        <w:spacing w:after="70" w:line="276"/>
      </w:pPr>
      <w:r>
        <w:rPr>
          <w:sz w:val="21"/>
          <w:szCs w:val="21"/>
        </w:rPr>
        <w:t xml:space="preserve">LOSO results table for all models on IV-2a and IV-2b, with per-subject breakdown and significance tests.</w:t>
      </w:r>
    </w:p>
    <w:p>
      <w:pPr>
        <w:pStyle w:val="ListParagraph"/>
        <w:numPr>
          <w:ilvl w:val="0"/>
          <w:numId w:val="2"/>
        </w:numPr>
        <w:spacing w:after="70" w:line="276"/>
      </w:pPr>
      <w:r>
        <w:rPr>
          <w:sz w:val="21"/>
          <w:szCs w:val="21"/>
        </w:rPr>
        <w:t xml:space="preserve">Completed ablation table with the H1 verdict stated explicitly.</w:t>
      </w:r>
    </w:p>
    <w:p>
      <w:pPr>
        <w:pStyle w:val="ListParagraph"/>
        <w:numPr>
          <w:ilvl w:val="0"/>
          <w:numId w:val="2"/>
        </w:numPr>
        <w:spacing w:after="70" w:line="276"/>
      </w:pPr>
      <w:r>
        <w:rPr>
          <w:sz w:val="21"/>
          <w:szCs w:val="21"/>
        </w:rPr>
        <w:t xml:space="preserve">Calibration-efficiency curve.</w:t>
      </w:r>
    </w:p>
    <w:p>
      <w:pPr>
        <w:pStyle w:val="ListParagraph"/>
        <w:numPr>
          <w:ilvl w:val="0"/>
          <w:numId w:val="2"/>
        </w:numPr>
        <w:spacing w:after="70" w:line="276"/>
      </w:pPr>
      <w:r>
        <w:rPr>
          <w:sz w:val="21"/>
          <w:szCs w:val="21"/>
        </w:rPr>
        <w:t xml:space="preserve">Class Activation Topography figures with the neurophysiological validation result.</w:t>
      </w:r>
    </w:p>
    <w:p>
      <w:pPr>
        <w:pStyle w:val="Heading2"/>
        <w:spacing w:after="120" w:before="240"/>
      </w:pPr>
      <w:r>
        <w:rPr>
          <w:b/>
          <w:bCs/>
          <w:color w:val="2E74B5"/>
          <w:sz w:val="24"/>
          <w:szCs w:val="24"/>
        </w:rPr>
        <w:t xml:space="preserve">13.2 Statement on novelty</w:t>
      </w:r>
    </w:p>
    <w:p>
      <w:pPr>
        <w:spacing w:after="120" w:line="276"/>
        <w:jc w:val="both"/>
      </w:pPr>
      <w:r>
        <w:rPr>
          <w:b w:val="false"/>
          <w:bCs w:val="false"/>
          <w:i w:val="false"/>
          <w:iCs w:val="false"/>
          <w:sz w:val="21"/>
          <w:szCs w:val="21"/>
        </w:rPr>
        <w:t xml:space="preserve">The 0th Review answered 'Partially' to the question of sufficient novelty, and recorded that further investigation was needed. That investigation is now complete, and the position has changed. The contribution is no longer described as a combination of existing techniques. It is: (i) the first evaluation of EEGNet, ATCNet, CTNet and EEG Conformer under a single identical leave-one-subject-out protocol, which the published literature does not provide; (ii) a controlled test of whether input-space subject-invariance or architectural capacity contributes more to cross-subject decoding; and (iii) a calibration-efficiency characterisation that states how much labelled data a new user actually needs. Points (ii) and (iii) are questions the reviewed literature does not answer, and both produce a useful result whichever way they resolve.</w:t>
      </w:r>
    </w:p>
    <w:p>
      <w:pPr>
        <w:pStyle w:val="Heading1"/>
        <w:spacing w:after="160" w:before="360"/>
      </w:pPr>
      <w:r>
        <w:rPr>
          <w:b/>
          <w:bCs/>
          <w:color w:val="1F3864"/>
          <w:sz w:val="30"/>
          <w:szCs w:val="30"/>
        </w:rPr>
        <w:t xml:space="preserve">References</w:t>
      </w:r>
    </w:p>
    <w:p>
      <w:pPr>
        <w:spacing w:after="110" w:line="264"/>
        <w:ind w:left="400" w:hanging="400"/>
      </w:pPr>
      <w:r>
        <w:rPr>
          <w:sz w:val="19"/>
          <w:szCs w:val="19"/>
        </w:rPr>
        <w:t xml:space="preserve">[1]  Lawhern, V. J., Solon, A. J., Waytowich, N. R., Gordon, S. M., Hung, C. P., &amp; Lance, B. J. (2018). EEGNet: A Compact Convolutional Neural Network for EEG-based Brain–Computer Interfaces. Journal of Neural Engineering, 15(5), 056013. arXiv:1611.08024</w:t>
      </w:r>
    </w:p>
    <w:p>
      <w:pPr>
        <w:spacing w:after="110" w:line="264"/>
        <w:ind w:left="400" w:hanging="400"/>
      </w:pPr>
      <w:r>
        <w:rPr>
          <w:sz w:val="19"/>
          <w:szCs w:val="19"/>
        </w:rPr>
        <w:t xml:space="preserve">[2]  Altaheri, H., Muhammad, G., &amp; Alsulaiman, M. (2023). Physics-Informed Attention Temporal Convolutional Network for EEG-Based Motor Imagery Classification. IEEE Transactions on Industrial Informatics, 19(2), 2249–2258.</w:t>
      </w:r>
    </w:p>
    <w:p>
      <w:pPr>
        <w:spacing w:after="110" w:line="264"/>
        <w:ind w:left="400" w:hanging="400"/>
      </w:pPr>
      <w:r>
        <w:rPr>
          <w:sz w:val="19"/>
          <w:szCs w:val="19"/>
        </w:rPr>
        <w:t xml:space="preserve">[3]  Zhao, W., Jiang, X., Zhang, B., Xiao, S., &amp; Weng, S. (2024). CTNet: A Convolutional Transformer Network for EEG-Based Motor Imagery Classification. Scientific Reports, 14, 20237.</w:t>
      </w:r>
    </w:p>
    <w:p>
      <w:pPr>
        <w:spacing w:after="110" w:line="264"/>
        <w:ind w:left="400" w:hanging="400"/>
      </w:pPr>
      <w:r>
        <w:rPr>
          <w:sz w:val="19"/>
          <w:szCs w:val="19"/>
        </w:rPr>
        <w:t xml:space="preserve">[4]  Song, Y., Zheng, Q., Liu, B., &amp; Gao, X. (2023). EEG Conformer: Convolutional Transformer for EEG Decoding and Visualization. IEEE Transactions on Neural Systems and Rehabilitation Engineering, 31, 710–719.</w:t>
      </w:r>
    </w:p>
    <w:p>
      <w:pPr>
        <w:spacing w:after="110" w:line="264"/>
        <w:ind w:left="400" w:hanging="400"/>
      </w:pPr>
      <w:r>
        <w:rPr>
          <w:sz w:val="19"/>
          <w:szCs w:val="19"/>
        </w:rPr>
        <w:t xml:space="preserve">[5]  He, H., &amp; Wu, D. (2020). Transfer Learning for Brain–Computer Interfaces: A Euclidean Space Data Alignment Approach. IEEE Transactions on Biomedical Engineering, 67(2), 399–410. arXiv:1808.05464</w:t>
      </w:r>
    </w:p>
    <w:p>
      <w:pPr>
        <w:spacing w:after="110" w:line="264"/>
        <w:ind w:left="400" w:hanging="400"/>
      </w:pPr>
      <w:r>
        <w:rPr>
          <w:sz w:val="19"/>
          <w:szCs w:val="19"/>
        </w:rPr>
        <w:t xml:space="preserve">[6]  Ganin, Y., &amp; Lempitsky, V. (2015). Unsupervised Domain Adaptation by Backpropagation. Proceedings of ICML 2015.</w:t>
      </w:r>
    </w:p>
    <w:p>
      <w:pPr>
        <w:spacing w:after="110" w:line="264"/>
        <w:ind w:left="400" w:hanging="400"/>
      </w:pPr>
      <w:r>
        <w:rPr>
          <w:sz w:val="19"/>
          <w:szCs w:val="19"/>
        </w:rPr>
        <w:t xml:space="preserve">[7]  Khosla, P., Teterwak, P., Wang, C., et al. (2020). Supervised Contrastive Learning. Advances in Neural Information Processing Systems 33.</w:t>
      </w:r>
    </w:p>
    <w:p>
      <w:pPr>
        <w:spacing w:after="110" w:line="264"/>
        <w:ind w:left="400" w:hanging="400"/>
      </w:pPr>
      <w:r>
        <w:rPr>
          <w:sz w:val="19"/>
          <w:szCs w:val="19"/>
        </w:rPr>
        <w:t xml:space="preserve">[8]  Schirrmeister, R. T., Springenberg, J. T., Fiederer, L. D. J., et al. (2017). Deep Learning with Convolutional Neural Networks for EEG Decoding and Visualization. Human Brain Mapping, 38(11), 5391–5420.</w:t>
      </w:r>
    </w:p>
    <w:p>
      <w:pPr>
        <w:spacing w:after="110" w:line="264"/>
        <w:ind w:left="400" w:hanging="400"/>
      </w:pPr>
      <w:r>
        <w:rPr>
          <w:sz w:val="19"/>
          <w:szCs w:val="19"/>
        </w:rPr>
        <w:t xml:space="preserve">[9]  Chaisaen, R., et al. (2024). Compact Convolutional Transformer for Subject-Independent Motor Imagery EEG-based BCIs. Scientific Reports, 14.</w:t>
      </w:r>
    </w:p>
    <w:p>
      <w:pPr>
        <w:spacing w:after="110" w:line="264"/>
        <w:ind w:left="400" w:hanging="400"/>
      </w:pPr>
      <w:r>
        <w:rPr>
          <w:sz w:val="19"/>
          <w:szCs w:val="19"/>
        </w:rPr>
        <w:t xml:space="preserve">[10]  Aristimunha, B., Carrara, I., Guetschel, P., et al. (2023). Mother of All BCI Benchmarks (MOABB) and Braindecode. Software frameworks for reproducible EEG decoding.</w:t>
      </w:r>
    </w:p>
    <w:sectPr>
      <w:footerReference w:type="default" r:id="rId7"/>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Phase 2 — Methodology and Implementation Plan  |  Page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Learning-Based Neural Decoder for EEG Motor Imagery — Methodology and Implementation Plan</dc:title>
  <dc:creator>Deep Learning Project — Phase 2</dc:creator>
  <cp:lastModifiedBy>Un-named</cp:lastModifiedBy>
  <cp:revision>1</cp:revision>
  <dcterms:created xsi:type="dcterms:W3CDTF">2026-09-14T16:06:39.607Z</dcterms:created>
  <dcterms:modified xsi:type="dcterms:W3CDTF">2026-09-14T16:06:39.607Z</dcterms:modified>
</cp:coreProperties>
</file>

<file path=docProps/custom.xml><?xml version="1.0" encoding="utf-8"?>
<Properties xmlns="http://schemas.openxmlformats.org/officeDocument/2006/custom-properties" xmlns:vt="http://schemas.openxmlformats.org/officeDocument/2006/docPropsVTypes"/>
</file>