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160"/>
      </w:pPr>
      <w:r>
        <w:rPr>
          <w:rFonts w:ascii="Calibri" w:hAnsi="Calibri"/>
          <w:b/>
          <w:color w:val="1F4E79"/>
          <w:sz w:val="24"/>
        </w:rPr>
        <w:t>AMRITA VISHWA VIDYAPEETHAM</w:t>
        <w:br/>
        <w:t>DEPARTMENT OF CYBER SECURITY</w:t>
      </w:r>
    </w:p>
    <w:p>
      <w:pPr>
        <w:spacing w:after="560"/>
      </w:pPr>
      <w:r>
        <w:rPr>
          <w:rFonts w:ascii="Calibri" w:hAnsi="Calibri"/>
          <w:b/>
          <w:color w:val="0F766E"/>
          <w:sz w:val="26"/>
        </w:rPr>
        <w:t>24CYS401: SECURE SOFTWARE ENGINEERING</w:t>
        <w:br/>
        <w:t>END-SEMESTER LABORATORY EXAMINATION CAPSTONE REPORT</w:t>
      </w:r>
    </w:p>
    <w:p>
      <w:pPr>
        <w:spacing w:after="240"/>
      </w:pPr>
      <w:r>
        <w:rPr>
          <w:rFonts w:ascii="Calibri" w:hAnsi="Calibri"/>
          <w:b/>
          <w:color w:val="17365D"/>
          <w:sz w:val="48"/>
        </w:rPr>
        <w:t>DIGITAL WALLET AND PAYMENT GATEWAY SIMULATOR</w:t>
      </w:r>
    </w:p>
    <w:p>
      <w:pPr>
        <w:spacing w:after="900"/>
      </w:pPr>
      <w:r>
        <w:rPr>
          <w:rFonts w:ascii="Calibri" w:hAnsi="Calibri"/>
          <w:i/>
          <w:color w:val="64748B"/>
          <w:sz w:val="23"/>
        </w:rPr>
        <w:t>A Full-Stack, DevSecOps-Hardened Educational Simulation Demonstrating Double-Spending Elimination, Pessimistic Row Locking, Idempotency Replay Trapping, and End-to-End Cryptographic Audit Integrity</w:t>
      </w:r>
    </w:p>
    <w:tbl>
      <w:tblPr>
        <w:tblW w:type="auto" w:w="0"/>
        <w:jc w:val="center"/>
        <w:tblLayout w:type="fixed"/>
        <w:tblLook w:firstColumn="1" w:firstRow="1" w:lastColumn="0" w:lastRow="0" w:noHBand="0" w:noVBand="1" w:val="04A0"/>
      </w:tblPr>
      <w:tblGrid>
        <w:gridCol w:w="4680"/>
        <w:gridCol w:w="4680"/>
      </w:tblGrid>
      <w:tr>
        <w:tc>
          <w:tcPr>
            <w:tcW w:type="dxa" w:w="3168"/>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9"/>
              </w:rPr>
              <w:t>Attribute</w:t>
            </w:r>
          </w:p>
        </w:tc>
        <w:tc>
          <w:tcPr>
            <w:tcW w:type="dxa" w:w="6192"/>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9"/>
              </w:rPr>
              <w:t>Evaluation Record</w:t>
            </w:r>
          </w:p>
        </w:tc>
      </w:tr>
      <w:tr>
        <w:tc>
          <w:tcPr>
            <w:tcW w:type="dxa" w:w="3168"/>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Author / Candidate:</w:t>
            </w:r>
          </w:p>
        </w:tc>
        <w:tc>
          <w:tcPr>
            <w:tcW w:type="dxa" w:w="6192"/>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Sathvik Valivety (Lead Software Architect &amp; Security Engineer)</w:t>
            </w:r>
          </w:p>
        </w:tc>
      </w:tr>
      <w:tr>
        <w:tc>
          <w:tcPr>
            <w:tcW w:type="dxa" w:w="3168"/>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GitHub Handle:</w:t>
            </w:r>
          </w:p>
        </w:tc>
        <w:tc>
          <w:tcPr>
            <w:tcW w:type="dxa" w:w="6192"/>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@sathvikvalivety</w:t>
            </w:r>
          </w:p>
        </w:tc>
      </w:tr>
      <w:tr>
        <w:tc>
          <w:tcPr>
            <w:tcW w:type="dxa" w:w="3168"/>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Source Repository:</w:t>
            </w:r>
          </w:p>
        </w:tc>
        <w:tc>
          <w:tcPr>
            <w:tcW w:type="dxa" w:w="6192"/>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https://github.com/sathvikvalivety/digital-wallet-and-payment-gateway-simulator</w:t>
            </w:r>
          </w:p>
        </w:tc>
      </w:tr>
      <w:tr>
        <w:tc>
          <w:tcPr>
            <w:tcW w:type="dxa" w:w="3168"/>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Evaluation Cohort:</w:t>
            </w:r>
          </w:p>
        </w:tc>
        <w:tc>
          <w:tcPr>
            <w:tcW w:type="dxa" w:w="6192"/>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24CYS401 Secure Software Engineering Laboratory Exam</w:t>
            </w:r>
          </w:p>
        </w:tc>
      </w:tr>
      <w:tr>
        <w:tc>
          <w:tcPr>
            <w:tcW w:type="dxa" w:w="3168"/>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Implementation Stack:</w:t>
            </w:r>
          </w:p>
        </w:tc>
        <w:tc>
          <w:tcPr>
            <w:tcW w:type="dxa" w:w="6192"/>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Spring Boot 3.3.4 (Java 21), React 18, MariaDB/H2, Docker, Minikube K8s</w:t>
            </w:r>
          </w:p>
        </w:tc>
      </w:tr>
      <w:tr>
        <w:tc>
          <w:tcPr>
            <w:tcW w:type="dxa" w:w="3168"/>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Security Baseline:</w:t>
            </w:r>
          </w:p>
        </w:tc>
        <w:tc>
          <w:tcPr>
            <w:tcW w:type="dxa" w:w="6192"/>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SonarQube LTS Quality Gate PASSED (0 Vulnerabilities, 0 Security Hotspots)</w:t>
            </w:r>
          </w:p>
        </w:tc>
      </w:tr>
      <w:tr>
        <w:tc>
          <w:tcPr>
            <w:tcW w:type="dxa" w:w="3168"/>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Verification Status:</w:t>
            </w:r>
          </w:p>
        </w:tc>
        <w:tc>
          <w:tcPr>
            <w:tcW w:type="dxa" w:w="6192"/>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100% Automated Backend &amp; Live Security Property Verification (0 Failures)</w:t>
            </w:r>
          </w:p>
        </w:tc>
      </w:tr>
    </w:tbl>
    <w:p>
      <w:pPr>
        <w:spacing w:after="120"/>
      </w:pPr>
    </w:p>
    <w:p>
      <w:r>
        <w:br w:type="page"/>
      </w:r>
    </w:p>
    <w:p>
      <w:pPr>
        <w:keepNext/>
        <w:spacing w:before="360" w:after="160"/>
      </w:pPr>
      <w:r>
        <w:rPr>
          <w:rFonts w:ascii="Calibri" w:hAnsi="Calibri"/>
          <w:b/>
          <w:color w:val="17365D"/>
          <w:sz w:val="34"/>
        </w:rPr>
        <w:t>Executive Summary</w:t>
      </w:r>
    </w:p>
    <w:p>
      <w:pPr>
        <w:spacing w:after="100" w:line="276" w:lineRule="auto"/>
      </w:pPr>
      <w:r>
        <w:rPr>
          <w:rFonts w:ascii="Calibri" w:hAnsi="Calibri"/>
          <w:color w:val="172033"/>
          <w:sz w:val="21"/>
        </w:rPr>
        <w:t>The Digital Wallet and Payment Gateway Simulator (DWPG) represents a comprehensive, enterprise-grade software artifact designed and developed to fulfill the rigorous 16-phase examination requirements of 24CYS401: Secure Software Engineering. In strict adherence to pedagogical directives, the system is an educational simulator operating entirely on simulated fiat currency, eliminating real monetary transactions while modeling genuine commercial and financial gateway security controls.</w:t>
      </w:r>
    </w:p>
    <w:p>
      <w:pPr>
        <w:spacing w:after="100" w:line="276" w:lineRule="auto"/>
      </w:pPr>
      <w:r>
        <w:rPr>
          <w:rFonts w:ascii="Calibri" w:hAnsi="Calibri"/>
          <w:color w:val="172033"/>
          <w:sz w:val="21"/>
        </w:rPr>
        <w:t>Financial systems inherently confront hostile operating conditions, including double-spending attacks, replay attacks, race conditions, parameter tampering, Broken Object Level Authorization (BOLA/IDOR), and state-desynchronization frauds. To address these vulnerabilities systematically, the DWPG simulator implements a defense-in-depth architecture combining: (1) MariaDB row-level pessimistic write locking (SELECT ... FOR UPDATE) coupled with striped JVM reentrant locks to guarantee non-negative balance invariants under heavy concurrency; (2) Mandatory client-generated Idempotency-Key headers cryptographically bound to request payload SHA-256 digests to trap replay attempts and prevent duplicate settlement; (3) Strict finite state machine transitions (INITIATED -&gt; CONFIRMED -&gt; REFUNDED) preventing duplicate credit reversals; (4) PBKDF2/BCrypt password hashing at cost factor 12 with HMAC-SHA256 JWT access tokens; and (5) An append-only administrative SIEM audit log that scrubs sensitive payment credentials.</w:t>
      </w:r>
    </w:p>
    <w:tbl>
      <w:tblPr>
        <w:tblW w:type="auto" w:w="0"/>
        <w:jc w:val="center"/>
        <w:tblLayout w:type="fixed"/>
        <w:tblLook w:firstColumn="1" w:firstRow="1" w:lastColumn="0" w:lastRow="0" w:noHBand="0" w:noVBand="1" w:val="04A0"/>
      </w:tblPr>
      <w:tblGrid>
        <w:gridCol w:w="9360"/>
      </w:tblGrid>
      <w:tr>
        <w:tc>
          <w:tcPr>
            <w:tcW w:type="dxa" w:w="9360"/>
            <w:shd w:fill="F1F5F9"/>
            <w:tcBorders>
              <w:top w:val="single" w:sz="4" w:space="0" w:color="1E3A8A"/>
              <w:left w:val="single" w:sz="4" w:space="0" w:color="1E3A8A"/>
              <w:bottom w:val="single" w:sz="4" w:space="0" w:color="CBD5E1"/>
              <w:right w:val="single" w:sz="4" w:space="0" w:color="CBD5E1"/>
            </w:tcBorders>
          </w:tcPr>
          <w:p>
            <w:pPr>
              <w:spacing w:before="80" w:after="40"/>
            </w:pPr>
            <w:r>
              <w:rPr>
                <w:rFonts w:ascii="Calibri" w:hAnsi="Calibri"/>
                <w:b/>
                <w:color w:val="17365D"/>
                <w:sz w:val="20"/>
              </w:rPr>
              <w:t>🛡️  CAPSTONE AUDIT VERDICT: FULLY COMPLIANT</w:t>
              <w:br/>
            </w:r>
            <w:r>
              <w:rPr>
                <w:rFonts w:ascii="Calibri" w:hAnsi="Calibri"/>
                <w:color w:val="172033"/>
                <w:sz w:val="19"/>
              </w:rPr>
              <w:t>All sixteen phases of the Secure Software Engineering curriculum have been completely designed, implemented, containerized, orchestrated, and empirically verified. Automated test suites comprise 25 JUnit 5 backend tests, 9 live REST functional integration tests, and 8 adversarial security property probes—achieving a 100% pass rate with zero vulnerabilities, zero bugs, and zero security hotspots on SonarQube LTS.</w:t>
            </w:r>
          </w:p>
        </w:tc>
      </w:tr>
    </w:tbl>
    <w:p>
      <w:pPr>
        <w:spacing w:after="80"/>
      </w:pPr>
    </w:p>
    <w:p>
      <w:pPr>
        <w:keepNext/>
        <w:spacing w:before="360" w:after="160"/>
      </w:pPr>
      <w:r>
        <w:rPr>
          <w:rFonts w:ascii="Calibri" w:hAnsi="Calibri"/>
          <w:b/>
          <w:color w:val="17365D"/>
          <w:sz w:val="34"/>
        </w:rPr>
        <w:t>1. Introduction</w:t>
      </w:r>
    </w:p>
    <w:p>
      <w:pPr>
        <w:keepNext/>
        <w:spacing w:before="280" w:after="120"/>
      </w:pPr>
      <w:r>
        <w:rPr>
          <w:rFonts w:ascii="Calibri" w:hAnsi="Calibri"/>
          <w:b/>
          <w:color w:val="1F4E79"/>
          <w:sz w:val="26"/>
        </w:rPr>
        <w:t>1.1 Background and Motivation</w:t>
      </w:r>
    </w:p>
    <w:p>
      <w:pPr>
        <w:spacing w:after="100" w:line="276" w:lineRule="auto"/>
      </w:pPr>
      <w:r>
        <w:rPr>
          <w:rFonts w:ascii="Calibri" w:hAnsi="Calibri"/>
          <w:color w:val="172033"/>
          <w:sz w:val="21"/>
        </w:rPr>
        <w:t>Modern financial technology (FinTech) infrastructures handle billions of dollars in daily transactions, making digital wallets and payment gateways prime targets for sophisticated adversarial attacks. Flaws in transaction lifecycle design, state synchronization, or concurrency handling regularly result in multi-million dollar insolvency incidents. The 24CYS401 Secure Software Engineering curriculum emphasizes that security cannot be treated as an afterthought or an isolated audit step; it must be intrinsically embedded across every phase of the software engineering lifecycle—from requirements engineering and threat modeling to build automation, containerization, and static application security testing (SAST).</w:t>
      </w:r>
    </w:p>
    <w:p>
      <w:pPr>
        <w:keepNext/>
        <w:spacing w:before="280" w:after="120"/>
      </w:pPr>
      <w:r>
        <w:rPr>
          <w:rFonts w:ascii="Calibri" w:hAnsi="Calibri"/>
          <w:b/>
          <w:color w:val="1F4E79"/>
          <w:sz w:val="26"/>
        </w:rPr>
        <w:t>1.2 Purpose and Scope</w:t>
      </w:r>
    </w:p>
    <w:p>
      <w:pPr>
        <w:spacing w:after="100" w:line="276" w:lineRule="auto"/>
      </w:pPr>
      <w:r>
        <w:rPr>
          <w:rFonts w:ascii="Calibri" w:hAnsi="Calibri"/>
          <w:color w:val="172033"/>
          <w:sz w:val="21"/>
        </w:rPr>
        <w:t>The primary objective of the Digital Wallet and Payment Gateway Simulator is to establish an end-to-end, reproducible, and verifiable payment ecosystem that demonstrates how rigorous security principles resolve core financial vulnerabilities without relying on external banking rails. The scope encompasses:</w:t>
      </w:r>
    </w:p>
    <w:p>
      <w:pPr>
        <w:spacing w:after="100" w:line="276" w:lineRule="auto"/>
      </w:pPr>
      <w:r>
        <w:rPr>
          <w:rFonts w:ascii="Calibri" w:hAnsi="Calibri"/>
          <w:color w:val="172033"/>
          <w:sz w:val="21"/>
        </w:rPr>
        <w:t>• User and Merchant Lifecycle: Secure registration, NIST SP 800-63B password complexity enforcement, role-based access control (RBAC), and 256-bit API key issuance.</w:t>
      </w:r>
    </w:p>
    <w:p>
      <w:pPr>
        <w:spacing w:after="100" w:line="276" w:lineRule="auto"/>
      </w:pPr>
      <w:r>
        <w:rPr>
          <w:rFonts w:ascii="Calibri" w:hAnsi="Calibri"/>
          <w:color w:val="172033"/>
          <w:sz w:val="21"/>
        </w:rPr>
        <w:t>• Simulated Wallet Operations: Atomic balance provisioning, simulated funds top-ups, and balance ceiling enforcement.</w:t>
      </w:r>
    </w:p>
    <w:p>
      <w:pPr>
        <w:spacing w:after="100" w:line="276" w:lineRule="auto"/>
      </w:pPr>
      <w:r>
        <w:rPr>
          <w:rFonts w:ascii="Calibri" w:hAnsi="Calibri"/>
          <w:color w:val="172033"/>
          <w:sz w:val="21"/>
        </w:rPr>
        <w:t>• Payment Gateway Core: Idempotent payment initiation, HMAC tamper-evident verification, and atomic double-entry ledger debit/credit settlement.</w:t>
      </w:r>
    </w:p>
    <w:p>
      <w:pPr>
        <w:spacing w:after="100" w:line="276" w:lineRule="auto"/>
      </w:pPr>
      <w:r>
        <w:rPr>
          <w:rFonts w:ascii="Calibri" w:hAnsi="Calibri"/>
          <w:color w:val="172033"/>
          <w:sz w:val="21"/>
        </w:rPr>
        <w:t>• Refund &amp; Dispute Resolution: Authorized merchant/customer reversal, multi-step state validation, and prevention of infinite refund abuse.</w:t>
      </w:r>
    </w:p>
    <w:p>
      <w:pPr>
        <w:spacing w:after="100" w:line="276" w:lineRule="auto"/>
      </w:pPr>
      <w:r>
        <w:rPr>
          <w:rFonts w:ascii="Calibri" w:hAnsi="Calibri"/>
          <w:color w:val="172033"/>
          <w:sz w:val="21"/>
        </w:rPr>
        <w:t>• Security Defenses &amp; SIEM: Pessimistic locking concurrency protection, idempotency cache replay traps, and sensitive data scrubbing.</w:t>
      </w:r>
    </w:p>
    <w:p>
      <w:pPr>
        <w:keepNext/>
        <w:spacing w:before="280" w:after="120"/>
      </w:pPr>
      <w:r>
        <w:rPr>
          <w:rFonts w:ascii="Calibri" w:hAnsi="Calibri"/>
          <w:b/>
          <w:color w:val="1F4E79"/>
          <w:sz w:val="26"/>
        </w:rPr>
        <w:t>1.3 Agile Process and Development Approach (Phase 1)</w:t>
      </w:r>
    </w:p>
    <w:p>
      <w:pPr>
        <w:spacing w:after="100" w:line="276" w:lineRule="auto"/>
      </w:pPr>
      <w:r>
        <w:rPr>
          <w:rFonts w:ascii="Calibri" w:hAnsi="Calibri"/>
          <w:color w:val="172033"/>
          <w:sz w:val="21"/>
        </w:rPr>
        <w:t>The project followed an agile Scrum development lifecycle executed across two intensive two-week sprints. Requirements were decomposed into epics, user stories, and acceptance criteria with embedded security acceptance criteria. Agile ceremonies included Sprint Planning, Daily Scrums, Sprint Reviews, and Retrospectives, with engineering progress tracked continuously in Atlassian Jira.</w:t>
      </w:r>
    </w:p>
    <w:p>
      <w:pPr>
        <w:keepNext/>
        <w:spacing w:before="160" w:after="60"/>
        <w:jc w:val="center"/>
      </w:pPr>
      <w:r>
        <w:drawing>
          <wp:inline xmlns:a="http://schemas.openxmlformats.org/drawingml/2006/main" xmlns:pic="http://schemas.openxmlformats.org/drawingml/2006/picture">
            <wp:extent cx="5669280" cy="3239589"/>
            <wp:docPr id="1" name="Picture 1"/>
            <wp:cNvGraphicFramePr>
              <a:graphicFrameLocks noChangeAspect="1"/>
            </wp:cNvGraphicFramePr>
            <a:graphic>
              <a:graphicData uri="http://schemas.openxmlformats.org/drawingml/2006/picture">
                <pic:pic>
                  <pic:nvPicPr>
                    <pic:cNvPr id="0" name="01_agile_lifecycle.png"/>
                    <pic:cNvPicPr/>
                  </pic:nvPicPr>
                  <pic:blipFill>
                    <a:blip r:embed="rId11"/>
                    <a:stretch>
                      <a:fillRect/>
                    </a:stretch>
                  </pic:blipFill>
                  <pic:spPr>
                    <a:xfrm>
                      <a:off x="0" y="0"/>
                      <a:ext cx="5669280" cy="3239589"/>
                    </a:xfrm>
                    <a:prstGeom prst="rect"/>
                  </pic:spPr>
                </pic:pic>
              </a:graphicData>
            </a:graphic>
          </wp:inline>
        </w:drawing>
      </w:r>
    </w:p>
    <w:p>
      <w:pPr>
        <w:spacing w:before="40" w:after="200"/>
        <w:jc w:val="center"/>
      </w:pPr>
      <w:r>
        <w:rPr>
          <w:rFonts w:ascii="Calibri" w:hAnsi="Calibri"/>
          <w:b/>
          <w:color w:val="17365D"/>
          <w:sz w:val="18"/>
        </w:rPr>
        <w:t xml:space="preserve">Figure 1: Agile Secure Software Engineering Lifecycle. </w:t>
      </w:r>
      <w:r>
        <w:rPr>
          <w:rFonts w:ascii="Calibri" w:hAnsi="Calibri"/>
          <w:i/>
          <w:color w:val="64748B"/>
          <w:sz w:val="18"/>
        </w:rPr>
        <w:t>Comprehensive 16-phase development workflow spanning requirements, threat modeling, sprint execution, containerization, and SonarQube SAST verification.</w:t>
      </w:r>
      <w:r>
        <w:rPr>
          <w:rFonts w:ascii="Calibri" w:hAnsi="Calibri"/>
          <w:b/>
          <w:color w:val="0F766E"/>
          <w:sz w:val="17"/>
        </w:rPr>
        <w:t xml:space="preserve"> [Phase 1: Agile Process]</w:t>
      </w:r>
    </w:p>
    <w:p>
      <w:pPr>
        <w:keepNext/>
        <w:spacing w:before="280" w:after="120"/>
      </w:pPr>
      <w:r>
        <w:rPr>
          <w:rFonts w:ascii="Calibri" w:hAnsi="Calibri"/>
          <w:b/>
          <w:color w:val="1F4E79"/>
          <w:sz w:val="26"/>
        </w:rPr>
        <w:t>1.4 Technology Stack and Toolchain</w:t>
      </w:r>
    </w:p>
    <w:tbl>
      <w:tblPr>
        <w:tblW w:type="auto" w:w="0"/>
        <w:jc w:val="center"/>
        <w:tblLayout w:type="fixed"/>
        <w:tblLook w:firstColumn="1" w:firstRow="1" w:lastColumn="0" w:lastRow="0" w:noHBand="0" w:noVBand="1" w:val="04A0"/>
      </w:tblPr>
      <w:tblGrid>
        <w:gridCol w:w="3120"/>
        <w:gridCol w:w="3120"/>
        <w:gridCol w:w="3120"/>
      </w:tblGrid>
      <w:tr>
        <w:tc>
          <w:tcPr>
            <w:tcW w:type="dxa" w:w="2160"/>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9"/>
              </w:rPr>
              <w:t>Layer / Domain</w:t>
            </w:r>
          </w:p>
        </w:tc>
        <w:tc>
          <w:tcPr>
            <w:tcW w:type="dxa" w:w="3168"/>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9"/>
              </w:rPr>
              <w:t>Technology Choice</w:t>
            </w:r>
          </w:p>
        </w:tc>
        <w:tc>
          <w:tcPr>
            <w:tcW w:type="dxa" w:w="4032"/>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9"/>
              </w:rPr>
              <w:t>Security Rationale &amp; Governance</w:t>
            </w:r>
          </w:p>
        </w:tc>
      </w:tr>
      <w:tr>
        <w:tc>
          <w:tcPr>
            <w:tcW w:type="dxa" w:w="2160"/>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Backend Runtime</w:t>
            </w:r>
          </w:p>
        </w:tc>
        <w:tc>
          <w:tcPr>
            <w:tcW w:type="dxa" w:w="3168"/>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Java 21 LTS / Spring Boot 3.3.4</w:t>
            </w:r>
          </w:p>
        </w:tc>
        <w:tc>
          <w:tcPr>
            <w:tcW w:type="dxa" w:w="4032"/>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Strong typing, virtual threads, robust memory safety, enterprise ecosystem.</w:t>
            </w:r>
          </w:p>
        </w:tc>
      </w:tr>
      <w:tr>
        <w:tc>
          <w:tcPr>
            <w:tcW w:type="dxa" w:w="2160"/>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Security Framework</w:t>
            </w:r>
          </w:p>
        </w:tc>
        <w:tc>
          <w:tcPr>
            <w:tcW w:type="dxa" w:w="3168"/>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Spring Security 6 / BCrypt / JWT</w:t>
            </w:r>
          </w:p>
        </w:tc>
        <w:tc>
          <w:tcPr>
            <w:tcW w:type="dxa" w:w="4032"/>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Declarative RBAC, stateless HMAC-SHA256 bearer tokens, OWASP-compliant session control.</w:t>
            </w:r>
          </w:p>
        </w:tc>
      </w:tr>
      <w:tr>
        <w:tc>
          <w:tcPr>
            <w:tcW w:type="dxa" w:w="2160"/>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Persistence Layer</w:t>
            </w:r>
          </w:p>
        </w:tc>
        <w:tc>
          <w:tcPr>
            <w:tcW w:type="dxa" w:w="3168"/>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Spring Data JPA / Hibernate 6</w:t>
            </w:r>
          </w:p>
        </w:tc>
        <w:tc>
          <w:tcPr>
            <w:tcW w:type="dxa" w:w="4032"/>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ORM parameterized queries eliminating SQL injection, optimistic/pessimistic locking APIs.</w:t>
            </w:r>
          </w:p>
        </w:tc>
      </w:tr>
      <w:tr>
        <w:tc>
          <w:tcPr>
            <w:tcW w:type="dxa" w:w="2160"/>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Relational Database</w:t>
            </w:r>
          </w:p>
        </w:tc>
        <w:tc>
          <w:tcPr>
            <w:tcW w:type="dxa" w:w="3168"/>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MariaDB 10.11 / In-Memory H2</w:t>
            </w:r>
          </w:p>
        </w:tc>
        <w:tc>
          <w:tcPr>
            <w:tcW w:type="dxa" w:w="4032"/>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ACID transactional boundaries, row-level SELECT ... FOR UPDATE locking, strict schemas.</w:t>
            </w:r>
          </w:p>
        </w:tc>
      </w:tr>
      <w:tr>
        <w:tc>
          <w:tcPr>
            <w:tcW w:type="dxa" w:w="2160"/>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Frontend UI</w:t>
            </w:r>
          </w:p>
        </w:tc>
        <w:tc>
          <w:tcPr>
            <w:tcW w:type="dxa" w:w="3168"/>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React 18 / Vite SPA</w:t>
            </w:r>
          </w:p>
        </w:tc>
        <w:tc>
          <w:tcPr>
            <w:tcW w:type="dxa" w:w="4032"/>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Modern componentized architecture, automatic XSS context encoding, zero vulnerable dependencies.</w:t>
            </w:r>
          </w:p>
        </w:tc>
      </w:tr>
      <w:tr>
        <w:tc>
          <w:tcPr>
            <w:tcW w:type="dxa" w:w="2160"/>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Containerization</w:t>
            </w:r>
          </w:p>
        </w:tc>
        <w:tc>
          <w:tcPr>
            <w:tcW w:type="dxa" w:w="3168"/>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Docker Multi-Stage (Alpine/Distroless)</w:t>
            </w:r>
          </w:p>
        </w:tc>
        <w:tc>
          <w:tcPr>
            <w:tcW w:type="dxa" w:w="4032"/>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Minimal attack surface, non-root user execution (UID 10001), dropped Linux capabilities.</w:t>
            </w:r>
          </w:p>
        </w:tc>
      </w:tr>
      <w:tr>
        <w:tc>
          <w:tcPr>
            <w:tcW w:type="dxa" w:w="2160"/>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Orchestration</w:t>
            </w:r>
          </w:p>
        </w:tc>
        <w:tc>
          <w:tcPr>
            <w:tcW w:type="dxa" w:w="3168"/>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Kubernetes / Minikube</w:t>
            </w:r>
          </w:p>
        </w:tc>
        <w:tc>
          <w:tcPr>
            <w:tcW w:type="dxa" w:w="4032"/>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Declarative YAML manifests, NetworkPolicy egress/ingress isolation, ConfigMap/Secret decoupling.</w:t>
            </w:r>
          </w:p>
        </w:tc>
      </w:tr>
      <w:tr>
        <w:tc>
          <w:tcPr>
            <w:tcW w:type="dxa" w:w="2160"/>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SAST &amp; Quality Gate</w:t>
            </w:r>
          </w:p>
        </w:tc>
        <w:tc>
          <w:tcPr>
            <w:tcW w:type="dxa" w:w="3168"/>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SonarQube 9.9 LTS / JaCoCo</w:t>
            </w:r>
          </w:p>
        </w:tc>
        <w:tc>
          <w:tcPr>
            <w:tcW w:type="dxa" w:w="4032"/>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Static analysis enforcing zero blocker/critical vulnerabilities, automated coverage metrics.</w:t>
            </w:r>
          </w:p>
        </w:tc>
      </w:tr>
    </w:tbl>
    <w:p>
      <w:pPr>
        <w:spacing w:after="120"/>
      </w:pPr>
    </w:p>
    <w:p>
      <w:pPr>
        <w:keepNext/>
        <w:spacing w:before="360" w:after="160"/>
      </w:pPr>
      <w:r>
        <w:rPr>
          <w:rFonts w:ascii="Calibri" w:hAnsi="Calibri"/>
          <w:b/>
          <w:color w:val="17365D"/>
          <w:sz w:val="34"/>
        </w:rPr>
        <w:t>2. Requirement Engineering (Phase 2)</w:t>
      </w:r>
    </w:p>
    <w:p>
      <w:pPr>
        <w:keepNext/>
        <w:spacing w:before="280" w:after="120"/>
      </w:pPr>
      <w:r>
        <w:rPr>
          <w:rFonts w:ascii="Calibri" w:hAnsi="Calibri"/>
          <w:b/>
          <w:color w:val="1F4E79"/>
          <w:sz w:val="26"/>
        </w:rPr>
        <w:t>2.1 Problem Statement</w:t>
      </w:r>
    </w:p>
    <w:p>
      <w:pPr>
        <w:spacing w:after="100" w:line="276" w:lineRule="auto"/>
      </w:pPr>
      <w:r>
        <w:rPr>
          <w:rFonts w:ascii="Calibri" w:hAnsi="Calibri"/>
          <w:color w:val="172033"/>
          <w:sz w:val="21"/>
        </w:rPr>
        <w:t>Traditional software applications frequently treat payment processing as simple database updates, overlooking the adversarial realities of distributed networks: network latency causing retries, concurrent browser tabs submitting identical forms, and malicious actors intercepting or modifying parameters. Without rigorous idempotency, row-level locking, and strict state machines, systems suffer from double charging, fraudulent overdrafts, and phantom refunds.</w:t>
      </w:r>
    </w:p>
    <w:p>
      <w:pPr>
        <w:keepNext/>
        <w:spacing w:before="280" w:after="120"/>
      </w:pPr>
      <w:r>
        <w:rPr>
          <w:rFonts w:ascii="Calibri" w:hAnsi="Calibri"/>
          <w:b/>
          <w:color w:val="1F4E79"/>
          <w:sz w:val="26"/>
        </w:rPr>
        <w:t>2.2 Functional Requirements (FR)</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152"/>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9"/>
              </w:rPr>
              <w:t>Req ID</w:t>
            </w:r>
          </w:p>
        </w:tc>
        <w:tc>
          <w:tcPr>
            <w:tcW w:type="dxa" w:w="2592"/>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9"/>
              </w:rPr>
              <w:t>Requirement Summary</w:t>
            </w:r>
          </w:p>
        </w:tc>
        <w:tc>
          <w:tcPr>
            <w:tcW w:type="dxa" w:w="3456"/>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9"/>
              </w:rPr>
              <w:t>Operational Scope</w:t>
            </w:r>
          </w:p>
        </w:tc>
        <w:tc>
          <w:tcPr>
            <w:tcW w:type="dxa" w:w="2160"/>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9"/>
              </w:rPr>
              <w:t>Verification Method</w:t>
            </w:r>
          </w:p>
        </w:tc>
      </w:tr>
      <w:tr>
        <w:tc>
          <w:tcPr>
            <w:tcW w:type="dxa" w:w="1152"/>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FR-01</w:t>
            </w:r>
          </w:p>
        </w:tc>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User Registration</w:t>
            </w:r>
          </w:p>
        </w:tc>
        <w:tc>
          <w:tcPr>
            <w:tcW w:type="dxa" w:w="3456"/>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Allow new consumers, merchants, and admins to create accounts.</w:t>
            </w:r>
          </w:p>
        </w:tc>
        <w:tc>
          <w:tcPr>
            <w:tcW w:type="dxa" w:w="2160"/>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REST API / UI form validation</w:t>
            </w:r>
          </w:p>
        </w:tc>
      </w:tr>
      <w:tr>
        <w:tc>
          <w:tcPr>
            <w:tcW w:type="dxa" w:w="1152"/>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FR-02</w:t>
            </w:r>
          </w:p>
        </w:tc>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User Authentication</w:t>
            </w:r>
          </w:p>
        </w:tc>
        <w:tc>
          <w:tcPr>
            <w:tcW w:type="dxa" w:w="3456"/>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Authenticate principals and issue signed HMAC-SHA256 JWT tokens.</w:t>
            </w:r>
          </w:p>
        </w:tc>
        <w:tc>
          <w:tcPr>
            <w:tcW w:type="dxa" w:w="2160"/>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POST /api/auth/login</w:t>
            </w:r>
          </w:p>
        </w:tc>
      </w:tr>
      <w:tr>
        <w:tc>
          <w:tcPr>
            <w:tcW w:type="dxa" w:w="1152"/>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FR-03</w:t>
            </w:r>
          </w:p>
        </w:tc>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Wallet Provisioning</w:t>
            </w:r>
          </w:p>
        </w:tc>
        <w:tc>
          <w:tcPr>
            <w:tcW w:type="dxa" w:w="3456"/>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Provision a simulated digital wallet initialized with $0.00 USD.</w:t>
            </w:r>
          </w:p>
        </w:tc>
        <w:tc>
          <w:tcPr>
            <w:tcW w:type="dxa" w:w="2160"/>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Automatic upon registration</w:t>
            </w:r>
          </w:p>
        </w:tc>
      </w:tr>
      <w:tr>
        <w:tc>
          <w:tcPr>
            <w:tcW w:type="dxa" w:w="1152"/>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FR-04</w:t>
            </w:r>
          </w:p>
        </w:tc>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Simulated Funds Top-Up</w:t>
            </w:r>
          </w:p>
        </w:tc>
        <w:tc>
          <w:tcPr>
            <w:tcW w:type="dxa" w:w="3456"/>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Permit consumers to top up wallet balance with positive simulated funds.</w:t>
            </w:r>
          </w:p>
        </w:tc>
        <w:tc>
          <w:tcPr>
            <w:tcW w:type="dxa" w:w="2160"/>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POST /api/wallets/topup</w:t>
            </w:r>
          </w:p>
        </w:tc>
      </w:tr>
      <w:tr>
        <w:tc>
          <w:tcPr>
            <w:tcW w:type="dxa" w:w="1152"/>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FR-05</w:t>
            </w:r>
          </w:p>
        </w:tc>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Merchant Onboarding</w:t>
            </w:r>
          </w:p>
        </w:tc>
        <w:tc>
          <w:tcPr>
            <w:tcW w:type="dxa" w:w="3456"/>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Enable merchants to register businesses and obtain 256-bit API keys.</w:t>
            </w:r>
          </w:p>
        </w:tc>
        <w:tc>
          <w:tcPr>
            <w:tcW w:type="dxa" w:w="2160"/>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POST /api/merchants/register</w:t>
            </w:r>
          </w:p>
        </w:tc>
      </w:tr>
      <w:tr>
        <w:tc>
          <w:tcPr>
            <w:tcW w:type="dxa" w:w="1152"/>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FR-06</w:t>
            </w:r>
          </w:p>
        </w:tc>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Payment Initiation</w:t>
            </w:r>
          </w:p>
        </w:tc>
        <w:tc>
          <w:tcPr>
            <w:tcW w:type="dxa" w:w="3456"/>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Submit payment with target merchant ID, amount, order reference.</w:t>
            </w:r>
          </w:p>
        </w:tc>
        <w:tc>
          <w:tcPr>
            <w:tcW w:type="dxa" w:w="2160"/>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POST /api/payments/initiate</w:t>
            </w:r>
          </w:p>
        </w:tc>
      </w:tr>
      <w:tr>
        <w:tc>
          <w:tcPr>
            <w:tcW w:type="dxa" w:w="1152"/>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FR-07</w:t>
            </w:r>
          </w:p>
        </w:tc>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Payment Confirmation</w:t>
            </w:r>
          </w:p>
        </w:tc>
        <w:tc>
          <w:tcPr>
            <w:tcW w:type="dxa" w:w="3456"/>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Atomically execute debit on customer and credit on merchant wallet.</w:t>
            </w:r>
          </w:p>
        </w:tc>
        <w:tc>
          <w:tcPr>
            <w:tcW w:type="dxa" w:w="2160"/>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Double-entry ledger commit</w:t>
            </w:r>
          </w:p>
        </w:tc>
      </w:tr>
      <w:tr>
        <w:tc>
          <w:tcPr>
            <w:tcW w:type="dxa" w:w="1152"/>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FR-08</w:t>
            </w:r>
          </w:p>
        </w:tc>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Refund Processing</w:t>
            </w:r>
          </w:p>
        </w:tc>
        <w:tc>
          <w:tcPr>
            <w:tcW w:type="dxa" w:w="3456"/>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Reverse confirmed payments, restoring funds to customer balance.</w:t>
            </w:r>
          </w:p>
        </w:tc>
        <w:tc>
          <w:tcPr>
            <w:tcW w:type="dxa" w:w="2160"/>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POST /api/refunds</w:t>
            </w:r>
          </w:p>
        </w:tc>
      </w:tr>
      <w:tr>
        <w:tc>
          <w:tcPr>
            <w:tcW w:type="dxa" w:w="1152"/>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FR-09</w:t>
            </w:r>
          </w:p>
        </w:tc>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Transaction History</w:t>
            </w:r>
          </w:p>
        </w:tc>
        <w:tc>
          <w:tcPr>
            <w:tcW w:type="dxa" w:w="3456"/>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Provide immutable, paginated ledger entries with tamper-evident hashes.</w:t>
            </w:r>
          </w:p>
        </w:tc>
        <w:tc>
          <w:tcPr>
            <w:tcW w:type="dxa" w:w="2160"/>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GET /api/transactions/my</w:t>
            </w:r>
          </w:p>
        </w:tc>
      </w:tr>
      <w:tr>
        <w:tc>
          <w:tcPr>
            <w:tcW w:type="dxa" w:w="1152"/>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FR-10</w:t>
            </w:r>
          </w:p>
        </w:tc>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Administrative Audit</w:t>
            </w:r>
          </w:p>
        </w:tc>
        <w:tc>
          <w:tcPr>
            <w:tcW w:type="dxa" w:w="3456"/>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Provide compliance auditors with searchable forensic security event logs.</w:t>
            </w:r>
          </w:p>
        </w:tc>
        <w:tc>
          <w:tcPr>
            <w:tcW w:type="dxa" w:w="2160"/>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GET /api/admin/audit-logs</w:t>
            </w:r>
          </w:p>
        </w:tc>
      </w:tr>
    </w:tbl>
    <w:p>
      <w:pPr>
        <w:spacing w:after="120"/>
      </w:pPr>
    </w:p>
    <w:p>
      <w:pPr>
        <w:keepNext/>
        <w:spacing w:before="280" w:after="120"/>
      </w:pPr>
      <w:r>
        <w:rPr>
          <w:rFonts w:ascii="Calibri" w:hAnsi="Calibri"/>
          <w:b/>
          <w:color w:val="1F4E79"/>
          <w:sz w:val="26"/>
        </w:rPr>
        <w:t>2.3 Security Requirements (SR)</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152"/>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9"/>
              </w:rPr>
              <w:t>Sec ID</w:t>
            </w:r>
          </w:p>
        </w:tc>
        <w:tc>
          <w:tcPr>
            <w:tcW w:type="dxa" w:w="2592"/>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9"/>
              </w:rPr>
              <w:t>Security Principle</w:t>
            </w:r>
          </w:p>
        </w:tc>
        <w:tc>
          <w:tcPr>
            <w:tcW w:type="dxa" w:w="3456"/>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9"/>
              </w:rPr>
              <w:t>Enforcement Mechanism</w:t>
            </w:r>
          </w:p>
        </w:tc>
        <w:tc>
          <w:tcPr>
            <w:tcW w:type="dxa" w:w="2160"/>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9"/>
              </w:rPr>
              <w:t>Mitigated Threat</w:t>
            </w:r>
          </w:p>
        </w:tc>
      </w:tr>
      <w:tr>
        <w:tc>
          <w:tcPr>
            <w:tcW w:type="dxa" w:w="1152"/>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SR-01</w:t>
            </w:r>
          </w:p>
        </w:tc>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Credential Confidentiality</w:t>
            </w:r>
          </w:p>
        </w:tc>
        <w:tc>
          <w:tcPr>
            <w:tcW w:type="dxa" w:w="3456"/>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BCrypt hashing (cost 12), zero plaintext password storage.</w:t>
            </w:r>
          </w:p>
        </w:tc>
        <w:tc>
          <w:tcPr>
            <w:tcW w:type="dxa" w:w="2160"/>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Database breach credential theft</w:t>
            </w:r>
          </w:p>
        </w:tc>
      </w:tr>
      <w:tr>
        <w:tc>
          <w:tcPr>
            <w:tcW w:type="dxa" w:w="1152"/>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SR-02</w:t>
            </w:r>
          </w:p>
        </w:tc>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Stateless Session Integrity</w:t>
            </w:r>
          </w:p>
        </w:tc>
        <w:tc>
          <w:tcPr>
            <w:tcW w:type="dxa" w:w="3456"/>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Signed JWT tokens with expiry; Authorization header Bearer token.</w:t>
            </w:r>
          </w:p>
        </w:tc>
        <w:tc>
          <w:tcPr>
            <w:tcW w:type="dxa" w:w="2160"/>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Session hijacking / Replay</w:t>
            </w:r>
          </w:p>
        </w:tc>
      </w:tr>
      <w:tr>
        <w:tc>
          <w:tcPr>
            <w:tcW w:type="dxa" w:w="1152"/>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SR-03</w:t>
            </w:r>
          </w:p>
        </w:tc>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Idempotency Enactment</w:t>
            </w:r>
          </w:p>
        </w:tc>
        <w:tc>
          <w:tcPr>
            <w:tcW w:type="dxa" w:w="3456"/>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Mandatory Idempotency-Key header; SHA-256 payload binding.</w:t>
            </w:r>
          </w:p>
        </w:tc>
        <w:tc>
          <w:tcPr>
            <w:tcW w:type="dxa" w:w="2160"/>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Duplicate debit / Network retry replay</w:t>
            </w:r>
          </w:p>
        </w:tc>
      </w:tr>
      <w:tr>
        <w:tc>
          <w:tcPr>
            <w:tcW w:type="dxa" w:w="1152"/>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SR-04</w:t>
            </w:r>
          </w:p>
        </w:tc>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Race Condition Prevention</w:t>
            </w:r>
          </w:p>
        </w:tc>
        <w:tc>
          <w:tcPr>
            <w:tcW w:type="dxa" w:w="3456"/>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Pessimistic row locking (PESSIMISTIC_WRITE) on wallet records.</w:t>
            </w:r>
          </w:p>
        </w:tc>
        <w:tc>
          <w:tcPr>
            <w:tcW w:type="dxa" w:w="2160"/>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Concurrent overdraft / Double spending</w:t>
            </w:r>
          </w:p>
        </w:tc>
      </w:tr>
      <w:tr>
        <w:tc>
          <w:tcPr>
            <w:tcW w:type="dxa" w:w="1152"/>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SR-05</w:t>
            </w:r>
          </w:p>
        </w:tc>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BOLA / IDOR Defense</w:t>
            </w:r>
          </w:p>
        </w:tc>
        <w:tc>
          <w:tcPr>
            <w:tcW w:type="dxa" w:w="3456"/>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Ownership validation preventing principal access to foreign wallets.</w:t>
            </w:r>
          </w:p>
        </w:tc>
        <w:tc>
          <w:tcPr>
            <w:tcW w:type="dxa" w:w="2160"/>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Broken Object Level Authorization</w:t>
            </w:r>
          </w:p>
        </w:tc>
      </w:tr>
      <w:tr>
        <w:tc>
          <w:tcPr>
            <w:tcW w:type="dxa" w:w="1152"/>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SR-06</w:t>
            </w:r>
          </w:p>
        </w:tc>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State Transition Guard</w:t>
            </w:r>
          </w:p>
        </w:tc>
        <w:tc>
          <w:tcPr>
            <w:tcW w:type="dxa" w:w="3456"/>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Strict FSM: Only CONFIRMED payments can transition to REFUNDED.</w:t>
            </w:r>
          </w:p>
        </w:tc>
        <w:tc>
          <w:tcPr>
            <w:tcW w:type="dxa" w:w="2160"/>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Infinite refund loop / Fraudulent reversals</w:t>
            </w:r>
          </w:p>
        </w:tc>
      </w:tr>
      <w:tr>
        <w:tc>
          <w:tcPr>
            <w:tcW w:type="dxa" w:w="1152"/>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SR-07</w:t>
            </w:r>
          </w:p>
        </w:tc>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Sensitive Data Scrubbing</w:t>
            </w:r>
          </w:p>
        </w:tc>
        <w:tc>
          <w:tcPr>
            <w:tcW w:type="dxa" w:w="3456"/>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Centralized regex redaction of PAN, CVV, and passwords in logs.</w:t>
            </w:r>
          </w:p>
        </w:tc>
        <w:tc>
          <w:tcPr>
            <w:tcW w:type="dxa" w:w="2160"/>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Log leakage / Forensic contamination</w:t>
            </w:r>
          </w:p>
        </w:tc>
      </w:tr>
      <w:tr>
        <w:tc>
          <w:tcPr>
            <w:tcW w:type="dxa" w:w="1152"/>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SR-08</w:t>
            </w:r>
          </w:p>
        </w:tc>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Least Privilege Runtime</w:t>
            </w:r>
          </w:p>
        </w:tc>
        <w:tc>
          <w:tcPr>
            <w:tcW w:type="dxa" w:w="3456"/>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Docker non-root execution (UID 10001); dropped Linux capabilities.</w:t>
            </w:r>
          </w:p>
        </w:tc>
        <w:tc>
          <w:tcPr>
            <w:tcW w:type="dxa" w:w="2160"/>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Container breakout / Host takeover</w:t>
            </w:r>
          </w:p>
        </w:tc>
      </w:tr>
    </w:tbl>
    <w:p>
      <w:pPr>
        <w:spacing w:after="120"/>
      </w:pPr>
    </w:p>
    <w:p>
      <w:pPr>
        <w:keepNext/>
        <w:spacing w:before="360" w:after="160"/>
      </w:pPr>
      <w:r>
        <w:rPr>
          <w:rFonts w:ascii="Calibri" w:hAnsi="Calibri"/>
          <w:b/>
          <w:color w:val="17365D"/>
          <w:sz w:val="34"/>
        </w:rPr>
        <w:t>3. Requirements Analysis and UML (Phase 3)</w:t>
      </w:r>
    </w:p>
    <w:p>
      <w:pPr>
        <w:keepNext/>
        <w:spacing w:before="280" w:after="120"/>
      </w:pPr>
      <w:r>
        <w:rPr>
          <w:rFonts w:ascii="Calibri" w:hAnsi="Calibri"/>
          <w:b/>
          <w:color w:val="1F4E79"/>
          <w:sz w:val="26"/>
        </w:rPr>
        <w:t>3.1 System Context and Actor Hierarchy</w:t>
      </w:r>
    </w:p>
    <w:p>
      <w:pPr>
        <w:spacing w:after="100" w:line="276" w:lineRule="auto"/>
      </w:pPr>
      <w:r>
        <w:rPr>
          <w:rFonts w:ascii="Calibri" w:hAnsi="Calibri"/>
          <w:color w:val="172033"/>
          <w:sz w:val="21"/>
        </w:rPr>
        <w:t>The DWPG Simulator defines four primary human and systemic actors: (1) Consumer / Customer User who manages personal funds and initiates checkouts; (2) Registered Merchant who accepts payments and issues authorized refunds; (3) Compliance Auditor / Admin who inspects forensic logs and monitors security alerts; and (4) Adversary / Attacker attempting replay attacks, race conditions, and parameter tampering.</w:t>
      </w:r>
    </w:p>
    <w:p>
      <w:pPr>
        <w:keepNext/>
        <w:spacing w:before="160" w:after="60"/>
        <w:jc w:val="center"/>
      </w:pPr>
      <w:r>
        <w:drawing>
          <wp:inline xmlns:a="http://schemas.openxmlformats.org/drawingml/2006/main" xmlns:pic="http://schemas.openxmlformats.org/drawingml/2006/picture">
            <wp:extent cx="5669280" cy="3239589"/>
            <wp:docPr id="2" name="Picture 2"/>
            <wp:cNvGraphicFramePr>
              <a:graphicFrameLocks noChangeAspect="1"/>
            </wp:cNvGraphicFramePr>
            <a:graphic>
              <a:graphicData uri="http://schemas.openxmlformats.org/drawingml/2006/picture">
                <pic:pic>
                  <pic:nvPicPr>
                    <pic:cNvPr id="0" name="02_system_context.png"/>
                    <pic:cNvPicPr/>
                  </pic:nvPicPr>
                  <pic:blipFill>
                    <a:blip r:embed="rId12"/>
                    <a:stretch>
                      <a:fillRect/>
                    </a:stretch>
                  </pic:blipFill>
                  <pic:spPr>
                    <a:xfrm>
                      <a:off x="0" y="0"/>
                      <a:ext cx="5669280" cy="3239589"/>
                    </a:xfrm>
                    <a:prstGeom prst="rect"/>
                  </pic:spPr>
                </pic:pic>
              </a:graphicData>
            </a:graphic>
          </wp:inline>
        </w:drawing>
      </w:r>
    </w:p>
    <w:p>
      <w:pPr>
        <w:spacing w:before="40" w:after="200"/>
        <w:jc w:val="center"/>
      </w:pPr>
      <w:r>
        <w:rPr>
          <w:rFonts w:ascii="Calibri" w:hAnsi="Calibri"/>
          <w:b/>
          <w:color w:val="17365D"/>
          <w:sz w:val="18"/>
        </w:rPr>
        <w:t xml:space="preserve">Figure 2: DWPG System Context Architecture. </w:t>
      </w:r>
      <w:r>
        <w:rPr>
          <w:rFonts w:ascii="Calibri" w:hAnsi="Calibri"/>
          <w:i/>
          <w:color w:val="64748B"/>
          <w:sz w:val="18"/>
        </w:rPr>
        <w:t>Boundary context illustrating interaction between actors, REST API boundary, core business micro-modules, and isolated data tier.</w:t>
      </w:r>
      <w:r>
        <w:rPr>
          <w:rFonts w:ascii="Calibri" w:hAnsi="Calibri"/>
          <w:b/>
          <w:color w:val="0F766E"/>
          <w:sz w:val="17"/>
        </w:rPr>
        <w:t xml:space="preserve"> [Phase 3: System Context]</w:t>
      </w:r>
    </w:p>
    <w:p>
      <w:pPr>
        <w:keepNext/>
        <w:spacing w:before="160" w:after="60"/>
        <w:jc w:val="center"/>
      </w:pPr>
      <w:r>
        <w:drawing>
          <wp:inline xmlns:a="http://schemas.openxmlformats.org/drawingml/2006/main" xmlns:pic="http://schemas.openxmlformats.org/drawingml/2006/picture">
            <wp:extent cx="5669280" cy="3239589"/>
            <wp:docPr id="3" name="Picture 3"/>
            <wp:cNvGraphicFramePr>
              <a:graphicFrameLocks noChangeAspect="1"/>
            </wp:cNvGraphicFramePr>
            <a:graphic>
              <a:graphicData uri="http://schemas.openxmlformats.org/drawingml/2006/picture">
                <pic:pic>
                  <pic:nvPicPr>
                    <pic:cNvPr id="0" name="03_use_case.png"/>
                    <pic:cNvPicPr/>
                  </pic:nvPicPr>
                  <pic:blipFill>
                    <a:blip r:embed="rId13"/>
                    <a:stretch>
                      <a:fillRect/>
                    </a:stretch>
                  </pic:blipFill>
                  <pic:spPr>
                    <a:xfrm>
                      <a:off x="0" y="0"/>
                      <a:ext cx="5669280" cy="3239589"/>
                    </a:xfrm>
                    <a:prstGeom prst="rect"/>
                  </pic:spPr>
                </pic:pic>
              </a:graphicData>
            </a:graphic>
          </wp:inline>
        </w:drawing>
      </w:r>
    </w:p>
    <w:p>
      <w:pPr>
        <w:spacing w:before="40" w:after="200"/>
        <w:jc w:val="center"/>
      </w:pPr>
      <w:r>
        <w:rPr>
          <w:rFonts w:ascii="Calibri" w:hAnsi="Calibri"/>
          <w:b/>
          <w:color w:val="17365D"/>
          <w:sz w:val="18"/>
        </w:rPr>
        <w:t xml:space="preserve">Figure 3: UML Use Case Diagram. </w:t>
      </w:r>
      <w:r>
        <w:rPr>
          <w:rFonts w:ascii="Calibri" w:hAnsi="Calibri"/>
          <w:i/>
          <w:color w:val="64748B"/>
          <w:sz w:val="18"/>
        </w:rPr>
        <w:t>Actor-to-use-case associations highlighting core functional cases and &lt;&lt;include&gt;&gt; security validation relationships.</w:t>
      </w:r>
      <w:r>
        <w:rPr>
          <w:rFonts w:ascii="Calibri" w:hAnsi="Calibri"/>
          <w:b/>
          <w:color w:val="0F766E"/>
          <w:sz w:val="17"/>
        </w:rPr>
        <w:t xml:space="preserve"> [Phase 3: Use Case Model]</w:t>
      </w:r>
    </w:p>
    <w:p>
      <w:pPr>
        <w:keepNext/>
        <w:spacing w:before="280" w:after="120"/>
      </w:pPr>
      <w:r>
        <w:rPr>
          <w:rFonts w:ascii="Calibri" w:hAnsi="Calibri"/>
          <w:b/>
          <w:color w:val="1F4E79"/>
          <w:sz w:val="26"/>
        </w:rPr>
        <w:t>3.2 Analysis Model and Behavioral Sequence</w:t>
      </w:r>
    </w:p>
    <w:p>
      <w:pPr>
        <w:spacing w:after="100" w:line="276" w:lineRule="auto"/>
      </w:pPr>
      <w:r>
        <w:rPr>
          <w:rFonts w:ascii="Calibri" w:hAnsi="Calibri"/>
          <w:color w:val="172033"/>
          <w:sz w:val="21"/>
        </w:rPr>
        <w:t>The static analysis model categorizes software elements into Boundary, Control, and Entity stereotyping. Dynamic interactions are captured via detailed sequence diagrams modeling transactional atomicity and cryptographic authentication.</w:t>
      </w:r>
    </w:p>
    <w:p>
      <w:pPr>
        <w:keepNext/>
        <w:spacing w:before="160" w:after="60"/>
        <w:jc w:val="center"/>
      </w:pPr>
      <w:r>
        <w:drawing>
          <wp:inline xmlns:a="http://schemas.openxmlformats.org/drawingml/2006/main" xmlns:pic="http://schemas.openxmlformats.org/drawingml/2006/picture">
            <wp:extent cx="5669280" cy="3239589"/>
            <wp:docPr id="4" name="Picture 4"/>
            <wp:cNvGraphicFramePr>
              <a:graphicFrameLocks noChangeAspect="1"/>
            </wp:cNvGraphicFramePr>
            <a:graphic>
              <a:graphicData uri="http://schemas.openxmlformats.org/drawingml/2006/picture">
                <pic:pic>
                  <pic:nvPicPr>
                    <pic:cNvPr id="0" name="04_analysis_model.png"/>
                    <pic:cNvPicPr/>
                  </pic:nvPicPr>
                  <pic:blipFill>
                    <a:blip r:embed="rId14"/>
                    <a:stretch>
                      <a:fillRect/>
                    </a:stretch>
                  </pic:blipFill>
                  <pic:spPr>
                    <a:xfrm>
                      <a:off x="0" y="0"/>
                      <a:ext cx="5669280" cy="3239589"/>
                    </a:xfrm>
                    <a:prstGeom prst="rect"/>
                  </pic:spPr>
                </pic:pic>
              </a:graphicData>
            </a:graphic>
          </wp:inline>
        </w:drawing>
      </w:r>
    </w:p>
    <w:p>
      <w:pPr>
        <w:spacing w:before="40" w:after="200"/>
        <w:jc w:val="center"/>
      </w:pPr>
      <w:r>
        <w:rPr>
          <w:rFonts w:ascii="Calibri" w:hAnsi="Calibri"/>
          <w:b/>
          <w:color w:val="17365D"/>
          <w:sz w:val="18"/>
        </w:rPr>
        <w:t xml:space="preserve">Figure 4: Robustness Analysis Model. </w:t>
      </w:r>
      <w:r>
        <w:rPr>
          <w:rFonts w:ascii="Calibri" w:hAnsi="Calibri"/>
          <w:i/>
          <w:color w:val="64748B"/>
          <w:sz w:val="18"/>
        </w:rPr>
        <w:t>BCE (Boundary-Control-Entity) decomposition of the payment checkout and dispute subsystems.</w:t>
      </w:r>
      <w:r>
        <w:rPr>
          <w:rFonts w:ascii="Calibri" w:hAnsi="Calibri"/>
          <w:b/>
          <w:color w:val="0F766E"/>
          <w:sz w:val="17"/>
        </w:rPr>
        <w:t xml:space="preserve"> [Phase 3: Analysis Model]</w:t>
      </w:r>
    </w:p>
    <w:p>
      <w:pPr>
        <w:keepNext/>
        <w:spacing w:before="160" w:after="60"/>
        <w:jc w:val="center"/>
      </w:pPr>
      <w:r>
        <w:drawing>
          <wp:inline xmlns:a="http://schemas.openxmlformats.org/drawingml/2006/main" xmlns:pic="http://schemas.openxmlformats.org/drawingml/2006/picture">
            <wp:extent cx="5669280" cy="3239589"/>
            <wp:docPr id="5" name="Picture 5"/>
            <wp:cNvGraphicFramePr>
              <a:graphicFrameLocks noChangeAspect="1"/>
            </wp:cNvGraphicFramePr>
            <a:graphic>
              <a:graphicData uri="http://schemas.openxmlformats.org/drawingml/2006/picture">
                <pic:pic>
                  <pic:nvPicPr>
                    <pic:cNvPr id="0" name="12_payment_sequence.png"/>
                    <pic:cNvPicPr/>
                  </pic:nvPicPr>
                  <pic:blipFill>
                    <a:blip r:embed="rId15"/>
                    <a:stretch>
                      <a:fillRect/>
                    </a:stretch>
                  </pic:blipFill>
                  <pic:spPr>
                    <a:xfrm>
                      <a:off x="0" y="0"/>
                      <a:ext cx="5669280" cy="3239589"/>
                    </a:xfrm>
                    <a:prstGeom prst="rect"/>
                  </pic:spPr>
                </pic:pic>
              </a:graphicData>
            </a:graphic>
          </wp:inline>
        </w:drawing>
      </w:r>
    </w:p>
    <w:p>
      <w:pPr>
        <w:spacing w:before="40" w:after="200"/>
        <w:jc w:val="center"/>
      </w:pPr>
      <w:r>
        <w:rPr>
          <w:rFonts w:ascii="Calibri" w:hAnsi="Calibri"/>
          <w:b/>
          <w:color w:val="17365D"/>
          <w:sz w:val="18"/>
        </w:rPr>
        <w:t xml:space="preserve">Figure 5: UML Sequence Diagram: Idempotent Payment Settlement. </w:t>
      </w:r>
      <w:r>
        <w:rPr>
          <w:rFonts w:ascii="Calibri" w:hAnsi="Calibri"/>
          <w:i/>
          <w:color w:val="64748B"/>
          <w:sz w:val="18"/>
        </w:rPr>
        <w:t>Chronological interaction between Customer, PaymentController, IdempotencyService, WalletService, and MariaDB showing row locking and commit boundaries.</w:t>
      </w:r>
      <w:r>
        <w:rPr>
          <w:rFonts w:ascii="Calibri" w:hAnsi="Calibri"/>
          <w:b/>
          <w:color w:val="0F766E"/>
          <w:sz w:val="17"/>
        </w:rPr>
        <w:t xml:space="preserve"> [Phase 3: Payment Sequence]</w:t>
      </w:r>
    </w:p>
    <w:p>
      <w:pPr>
        <w:keepNext/>
        <w:spacing w:before="160" w:after="60"/>
        <w:jc w:val="center"/>
      </w:pPr>
      <w:r>
        <w:drawing>
          <wp:inline xmlns:a="http://schemas.openxmlformats.org/drawingml/2006/main" xmlns:pic="http://schemas.openxmlformats.org/drawingml/2006/picture">
            <wp:extent cx="5669280" cy="3239589"/>
            <wp:docPr id="6" name="Picture 6"/>
            <wp:cNvGraphicFramePr>
              <a:graphicFrameLocks noChangeAspect="1"/>
            </wp:cNvGraphicFramePr>
            <a:graphic>
              <a:graphicData uri="http://schemas.openxmlformats.org/drawingml/2006/picture">
                <pic:pic>
                  <pic:nvPicPr>
                    <pic:cNvPr id="0" name="13_auth_sequence.png"/>
                    <pic:cNvPicPr/>
                  </pic:nvPicPr>
                  <pic:blipFill>
                    <a:blip r:embed="rId16"/>
                    <a:stretch>
                      <a:fillRect/>
                    </a:stretch>
                  </pic:blipFill>
                  <pic:spPr>
                    <a:xfrm>
                      <a:off x="0" y="0"/>
                      <a:ext cx="5669280" cy="3239589"/>
                    </a:xfrm>
                    <a:prstGeom prst="rect"/>
                  </pic:spPr>
                </pic:pic>
              </a:graphicData>
            </a:graphic>
          </wp:inline>
        </w:drawing>
      </w:r>
    </w:p>
    <w:p>
      <w:pPr>
        <w:spacing w:before="40" w:after="200"/>
        <w:jc w:val="center"/>
      </w:pPr>
      <w:r>
        <w:rPr>
          <w:rFonts w:ascii="Calibri" w:hAnsi="Calibri"/>
          <w:b/>
          <w:color w:val="17365D"/>
          <w:sz w:val="18"/>
        </w:rPr>
        <w:t xml:space="preserve">Figure 6: UML Sequence Diagram: JWT Authentication &amp; RBAC. </w:t>
      </w:r>
      <w:r>
        <w:rPr>
          <w:rFonts w:ascii="Calibri" w:hAnsi="Calibri"/>
          <w:i/>
          <w:color w:val="64748B"/>
          <w:sz w:val="18"/>
        </w:rPr>
        <w:t>Step-by-step authentication protocol including BCrypt verification, JWT token minting, and Bearer token filter validation.</w:t>
      </w:r>
      <w:r>
        <w:rPr>
          <w:rFonts w:ascii="Calibri" w:hAnsi="Calibri"/>
          <w:b/>
          <w:color w:val="0F766E"/>
          <w:sz w:val="17"/>
        </w:rPr>
        <w:t xml:space="preserve"> [Phase 3: Auth Sequence]</w:t>
      </w:r>
    </w:p>
    <w:p>
      <w:pPr>
        <w:keepNext/>
        <w:spacing w:before="360" w:after="160"/>
      </w:pPr>
      <w:r>
        <w:rPr>
          <w:rFonts w:ascii="Calibri" w:hAnsi="Calibri"/>
          <w:b/>
          <w:color w:val="17365D"/>
          <w:sz w:val="34"/>
        </w:rPr>
        <w:t>4. Data and Information Flow Modeling (Phase 4)</w:t>
      </w:r>
    </w:p>
    <w:p>
      <w:pPr>
        <w:keepNext/>
        <w:spacing w:before="280" w:after="120"/>
      </w:pPr>
      <w:r>
        <w:rPr>
          <w:rFonts w:ascii="Calibri" w:hAnsi="Calibri"/>
          <w:b/>
          <w:color w:val="1F4E79"/>
          <w:sz w:val="26"/>
        </w:rPr>
        <w:t>4.1 Entity Relationship Diagram (ERD)</w:t>
      </w:r>
    </w:p>
    <w:p>
      <w:pPr>
        <w:spacing w:after="100" w:line="276" w:lineRule="auto"/>
      </w:pPr>
      <w:r>
        <w:rPr>
          <w:rFonts w:ascii="Calibri" w:hAnsi="Calibri"/>
          <w:color w:val="172033"/>
          <w:sz w:val="21"/>
        </w:rPr>
        <w:t>The database architecture enforces strict third normal form (3NF) principles across 8 relational tables. Crucially, the schema enforces database-level check constraints (e.g. balance &gt;= 0.00) ensuring that even in the unlikely event of an unhandled application exception, the database engine physically rejects negative balance mutations.</w:t>
      </w:r>
    </w:p>
    <w:p>
      <w:pPr>
        <w:keepNext/>
        <w:spacing w:before="160" w:after="60"/>
        <w:jc w:val="center"/>
      </w:pPr>
      <w:r>
        <w:drawing>
          <wp:inline xmlns:a="http://schemas.openxmlformats.org/drawingml/2006/main" xmlns:pic="http://schemas.openxmlformats.org/drawingml/2006/picture">
            <wp:extent cx="5669280" cy="3239589"/>
            <wp:docPr id="7" name="Picture 7"/>
            <wp:cNvGraphicFramePr>
              <a:graphicFrameLocks noChangeAspect="1"/>
            </wp:cNvGraphicFramePr>
            <a:graphic>
              <a:graphicData uri="http://schemas.openxmlformats.org/drawingml/2006/picture">
                <pic:pic>
                  <pic:nvPicPr>
                    <pic:cNvPr id="0" name="05_erd.png"/>
                    <pic:cNvPicPr/>
                  </pic:nvPicPr>
                  <pic:blipFill>
                    <a:blip r:embed="rId17"/>
                    <a:stretch>
                      <a:fillRect/>
                    </a:stretch>
                  </pic:blipFill>
                  <pic:spPr>
                    <a:xfrm>
                      <a:off x="0" y="0"/>
                      <a:ext cx="5669280" cy="3239589"/>
                    </a:xfrm>
                    <a:prstGeom prst="rect"/>
                  </pic:spPr>
                </pic:pic>
              </a:graphicData>
            </a:graphic>
          </wp:inline>
        </w:drawing>
      </w:r>
    </w:p>
    <w:p>
      <w:pPr>
        <w:spacing w:before="40" w:after="200"/>
        <w:jc w:val="center"/>
      </w:pPr>
      <w:r>
        <w:rPr>
          <w:rFonts w:ascii="Calibri" w:hAnsi="Calibri"/>
          <w:b/>
          <w:color w:val="17365D"/>
          <w:sz w:val="18"/>
        </w:rPr>
        <w:t xml:space="preserve">Figure 7: Entity Relationship Diagram (ERD). </w:t>
      </w:r>
      <w:r>
        <w:rPr>
          <w:rFonts w:ascii="Calibri" w:hAnsi="Calibri"/>
          <w:i/>
          <w:color w:val="64748B"/>
          <w:sz w:val="18"/>
        </w:rPr>
        <w:t>Relational schema illustrating User, Wallet, Merchant, Payment, Refund, Transaction, AuditLog, and IdempotencyRecord entities.</w:t>
      </w:r>
      <w:r>
        <w:rPr>
          <w:rFonts w:ascii="Calibri" w:hAnsi="Calibri"/>
          <w:b/>
          <w:color w:val="0F766E"/>
          <w:sz w:val="17"/>
        </w:rPr>
        <w:t xml:space="preserve"> [Phase 4: Data Modeling]</w:t>
      </w:r>
    </w:p>
    <w:p>
      <w:pPr>
        <w:keepNext/>
        <w:spacing w:before="280" w:after="120"/>
      </w:pPr>
      <w:r>
        <w:rPr>
          <w:rFonts w:ascii="Calibri" w:hAnsi="Calibri"/>
          <w:b/>
          <w:color w:val="1F4E79"/>
          <w:sz w:val="26"/>
        </w:rPr>
        <w:t>4.2 Data Flow Diagrams (DFD Level 0 &amp; Level 1)</w:t>
      </w:r>
    </w:p>
    <w:p>
      <w:pPr>
        <w:spacing w:after="100" w:line="276" w:lineRule="auto"/>
      </w:pPr>
      <w:r>
        <w:rPr>
          <w:rFonts w:ascii="Calibri" w:hAnsi="Calibri"/>
          <w:color w:val="172033"/>
          <w:sz w:val="21"/>
        </w:rPr>
        <w:t>Data flow modeling tracks the lifecycle of sensitive financial information as it crosses trust boundaries from external HTTPS clients into core transactional engines and storage subsystems.</w:t>
      </w:r>
    </w:p>
    <w:p>
      <w:pPr>
        <w:keepNext/>
        <w:spacing w:before="160" w:after="60"/>
        <w:jc w:val="center"/>
      </w:pPr>
      <w:r>
        <w:drawing>
          <wp:inline xmlns:a="http://schemas.openxmlformats.org/drawingml/2006/main" xmlns:pic="http://schemas.openxmlformats.org/drawingml/2006/picture">
            <wp:extent cx="5669280" cy="3239589"/>
            <wp:docPr id="8" name="Picture 8"/>
            <wp:cNvGraphicFramePr>
              <a:graphicFrameLocks noChangeAspect="1"/>
            </wp:cNvGraphicFramePr>
            <a:graphic>
              <a:graphicData uri="http://schemas.openxmlformats.org/drawingml/2006/picture">
                <pic:pic>
                  <pic:nvPicPr>
                    <pic:cNvPr id="0" name="06_dfd_level0.png"/>
                    <pic:cNvPicPr/>
                  </pic:nvPicPr>
                  <pic:blipFill>
                    <a:blip r:embed="rId18"/>
                    <a:stretch>
                      <a:fillRect/>
                    </a:stretch>
                  </pic:blipFill>
                  <pic:spPr>
                    <a:xfrm>
                      <a:off x="0" y="0"/>
                      <a:ext cx="5669280" cy="3239589"/>
                    </a:xfrm>
                    <a:prstGeom prst="rect"/>
                  </pic:spPr>
                </pic:pic>
              </a:graphicData>
            </a:graphic>
          </wp:inline>
        </w:drawing>
      </w:r>
    </w:p>
    <w:p>
      <w:pPr>
        <w:spacing w:before="40" w:after="200"/>
        <w:jc w:val="center"/>
      </w:pPr>
      <w:r>
        <w:rPr>
          <w:rFonts w:ascii="Calibri" w:hAnsi="Calibri"/>
          <w:b/>
          <w:color w:val="17365D"/>
          <w:sz w:val="18"/>
        </w:rPr>
        <w:t xml:space="preserve">Figure 8: DFD Level 0: System Context Data Flow. </w:t>
      </w:r>
      <w:r>
        <w:rPr>
          <w:rFonts w:ascii="Calibri" w:hAnsi="Calibri"/>
          <w:i/>
          <w:color w:val="64748B"/>
          <w:sz w:val="18"/>
        </w:rPr>
        <w:t>High-level process flow showing principal inputs, transactional mutations, and external data storage sinks.</w:t>
      </w:r>
      <w:r>
        <w:rPr>
          <w:rFonts w:ascii="Calibri" w:hAnsi="Calibri"/>
          <w:b/>
          <w:color w:val="0F766E"/>
          <w:sz w:val="17"/>
        </w:rPr>
        <w:t xml:space="preserve"> [Phase 4: DFD Level 0]</w:t>
      </w:r>
    </w:p>
    <w:p>
      <w:pPr>
        <w:keepNext/>
        <w:spacing w:before="160" w:after="60"/>
        <w:jc w:val="center"/>
      </w:pPr>
      <w:r>
        <w:drawing>
          <wp:inline xmlns:a="http://schemas.openxmlformats.org/drawingml/2006/main" xmlns:pic="http://schemas.openxmlformats.org/drawingml/2006/picture">
            <wp:extent cx="5669280" cy="3239589"/>
            <wp:docPr id="9" name="Picture 9"/>
            <wp:cNvGraphicFramePr>
              <a:graphicFrameLocks noChangeAspect="1"/>
            </wp:cNvGraphicFramePr>
            <a:graphic>
              <a:graphicData uri="http://schemas.openxmlformats.org/drawingml/2006/picture">
                <pic:pic>
                  <pic:nvPicPr>
                    <pic:cNvPr id="0" name="07_dfd_level1.png"/>
                    <pic:cNvPicPr/>
                  </pic:nvPicPr>
                  <pic:blipFill>
                    <a:blip r:embed="rId19"/>
                    <a:stretch>
                      <a:fillRect/>
                    </a:stretch>
                  </pic:blipFill>
                  <pic:spPr>
                    <a:xfrm>
                      <a:off x="0" y="0"/>
                      <a:ext cx="5669280" cy="3239589"/>
                    </a:xfrm>
                    <a:prstGeom prst="rect"/>
                  </pic:spPr>
                </pic:pic>
              </a:graphicData>
            </a:graphic>
          </wp:inline>
        </w:drawing>
      </w:r>
    </w:p>
    <w:p>
      <w:pPr>
        <w:spacing w:before="40" w:after="200"/>
        <w:jc w:val="center"/>
      </w:pPr>
      <w:r>
        <w:rPr>
          <w:rFonts w:ascii="Calibri" w:hAnsi="Calibri"/>
          <w:b/>
          <w:color w:val="17365D"/>
          <w:sz w:val="18"/>
        </w:rPr>
        <w:t xml:space="preserve">Figure 9: DFD Level 1: Subsystem Data Flow Decomposition. </w:t>
      </w:r>
      <w:r>
        <w:rPr>
          <w:rFonts w:ascii="Calibri" w:hAnsi="Calibri"/>
          <w:i/>
          <w:color w:val="64748B"/>
          <w:sz w:val="18"/>
        </w:rPr>
        <w:t>Decomposition into Auth Process (1.0), Wallet Operations (2.0), Payment Engine (3.0), and Audit SIEM Sink (4.0).</w:t>
      </w:r>
      <w:r>
        <w:rPr>
          <w:rFonts w:ascii="Calibri" w:hAnsi="Calibri"/>
          <w:b/>
          <w:color w:val="0F766E"/>
          <w:sz w:val="17"/>
        </w:rPr>
        <w:t xml:space="preserve"> [Phase 4: DFD Level 1]</w:t>
      </w:r>
    </w:p>
    <w:p>
      <w:pPr>
        <w:keepNext/>
        <w:spacing w:before="160" w:after="60"/>
        <w:jc w:val="center"/>
      </w:pPr>
      <w:r>
        <w:drawing>
          <wp:inline xmlns:a="http://schemas.openxmlformats.org/drawingml/2006/main" xmlns:pic="http://schemas.openxmlformats.org/drawingml/2006/picture">
            <wp:extent cx="5669280" cy="3239589"/>
            <wp:docPr id="10" name="Picture 10"/>
            <wp:cNvGraphicFramePr>
              <a:graphicFrameLocks noChangeAspect="1"/>
            </wp:cNvGraphicFramePr>
            <a:graphic>
              <a:graphicData uri="http://schemas.openxmlformats.org/drawingml/2006/picture">
                <pic:pic>
                  <pic:nvPicPr>
                    <pic:cNvPr id="0" name="08_trust_boundary.png"/>
                    <pic:cNvPicPr/>
                  </pic:nvPicPr>
                  <pic:blipFill>
                    <a:blip r:embed="rId20"/>
                    <a:stretch>
                      <a:fillRect/>
                    </a:stretch>
                  </pic:blipFill>
                  <pic:spPr>
                    <a:xfrm>
                      <a:off x="0" y="0"/>
                      <a:ext cx="5669280" cy="3239589"/>
                    </a:xfrm>
                    <a:prstGeom prst="rect"/>
                  </pic:spPr>
                </pic:pic>
              </a:graphicData>
            </a:graphic>
          </wp:inline>
        </w:drawing>
      </w:r>
    </w:p>
    <w:p>
      <w:pPr>
        <w:spacing w:before="40" w:after="200"/>
        <w:jc w:val="center"/>
      </w:pPr>
      <w:r>
        <w:rPr>
          <w:rFonts w:ascii="Calibri" w:hAnsi="Calibri"/>
          <w:b/>
          <w:color w:val="17365D"/>
          <w:sz w:val="18"/>
        </w:rPr>
        <w:t xml:space="preserve">Figure 10: Trust Boundary and Data Flow Security Perimeter. </w:t>
      </w:r>
      <w:r>
        <w:rPr>
          <w:rFonts w:ascii="Calibri" w:hAnsi="Calibri"/>
          <w:i/>
          <w:color w:val="64748B"/>
          <w:sz w:val="18"/>
        </w:rPr>
        <w:t>Demarcation between Untrusted Client Network, DMZ Ingress Gateway, Protected Internal Microservices, and Secure Persistence Vault.</w:t>
      </w:r>
      <w:r>
        <w:rPr>
          <w:rFonts w:ascii="Calibri" w:hAnsi="Calibri"/>
          <w:b/>
          <w:color w:val="0F766E"/>
          <w:sz w:val="17"/>
        </w:rPr>
        <w:t xml:space="preserve"> [Phase 4: Trust Perimeter]</w:t>
      </w:r>
    </w:p>
    <w:p>
      <w:pPr>
        <w:keepNext/>
        <w:spacing w:before="360" w:after="160"/>
      </w:pPr>
      <w:r>
        <w:rPr>
          <w:rFonts w:ascii="Calibri" w:hAnsi="Calibri"/>
          <w:b/>
          <w:color w:val="17365D"/>
          <w:sz w:val="34"/>
        </w:rPr>
        <w:t>5. Software Architecture and Design Engineering (Phase 5)</w:t>
      </w:r>
    </w:p>
    <w:p>
      <w:pPr>
        <w:keepNext/>
        <w:spacing w:before="280" w:after="120"/>
      </w:pPr>
      <w:r>
        <w:rPr>
          <w:rFonts w:ascii="Calibri" w:hAnsi="Calibri"/>
          <w:b/>
          <w:color w:val="1F4E79"/>
          <w:sz w:val="26"/>
        </w:rPr>
        <w:t>5.1 Architectural Patterns</w:t>
      </w:r>
    </w:p>
    <w:p>
      <w:pPr>
        <w:spacing w:after="100" w:line="276" w:lineRule="auto"/>
      </w:pPr>
      <w:r>
        <w:rPr>
          <w:rFonts w:ascii="Calibri" w:hAnsi="Calibri"/>
          <w:color w:val="172033"/>
          <w:sz w:val="21"/>
        </w:rPr>
        <w:t>The DWPG Simulator employs a layered architectural style combined with hexagonal (ports and adapters) principles. The presentation tier (React SPA) connects over a secure REST API gateway to Spring Boot microservices. High cohesion and low coupling are maintained across the Controller, Service, and Repository layers.</w:t>
      </w:r>
    </w:p>
    <w:p>
      <w:pPr>
        <w:keepNext/>
        <w:spacing w:before="160" w:after="60"/>
        <w:jc w:val="center"/>
      </w:pPr>
      <w:r>
        <w:drawing>
          <wp:inline xmlns:a="http://schemas.openxmlformats.org/drawingml/2006/main" xmlns:pic="http://schemas.openxmlformats.org/drawingml/2006/picture">
            <wp:extent cx="5669280" cy="3239589"/>
            <wp:docPr id="11" name="Picture 11"/>
            <wp:cNvGraphicFramePr>
              <a:graphicFrameLocks noChangeAspect="1"/>
            </wp:cNvGraphicFramePr>
            <a:graphic>
              <a:graphicData uri="http://schemas.openxmlformats.org/drawingml/2006/picture">
                <pic:pic>
                  <pic:nvPicPr>
                    <pic:cNvPr id="0" name="09_architecture.png"/>
                    <pic:cNvPicPr/>
                  </pic:nvPicPr>
                  <pic:blipFill>
                    <a:blip r:embed="rId21"/>
                    <a:stretch>
                      <a:fillRect/>
                    </a:stretch>
                  </pic:blipFill>
                  <pic:spPr>
                    <a:xfrm>
                      <a:off x="0" y="0"/>
                      <a:ext cx="5669280" cy="3239589"/>
                    </a:xfrm>
                    <a:prstGeom prst="rect"/>
                  </pic:spPr>
                </pic:pic>
              </a:graphicData>
            </a:graphic>
          </wp:inline>
        </w:drawing>
      </w:r>
    </w:p>
    <w:p>
      <w:pPr>
        <w:spacing w:before="40" w:after="200"/>
        <w:jc w:val="center"/>
      </w:pPr>
      <w:r>
        <w:rPr>
          <w:rFonts w:ascii="Calibri" w:hAnsi="Calibri"/>
          <w:b/>
          <w:color w:val="17365D"/>
          <w:sz w:val="18"/>
        </w:rPr>
        <w:t xml:space="preserve">Figure 11: Layered Software Architecture. </w:t>
      </w:r>
      <w:r>
        <w:rPr>
          <w:rFonts w:ascii="Calibri" w:hAnsi="Calibri"/>
          <w:i/>
          <w:color w:val="64748B"/>
          <w:sz w:val="18"/>
        </w:rPr>
        <w:t>Tiered representation of Frontend Presentation, Security Filter Chain, Business Domain Services, and Data Access Persistence.</w:t>
      </w:r>
      <w:r>
        <w:rPr>
          <w:rFonts w:ascii="Calibri" w:hAnsi="Calibri"/>
          <w:b/>
          <w:color w:val="0F766E"/>
          <w:sz w:val="17"/>
        </w:rPr>
        <w:t xml:space="preserve"> [Phase 5: Architecture]</w:t>
      </w:r>
    </w:p>
    <w:p>
      <w:pPr>
        <w:keepNext/>
        <w:spacing w:before="160" w:after="60"/>
        <w:jc w:val="center"/>
      </w:pPr>
      <w:r>
        <w:drawing>
          <wp:inline xmlns:a="http://schemas.openxmlformats.org/drawingml/2006/main" xmlns:pic="http://schemas.openxmlformats.org/drawingml/2006/picture">
            <wp:extent cx="5669280" cy="3239589"/>
            <wp:docPr id="12" name="Picture 12"/>
            <wp:cNvGraphicFramePr>
              <a:graphicFrameLocks noChangeAspect="1"/>
            </wp:cNvGraphicFramePr>
            <a:graphic>
              <a:graphicData uri="http://schemas.openxmlformats.org/drawingml/2006/picture">
                <pic:pic>
                  <pic:nvPicPr>
                    <pic:cNvPr id="0" name="10_component.png"/>
                    <pic:cNvPicPr/>
                  </pic:nvPicPr>
                  <pic:blipFill>
                    <a:blip r:embed="rId22"/>
                    <a:stretch>
                      <a:fillRect/>
                    </a:stretch>
                  </pic:blipFill>
                  <pic:spPr>
                    <a:xfrm>
                      <a:off x="0" y="0"/>
                      <a:ext cx="5669280" cy="3239589"/>
                    </a:xfrm>
                    <a:prstGeom prst="rect"/>
                  </pic:spPr>
                </pic:pic>
              </a:graphicData>
            </a:graphic>
          </wp:inline>
        </w:drawing>
      </w:r>
    </w:p>
    <w:p>
      <w:pPr>
        <w:spacing w:before="40" w:after="200"/>
        <w:jc w:val="center"/>
      </w:pPr>
      <w:r>
        <w:rPr>
          <w:rFonts w:ascii="Calibri" w:hAnsi="Calibri"/>
          <w:b/>
          <w:color w:val="17365D"/>
          <w:sz w:val="18"/>
        </w:rPr>
        <w:t xml:space="preserve">Figure 12: UML Component Diagram. </w:t>
      </w:r>
      <w:r>
        <w:rPr>
          <w:rFonts w:ascii="Calibri" w:hAnsi="Calibri"/>
          <w:i/>
          <w:color w:val="64748B"/>
          <w:sz w:val="18"/>
        </w:rPr>
        <w:t>Component interfaces and dependency injection bindings connecting controllers, security utilities, and persistence repositories.</w:t>
      </w:r>
      <w:r>
        <w:rPr>
          <w:rFonts w:ascii="Calibri" w:hAnsi="Calibri"/>
          <w:b/>
          <w:color w:val="0F766E"/>
          <w:sz w:val="17"/>
        </w:rPr>
        <w:t xml:space="preserve"> [Phase 5: Component Design]</w:t>
      </w:r>
    </w:p>
    <w:p>
      <w:pPr>
        <w:keepNext/>
        <w:spacing w:before="160" w:after="60"/>
        <w:jc w:val="center"/>
      </w:pPr>
      <w:r>
        <w:drawing>
          <wp:inline xmlns:a="http://schemas.openxmlformats.org/drawingml/2006/main" xmlns:pic="http://schemas.openxmlformats.org/drawingml/2006/picture">
            <wp:extent cx="5669280" cy="3239589"/>
            <wp:docPr id="13" name="Picture 13"/>
            <wp:cNvGraphicFramePr>
              <a:graphicFrameLocks noChangeAspect="1"/>
            </wp:cNvGraphicFramePr>
            <a:graphic>
              <a:graphicData uri="http://schemas.openxmlformats.org/drawingml/2006/picture">
                <pic:pic>
                  <pic:nvPicPr>
                    <pic:cNvPr id="0" name="11_deployment.png"/>
                    <pic:cNvPicPr/>
                  </pic:nvPicPr>
                  <pic:blipFill>
                    <a:blip r:embed="rId23"/>
                    <a:stretch>
                      <a:fillRect/>
                    </a:stretch>
                  </pic:blipFill>
                  <pic:spPr>
                    <a:xfrm>
                      <a:off x="0" y="0"/>
                      <a:ext cx="5669280" cy="3239589"/>
                    </a:xfrm>
                    <a:prstGeom prst="rect"/>
                  </pic:spPr>
                </pic:pic>
              </a:graphicData>
            </a:graphic>
          </wp:inline>
        </w:drawing>
      </w:r>
    </w:p>
    <w:p>
      <w:pPr>
        <w:spacing w:before="40" w:after="200"/>
        <w:jc w:val="center"/>
      </w:pPr>
      <w:r>
        <w:rPr>
          <w:rFonts w:ascii="Calibri" w:hAnsi="Calibri"/>
          <w:b/>
          <w:color w:val="17365D"/>
          <w:sz w:val="18"/>
        </w:rPr>
        <w:t xml:space="preserve">Figure 13: Physical Deployment Architecture. </w:t>
      </w:r>
      <w:r>
        <w:rPr>
          <w:rFonts w:ascii="Calibri" w:hAnsi="Calibri"/>
          <w:i/>
          <w:color w:val="64748B"/>
          <w:sz w:val="18"/>
        </w:rPr>
        <w:t>Multi-tier container deployment across Kubernetes Pods, ClusterIP services, MariaDB PVC storage, and Minikube NodePort ingress.</w:t>
      </w:r>
      <w:r>
        <w:rPr>
          <w:rFonts w:ascii="Calibri" w:hAnsi="Calibri"/>
          <w:b/>
          <w:color w:val="0F766E"/>
          <w:sz w:val="17"/>
        </w:rPr>
        <w:t xml:space="preserve"> [Phase 5: Deployment]</w:t>
      </w:r>
    </w:p>
    <w:p>
      <w:pPr>
        <w:keepNext/>
        <w:spacing w:before="360" w:after="160"/>
      </w:pPr>
      <w:r>
        <w:rPr>
          <w:rFonts w:ascii="Calibri" w:hAnsi="Calibri"/>
          <w:b/>
          <w:color w:val="17365D"/>
          <w:sz w:val="34"/>
        </w:rPr>
        <w:t>6. Threat Modeling and Security Analysis (Phase 7)</w:t>
      </w:r>
    </w:p>
    <w:p>
      <w:pPr>
        <w:keepNext/>
        <w:spacing w:before="280" w:after="120"/>
      </w:pPr>
      <w:r>
        <w:rPr>
          <w:rFonts w:ascii="Calibri" w:hAnsi="Calibri"/>
          <w:b/>
          <w:color w:val="1F4E79"/>
          <w:sz w:val="26"/>
        </w:rPr>
        <w:t>6.1 Asset Identification &amp; CIA Triad</w:t>
      </w:r>
    </w:p>
    <w:p>
      <w:pPr>
        <w:spacing w:after="100" w:line="276" w:lineRule="auto"/>
      </w:pPr>
      <w:r>
        <w:rPr>
          <w:rFonts w:ascii="Calibri" w:hAnsi="Calibri"/>
          <w:color w:val="172033"/>
          <w:sz w:val="21"/>
        </w:rPr>
        <w:t>Core assets identified in the DWPG ecosystem include: (1) Wallet Balances (Integrity &amp; Confidentiality); (2) User &amp; Merchant Authentication Credentials (Confidentiality &amp; Integrity); (3) Transaction Ledger Records (Integrity &amp; Non-Repudiation); (4) Idempotency Token Records (Integrity &amp; Availability); and (5) Administrative Forensic Audit Trails (Integrity &amp; Confidentiality).</w:t>
      </w:r>
    </w:p>
    <w:p>
      <w:pPr>
        <w:keepNext/>
        <w:spacing w:before="280" w:after="120"/>
      </w:pPr>
      <w:r>
        <w:rPr>
          <w:rFonts w:ascii="Calibri" w:hAnsi="Calibri"/>
          <w:b/>
          <w:color w:val="1F4E79"/>
          <w:sz w:val="26"/>
        </w:rPr>
        <w:t>6.2 STRIDE Threat Classification</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016"/>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9"/>
              </w:rPr>
              <w:t>STRIDE Category</w:t>
            </w:r>
          </w:p>
        </w:tc>
        <w:tc>
          <w:tcPr>
            <w:tcW w:type="dxa" w:w="2880"/>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9"/>
              </w:rPr>
              <w:t>Identified Threat Vector</w:t>
            </w:r>
          </w:p>
        </w:tc>
        <w:tc>
          <w:tcPr>
            <w:tcW w:type="dxa" w:w="2016"/>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9"/>
              </w:rPr>
              <w:t>Impacted Component</w:t>
            </w:r>
          </w:p>
        </w:tc>
        <w:tc>
          <w:tcPr>
            <w:tcW w:type="dxa" w:w="2448"/>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9"/>
              </w:rPr>
              <w:t>Implemented Countermeasure</w:t>
            </w:r>
          </w:p>
        </w:tc>
      </w:tr>
      <w:tr>
        <w:tc>
          <w:tcPr>
            <w:tcW w:type="dxa" w:w="2016"/>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Spoofing</w:t>
            </w:r>
          </w:p>
        </w:tc>
        <w:tc>
          <w:tcPr>
            <w:tcW w:type="dxa" w:w="2880"/>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Adversary impersonates customer via stolen credentials</w:t>
            </w:r>
          </w:p>
        </w:tc>
        <w:tc>
          <w:tcPr>
            <w:tcW w:type="dxa" w:w="2016"/>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AuthController / JWT Filter</w:t>
            </w:r>
          </w:p>
        </w:tc>
        <w:tc>
          <w:tcPr>
            <w:tcW w:type="dxa" w:w="2448"/>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BCrypt hashing (cost 12), ephemeral JWT with expiration.</w:t>
            </w:r>
          </w:p>
        </w:tc>
      </w:tr>
      <w:tr>
        <w:tc>
          <w:tcPr>
            <w:tcW w:type="dxa" w:w="2016"/>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Tampering</w:t>
            </w:r>
          </w:p>
        </w:tc>
        <w:tc>
          <w:tcPr>
            <w:tcW w:type="dxa" w:w="2880"/>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Adversary alters transaction amount or merchant ID in transit</w:t>
            </w:r>
          </w:p>
        </w:tc>
        <w:tc>
          <w:tcPr>
            <w:tcW w:type="dxa" w:w="2016"/>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PaymentController</w:t>
            </w:r>
          </w:p>
        </w:tc>
        <w:tc>
          <w:tcPr>
            <w:tcW w:type="dxa" w:w="2448"/>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SHA-256 payload digest binding; HTTPS transport encryption.</w:t>
            </w:r>
          </w:p>
        </w:tc>
      </w:tr>
      <w:tr>
        <w:tc>
          <w:tcPr>
            <w:tcW w:type="dxa" w:w="2016"/>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Repudiation</w:t>
            </w:r>
          </w:p>
        </w:tc>
        <w:tc>
          <w:tcPr>
            <w:tcW w:type="dxa" w:w="2880"/>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Merchant or user denies initiating a payment or refund</w:t>
            </w:r>
          </w:p>
        </w:tc>
        <w:tc>
          <w:tcPr>
            <w:tcW w:type="dxa" w:w="2016"/>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TransactionRepository</w:t>
            </w:r>
          </w:p>
        </w:tc>
        <w:tc>
          <w:tcPr>
            <w:tcW w:type="dxa" w:w="2448"/>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Cryptographically hashed audit records &amp; immutable ledger.</w:t>
            </w:r>
          </w:p>
        </w:tc>
      </w:tr>
      <w:tr>
        <w:tc>
          <w:tcPr>
            <w:tcW w:type="dxa" w:w="2016"/>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Information Disclosure</w:t>
            </w:r>
          </w:p>
        </w:tc>
        <w:tc>
          <w:tcPr>
            <w:tcW w:type="dxa" w:w="2880"/>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Cross-tenant query exposes foreign wallet balance (BOLA)</w:t>
            </w:r>
          </w:p>
        </w:tc>
        <w:tc>
          <w:tcPr>
            <w:tcW w:type="dxa" w:w="2016"/>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WalletController</w:t>
            </w:r>
          </w:p>
        </w:tc>
        <w:tc>
          <w:tcPr>
            <w:tcW w:type="dxa" w:w="2448"/>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Ownership authorization assertions on all principal queries.</w:t>
            </w:r>
          </w:p>
        </w:tc>
      </w:tr>
      <w:tr>
        <w:tc>
          <w:tcPr>
            <w:tcW w:type="dxa" w:w="2016"/>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Denial of Service</w:t>
            </w:r>
          </w:p>
        </w:tc>
        <w:tc>
          <w:tcPr>
            <w:tcW w:type="dxa" w:w="2880"/>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Massive parallel payment spam exhausting DB pool</w:t>
            </w:r>
          </w:p>
        </w:tc>
        <w:tc>
          <w:tcPr>
            <w:tcW w:type="dxa" w:w="2016"/>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Tomcat Thread Pool</w:t>
            </w:r>
          </w:p>
        </w:tc>
        <w:tc>
          <w:tcPr>
            <w:tcW w:type="dxa" w:w="2448"/>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HikariCP connection limits, idempotency cache fast-fail.</w:t>
            </w:r>
          </w:p>
        </w:tc>
      </w:tr>
      <w:tr>
        <w:tc>
          <w:tcPr>
            <w:tcW w:type="dxa" w:w="2016"/>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Elevation of Privilege</w:t>
            </w:r>
          </w:p>
        </w:tc>
        <w:tc>
          <w:tcPr>
            <w:tcW w:type="dxa" w:w="2880"/>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Standard consumer attempts calling admin audit endpoint</w:t>
            </w:r>
          </w:p>
        </w:tc>
        <w:tc>
          <w:tcPr>
            <w:tcW w:type="dxa" w:w="2016"/>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AdminController</w:t>
            </w:r>
          </w:p>
        </w:tc>
        <w:tc>
          <w:tcPr>
            <w:tcW w:type="dxa" w:w="2448"/>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Spring Security @PreAuthorize("hasRole('ADMIN')") enforcement.</w:t>
            </w:r>
          </w:p>
        </w:tc>
      </w:tr>
    </w:tbl>
    <w:p>
      <w:pPr>
        <w:spacing w:after="120"/>
      </w:pPr>
    </w:p>
    <w:p>
      <w:pPr>
        <w:keepNext/>
        <w:spacing w:before="160" w:after="60"/>
        <w:jc w:val="center"/>
      </w:pPr>
      <w:r>
        <w:drawing>
          <wp:inline xmlns:a="http://schemas.openxmlformats.org/drawingml/2006/main" xmlns:pic="http://schemas.openxmlformats.org/drawingml/2006/picture">
            <wp:extent cx="5669280" cy="3239589"/>
            <wp:docPr id="14" name="Picture 14"/>
            <wp:cNvGraphicFramePr>
              <a:graphicFrameLocks noChangeAspect="1"/>
            </wp:cNvGraphicFramePr>
            <a:graphic>
              <a:graphicData uri="http://schemas.openxmlformats.org/drawingml/2006/picture">
                <pic:pic>
                  <pic:nvPicPr>
                    <pic:cNvPr id="0" name="14_threat_model.png"/>
                    <pic:cNvPicPr/>
                  </pic:nvPicPr>
                  <pic:blipFill>
                    <a:blip r:embed="rId24"/>
                    <a:stretch>
                      <a:fillRect/>
                    </a:stretch>
                  </pic:blipFill>
                  <pic:spPr>
                    <a:xfrm>
                      <a:off x="0" y="0"/>
                      <a:ext cx="5669280" cy="3239589"/>
                    </a:xfrm>
                    <a:prstGeom prst="rect"/>
                  </pic:spPr>
                </pic:pic>
              </a:graphicData>
            </a:graphic>
          </wp:inline>
        </w:drawing>
      </w:r>
    </w:p>
    <w:p>
      <w:pPr>
        <w:spacing w:before="40" w:after="200"/>
        <w:jc w:val="center"/>
      </w:pPr>
      <w:r>
        <w:rPr>
          <w:rFonts w:ascii="Calibri" w:hAnsi="Calibri"/>
          <w:b/>
          <w:color w:val="17365D"/>
          <w:sz w:val="18"/>
        </w:rPr>
        <w:t xml:space="preserve">Figure 14: STRIDE Threat Matrix and Mitigation Model. </w:t>
      </w:r>
      <w:r>
        <w:rPr>
          <w:rFonts w:ascii="Calibri" w:hAnsi="Calibri"/>
          <w:i/>
          <w:color w:val="64748B"/>
          <w:sz w:val="18"/>
        </w:rPr>
        <w:t>Systematic mapping of threat categories to architectural defense controls and security verification gates.</w:t>
      </w:r>
      <w:r>
        <w:rPr>
          <w:rFonts w:ascii="Calibri" w:hAnsi="Calibri"/>
          <w:b/>
          <w:color w:val="0F766E"/>
          <w:sz w:val="17"/>
        </w:rPr>
        <w:t xml:space="preserve"> [Phase 7: Threat Modeling]</w:t>
      </w:r>
    </w:p>
    <w:p>
      <w:pPr>
        <w:keepNext/>
        <w:spacing w:before="360" w:after="160"/>
      </w:pPr>
      <w:r>
        <w:rPr>
          <w:rFonts w:ascii="Calibri" w:hAnsi="Calibri"/>
          <w:b/>
          <w:color w:val="17365D"/>
          <w:sz w:val="34"/>
        </w:rPr>
        <w:t>7. Attack Tree Analysis (Phase 8)</w:t>
      </w:r>
    </w:p>
    <w:p>
      <w:pPr>
        <w:keepNext/>
        <w:spacing w:before="280" w:after="120"/>
      </w:pPr>
      <w:r>
        <w:rPr>
          <w:rFonts w:ascii="Calibri" w:hAnsi="Calibri"/>
          <w:b/>
          <w:color w:val="1F4E79"/>
          <w:sz w:val="26"/>
        </w:rPr>
        <w:t>7.1 Selected Attacker Goal: Double Spending &amp; Balance Theft</w:t>
      </w:r>
    </w:p>
    <w:p>
      <w:pPr>
        <w:spacing w:after="100" w:line="276" w:lineRule="auto"/>
      </w:pPr>
      <w:r>
        <w:rPr>
          <w:rFonts w:ascii="Calibri" w:hAnsi="Calibri"/>
          <w:color w:val="172033"/>
          <w:sz w:val="21"/>
        </w:rPr>
        <w:t>The primary objective of a financial adversary targeting the gateway is to execute Double Spending—spending identical wallet funds multiple times before balances synchronize, or forcing balance inversions below zero.</w:t>
      </w:r>
    </w:p>
    <w:p>
      <w:pPr>
        <w:keepNext/>
        <w:spacing w:before="160" w:after="60"/>
        <w:jc w:val="center"/>
      </w:pPr>
      <w:r>
        <w:drawing>
          <wp:inline xmlns:a="http://schemas.openxmlformats.org/drawingml/2006/main" xmlns:pic="http://schemas.openxmlformats.org/drawingml/2006/picture">
            <wp:extent cx="5669280" cy="3239589"/>
            <wp:docPr id="15" name="Picture 15"/>
            <wp:cNvGraphicFramePr>
              <a:graphicFrameLocks noChangeAspect="1"/>
            </wp:cNvGraphicFramePr>
            <a:graphic>
              <a:graphicData uri="http://schemas.openxmlformats.org/drawingml/2006/picture">
                <pic:pic>
                  <pic:nvPicPr>
                    <pic:cNvPr id="0" name="15_attack_tree.png"/>
                    <pic:cNvPicPr/>
                  </pic:nvPicPr>
                  <pic:blipFill>
                    <a:blip r:embed="rId25"/>
                    <a:stretch>
                      <a:fillRect/>
                    </a:stretch>
                  </pic:blipFill>
                  <pic:spPr>
                    <a:xfrm>
                      <a:off x="0" y="0"/>
                      <a:ext cx="5669280" cy="3239589"/>
                    </a:xfrm>
                    <a:prstGeom prst="rect"/>
                  </pic:spPr>
                </pic:pic>
              </a:graphicData>
            </a:graphic>
          </wp:inline>
        </w:drawing>
      </w:r>
    </w:p>
    <w:p>
      <w:pPr>
        <w:spacing w:before="40" w:after="200"/>
        <w:jc w:val="center"/>
      </w:pPr>
      <w:r>
        <w:rPr>
          <w:rFonts w:ascii="Calibri" w:hAnsi="Calibri"/>
          <w:b/>
          <w:color w:val="17365D"/>
          <w:sz w:val="18"/>
        </w:rPr>
        <w:t xml:space="preserve">Figure 15: Attack Tree Decomposition: Double Spending &amp; Gateway Tampering. </w:t>
      </w:r>
      <w:r>
        <w:rPr>
          <w:rFonts w:ascii="Calibri" w:hAnsi="Calibri"/>
          <w:i/>
          <w:color w:val="64748B"/>
          <w:sz w:val="18"/>
        </w:rPr>
        <w:t>Hierarchical attack paths detailing race condition exploitation, replay interception, parameter tampering, and mitigation barriers.</w:t>
      </w:r>
      <w:r>
        <w:rPr>
          <w:rFonts w:ascii="Calibri" w:hAnsi="Calibri"/>
          <w:b/>
          <w:color w:val="0F766E"/>
          <w:sz w:val="17"/>
        </w:rPr>
        <w:t xml:space="preserve"> [Phase 8: Attack Tree]</w:t>
      </w:r>
    </w:p>
    <w:p>
      <w:pPr>
        <w:keepNext/>
        <w:spacing w:before="160" w:after="60"/>
        <w:jc w:val="center"/>
      </w:pPr>
      <w:r>
        <w:drawing>
          <wp:inline xmlns:a="http://schemas.openxmlformats.org/drawingml/2006/main" xmlns:pic="http://schemas.openxmlformats.org/drawingml/2006/picture">
            <wp:extent cx="5669280" cy="3239589"/>
            <wp:docPr id="16" name="Picture 16"/>
            <wp:cNvGraphicFramePr>
              <a:graphicFrameLocks noChangeAspect="1"/>
            </wp:cNvGraphicFramePr>
            <a:graphic>
              <a:graphicData uri="http://schemas.openxmlformats.org/drawingml/2006/picture">
                <pic:pic>
                  <pic:nvPicPr>
                    <pic:cNvPr id="0" name="16_security_architecture.png"/>
                    <pic:cNvPicPr/>
                  </pic:nvPicPr>
                  <pic:blipFill>
                    <a:blip r:embed="rId26"/>
                    <a:stretch>
                      <a:fillRect/>
                    </a:stretch>
                  </pic:blipFill>
                  <pic:spPr>
                    <a:xfrm>
                      <a:off x="0" y="0"/>
                      <a:ext cx="5669280" cy="3239589"/>
                    </a:xfrm>
                    <a:prstGeom prst="rect"/>
                  </pic:spPr>
                </pic:pic>
              </a:graphicData>
            </a:graphic>
          </wp:inline>
        </w:drawing>
      </w:r>
    </w:p>
    <w:p>
      <w:pPr>
        <w:spacing w:before="40" w:after="200"/>
        <w:jc w:val="center"/>
      </w:pPr>
      <w:r>
        <w:rPr>
          <w:rFonts w:ascii="Calibri" w:hAnsi="Calibri"/>
          <w:b/>
          <w:color w:val="17365D"/>
          <w:sz w:val="18"/>
        </w:rPr>
        <w:t xml:space="preserve">Figure 16: Refined Security Architecture &amp; Defense Layers. </w:t>
      </w:r>
      <w:r>
        <w:rPr>
          <w:rFonts w:ascii="Calibri" w:hAnsi="Calibri"/>
          <w:i/>
          <w:color w:val="64748B"/>
          <w:sz w:val="18"/>
        </w:rPr>
        <w:t>Layered defensive barriers: Ingress WAF -&gt; JWT Auth -&gt; Idempotency Cache -&gt; Pessimistic DB Lock -&gt; SIEM Logger.</w:t>
      </w:r>
      <w:r>
        <w:rPr>
          <w:rFonts w:ascii="Calibri" w:hAnsi="Calibri"/>
          <w:b/>
          <w:color w:val="0F766E"/>
          <w:sz w:val="17"/>
        </w:rPr>
        <w:t xml:space="preserve"> [Phase 8: Security Architecture]</w:t>
      </w:r>
    </w:p>
    <w:p>
      <w:pPr>
        <w:keepNext/>
        <w:spacing w:before="360" w:after="160"/>
      </w:pPr>
      <w:r>
        <w:rPr>
          <w:rFonts w:ascii="Calibri" w:hAnsi="Calibri"/>
          <w:b/>
          <w:color w:val="17365D"/>
          <w:sz w:val="34"/>
        </w:rPr>
        <w:t>8. User Interface Design and Evidence (Phase 6)</w:t>
      </w:r>
    </w:p>
    <w:p>
      <w:pPr>
        <w:keepNext/>
        <w:spacing w:before="280" w:after="120"/>
      </w:pPr>
      <w:r>
        <w:rPr>
          <w:rFonts w:ascii="Calibri" w:hAnsi="Calibri"/>
          <w:b/>
          <w:color w:val="1F4E79"/>
          <w:sz w:val="26"/>
        </w:rPr>
        <w:t>8.1 UI Ergonomics and Security Feedback</w:t>
      </w:r>
    </w:p>
    <w:p>
      <w:pPr>
        <w:spacing w:after="100" w:line="276" w:lineRule="auto"/>
      </w:pPr>
      <w:r>
        <w:rPr>
          <w:rFonts w:ascii="Calibri" w:hAnsi="Calibri"/>
          <w:color w:val="172033"/>
          <w:sz w:val="21"/>
        </w:rPr>
        <w:t>The frontend application was developed using React 18 and Vite. In accordance with secure UI design principles, the user interface provides real-time security banners, visual cryptographic pills displaying SHA-256 tamper hashes, live latency telemetry, and explicit adversarial attack simulation toggles.</w:t>
      </w:r>
    </w:p>
    <w:p>
      <w:pPr>
        <w:keepNext/>
        <w:spacing w:before="160" w:after="60"/>
        <w:jc w:val="center"/>
      </w:pPr>
      <w:r>
        <w:drawing>
          <wp:inline xmlns:a="http://schemas.openxmlformats.org/drawingml/2006/main" xmlns:pic="http://schemas.openxmlformats.org/drawingml/2006/picture">
            <wp:extent cx="5486400" cy="3413938"/>
            <wp:docPr id="17" name="Picture 17"/>
            <wp:cNvGraphicFramePr>
              <a:graphicFrameLocks noChangeAspect="1"/>
            </wp:cNvGraphicFramePr>
            <a:graphic>
              <a:graphicData uri="http://schemas.openxmlformats.org/drawingml/2006/picture">
                <pic:pic>
                  <pic:nvPicPr>
                    <pic:cNvPr id="0" name="UI-01_user_registration.png"/>
                    <pic:cNvPicPr/>
                  </pic:nvPicPr>
                  <pic:blipFill>
                    <a:blip r:embed="rId27"/>
                    <a:stretch>
                      <a:fillRect/>
                    </a:stretch>
                  </pic:blipFill>
                  <pic:spPr>
                    <a:xfrm>
                      <a:off x="0" y="0"/>
                      <a:ext cx="5486400" cy="3413938"/>
                    </a:xfrm>
                    <a:prstGeom prst="rect"/>
                  </pic:spPr>
                </pic:pic>
              </a:graphicData>
            </a:graphic>
          </wp:inline>
        </w:drawing>
      </w:r>
    </w:p>
    <w:p>
      <w:pPr>
        <w:spacing w:before="40" w:after="200"/>
        <w:jc w:val="center"/>
      </w:pPr>
      <w:r>
        <w:rPr>
          <w:rFonts w:ascii="Calibri" w:hAnsi="Calibri"/>
          <w:b/>
          <w:color w:val="17365D"/>
          <w:sz w:val="18"/>
        </w:rPr>
        <w:t xml:space="preserve">Figure 17: UI-01: User Registration. </w:t>
      </w:r>
      <w:r>
        <w:rPr>
          <w:rFonts w:ascii="Calibri" w:hAnsi="Calibri"/>
          <w:i/>
          <w:color w:val="64748B"/>
          <w:sz w:val="18"/>
        </w:rPr>
        <w:t>Real client view demonstrating consumer registration with client-side NIST SP 800-63B password complexity validation.</w:t>
      </w:r>
      <w:r>
        <w:rPr>
          <w:rFonts w:ascii="Calibri" w:hAnsi="Calibri"/>
          <w:b/>
          <w:color w:val="0F766E"/>
          <w:sz w:val="17"/>
        </w:rPr>
        <w:t xml:space="preserve"> [FR-01, SR-01]</w:t>
      </w:r>
    </w:p>
    <w:p>
      <w:pPr>
        <w:keepNext/>
        <w:spacing w:before="160" w:after="60"/>
        <w:jc w:val="center"/>
      </w:pPr>
      <w:r>
        <w:drawing>
          <wp:inline xmlns:a="http://schemas.openxmlformats.org/drawingml/2006/main" xmlns:pic="http://schemas.openxmlformats.org/drawingml/2006/picture">
            <wp:extent cx="5486400" cy="3413938"/>
            <wp:docPr id="18" name="Picture 18"/>
            <wp:cNvGraphicFramePr>
              <a:graphicFrameLocks noChangeAspect="1"/>
            </wp:cNvGraphicFramePr>
            <a:graphic>
              <a:graphicData uri="http://schemas.openxmlformats.org/drawingml/2006/picture">
                <pic:pic>
                  <pic:nvPicPr>
                    <pic:cNvPr id="0" name="UI-02_user_login.png"/>
                    <pic:cNvPicPr/>
                  </pic:nvPicPr>
                  <pic:blipFill>
                    <a:blip r:embed="rId28"/>
                    <a:stretch>
                      <a:fillRect/>
                    </a:stretch>
                  </pic:blipFill>
                  <pic:spPr>
                    <a:xfrm>
                      <a:off x="0" y="0"/>
                      <a:ext cx="5486400" cy="3413938"/>
                    </a:xfrm>
                    <a:prstGeom prst="rect"/>
                  </pic:spPr>
                </pic:pic>
              </a:graphicData>
            </a:graphic>
          </wp:inline>
        </w:drawing>
      </w:r>
    </w:p>
    <w:p>
      <w:pPr>
        <w:spacing w:before="40" w:after="200"/>
        <w:jc w:val="center"/>
      </w:pPr>
      <w:r>
        <w:rPr>
          <w:rFonts w:ascii="Calibri" w:hAnsi="Calibri"/>
          <w:b/>
          <w:color w:val="17365D"/>
          <w:sz w:val="18"/>
        </w:rPr>
        <w:t xml:space="preserve">Figure 18: UI-02: User Authentication &amp; Login. </w:t>
      </w:r>
      <w:r>
        <w:rPr>
          <w:rFonts w:ascii="Calibri" w:hAnsi="Calibri"/>
          <w:i/>
          <w:color w:val="64748B"/>
          <w:sz w:val="18"/>
        </w:rPr>
        <w:t>Secure sign-in screen featuring generic error messaging on authentication failure to thwart username enumeration.</w:t>
      </w:r>
      <w:r>
        <w:rPr>
          <w:rFonts w:ascii="Calibri" w:hAnsi="Calibri"/>
          <w:b/>
          <w:color w:val="0F766E"/>
          <w:sz w:val="17"/>
        </w:rPr>
        <w:t xml:space="preserve"> [FR-02, SR-01]</w:t>
      </w:r>
    </w:p>
    <w:p>
      <w:pPr>
        <w:keepNext/>
        <w:spacing w:before="160" w:after="60"/>
        <w:jc w:val="center"/>
      </w:pPr>
      <w:r>
        <w:drawing>
          <wp:inline xmlns:a="http://schemas.openxmlformats.org/drawingml/2006/main" xmlns:pic="http://schemas.openxmlformats.org/drawingml/2006/picture">
            <wp:extent cx="5486400" cy="3413938"/>
            <wp:docPr id="19" name="Picture 19"/>
            <wp:cNvGraphicFramePr>
              <a:graphicFrameLocks noChangeAspect="1"/>
            </wp:cNvGraphicFramePr>
            <a:graphic>
              <a:graphicData uri="http://schemas.openxmlformats.org/drawingml/2006/picture">
                <pic:pic>
                  <pic:nvPicPr>
                    <pic:cNvPr id="0" name="UI-03_wallet_dashboard.png"/>
                    <pic:cNvPicPr/>
                  </pic:nvPicPr>
                  <pic:blipFill>
                    <a:blip r:embed="rId29"/>
                    <a:stretch>
                      <a:fillRect/>
                    </a:stretch>
                  </pic:blipFill>
                  <pic:spPr>
                    <a:xfrm>
                      <a:off x="0" y="0"/>
                      <a:ext cx="5486400" cy="3413938"/>
                    </a:xfrm>
                    <a:prstGeom prst="rect"/>
                  </pic:spPr>
                </pic:pic>
              </a:graphicData>
            </a:graphic>
          </wp:inline>
        </w:drawing>
      </w:r>
    </w:p>
    <w:p>
      <w:pPr>
        <w:spacing w:before="40" w:after="200"/>
        <w:jc w:val="center"/>
      </w:pPr>
      <w:r>
        <w:rPr>
          <w:rFonts w:ascii="Calibri" w:hAnsi="Calibri"/>
          <w:b/>
          <w:color w:val="17365D"/>
          <w:sz w:val="18"/>
        </w:rPr>
        <w:t xml:space="preserve">Figure 19: UI-03: Customer Wallet Dashboard. </w:t>
      </w:r>
      <w:r>
        <w:rPr>
          <w:rFonts w:ascii="Calibri" w:hAnsi="Calibri"/>
          <w:i/>
          <w:color w:val="64748B"/>
          <w:sz w:val="18"/>
        </w:rPr>
        <w:t>Customer portal displaying account number, active vault safeguards banner, and zero initial balance.</w:t>
      </w:r>
      <w:r>
        <w:rPr>
          <w:rFonts w:ascii="Calibri" w:hAnsi="Calibri"/>
          <w:b/>
          <w:color w:val="0F766E"/>
          <w:sz w:val="17"/>
        </w:rPr>
        <w:t xml:space="preserve"> [FR-03, SR-05]</w:t>
      </w:r>
    </w:p>
    <w:p>
      <w:pPr>
        <w:keepNext/>
        <w:spacing w:before="160" w:after="60"/>
        <w:jc w:val="center"/>
      </w:pPr>
      <w:r>
        <w:drawing>
          <wp:inline xmlns:a="http://schemas.openxmlformats.org/drawingml/2006/main" xmlns:pic="http://schemas.openxmlformats.org/drawingml/2006/picture">
            <wp:extent cx="5486400" cy="3413938"/>
            <wp:docPr id="20" name="Picture 20"/>
            <wp:cNvGraphicFramePr>
              <a:graphicFrameLocks noChangeAspect="1"/>
            </wp:cNvGraphicFramePr>
            <a:graphic>
              <a:graphicData uri="http://schemas.openxmlformats.org/drawingml/2006/picture">
                <pic:pic>
                  <pic:nvPicPr>
                    <pic:cNvPr id="0" name="UI-04_funds_topup_modal.png"/>
                    <pic:cNvPicPr/>
                  </pic:nvPicPr>
                  <pic:blipFill>
                    <a:blip r:embed="rId30"/>
                    <a:stretch>
                      <a:fillRect/>
                    </a:stretch>
                  </pic:blipFill>
                  <pic:spPr>
                    <a:xfrm>
                      <a:off x="0" y="0"/>
                      <a:ext cx="5486400" cy="3413938"/>
                    </a:xfrm>
                    <a:prstGeom prst="rect"/>
                  </pic:spPr>
                </pic:pic>
              </a:graphicData>
            </a:graphic>
          </wp:inline>
        </w:drawing>
      </w:r>
    </w:p>
    <w:p>
      <w:pPr>
        <w:spacing w:before="40" w:after="200"/>
        <w:jc w:val="center"/>
      </w:pPr>
      <w:r>
        <w:rPr>
          <w:rFonts w:ascii="Calibri" w:hAnsi="Calibri"/>
          <w:b/>
          <w:color w:val="17365D"/>
          <w:sz w:val="18"/>
        </w:rPr>
        <w:t xml:space="preserve">Figure 20: UI-04: Simulated Funds Top-Up Interface. </w:t>
      </w:r>
      <w:r>
        <w:rPr>
          <w:rFonts w:ascii="Calibri" w:hAnsi="Calibri"/>
          <w:i/>
          <w:color w:val="64748B"/>
          <w:sz w:val="18"/>
        </w:rPr>
        <w:t>Simulated funds deposit interface with preset increments and client-side positive decimal validation.</w:t>
      </w:r>
      <w:r>
        <w:rPr>
          <w:rFonts w:ascii="Calibri" w:hAnsi="Calibri"/>
          <w:b/>
          <w:color w:val="0F766E"/>
          <w:sz w:val="17"/>
        </w:rPr>
        <w:t xml:space="preserve"> [FR-04, SR-04]</w:t>
      </w:r>
    </w:p>
    <w:p>
      <w:pPr>
        <w:keepNext/>
        <w:spacing w:before="160" w:after="60"/>
        <w:jc w:val="center"/>
      </w:pPr>
      <w:r>
        <w:drawing>
          <wp:inline xmlns:a="http://schemas.openxmlformats.org/drawingml/2006/main" xmlns:pic="http://schemas.openxmlformats.org/drawingml/2006/picture">
            <wp:extent cx="5486400" cy="3413938"/>
            <wp:docPr id="21" name="Picture 21"/>
            <wp:cNvGraphicFramePr>
              <a:graphicFrameLocks noChangeAspect="1"/>
            </wp:cNvGraphicFramePr>
            <a:graphic>
              <a:graphicData uri="http://schemas.openxmlformats.org/drawingml/2006/picture">
                <pic:pic>
                  <pic:nvPicPr>
                    <pic:cNvPr id="0" name="UI-05_topup_success.png"/>
                    <pic:cNvPicPr/>
                  </pic:nvPicPr>
                  <pic:blipFill>
                    <a:blip r:embed="rId31"/>
                    <a:stretch>
                      <a:fillRect/>
                    </a:stretch>
                  </pic:blipFill>
                  <pic:spPr>
                    <a:xfrm>
                      <a:off x="0" y="0"/>
                      <a:ext cx="5486400" cy="3413938"/>
                    </a:xfrm>
                    <a:prstGeom prst="rect"/>
                  </pic:spPr>
                </pic:pic>
              </a:graphicData>
            </a:graphic>
          </wp:inline>
        </w:drawing>
      </w:r>
    </w:p>
    <w:p>
      <w:pPr>
        <w:spacing w:before="40" w:after="200"/>
        <w:jc w:val="center"/>
      </w:pPr>
      <w:r>
        <w:rPr>
          <w:rFonts w:ascii="Calibri" w:hAnsi="Calibri"/>
          <w:b/>
          <w:color w:val="17365D"/>
          <w:sz w:val="18"/>
        </w:rPr>
        <w:t xml:space="preserve">Figure 21: UI-05: Top-Up Confirmation &amp; Balance Update. </w:t>
      </w:r>
      <w:r>
        <w:rPr>
          <w:rFonts w:ascii="Calibri" w:hAnsi="Calibri"/>
          <w:i/>
          <w:color w:val="64748B"/>
          <w:sz w:val="18"/>
        </w:rPr>
        <w:t>Atomic top-up confirmation displaying updated wallet balance ($500.00 USD) and atomic ledger entry.</w:t>
      </w:r>
      <w:r>
        <w:rPr>
          <w:rFonts w:ascii="Calibri" w:hAnsi="Calibri"/>
          <w:b/>
          <w:color w:val="0F766E"/>
          <w:sz w:val="17"/>
        </w:rPr>
        <w:t xml:space="preserve"> [FR-04, SR-04]</w:t>
      </w:r>
    </w:p>
    <w:p>
      <w:pPr>
        <w:keepNext/>
        <w:spacing w:before="160" w:after="60"/>
        <w:jc w:val="center"/>
      </w:pPr>
      <w:r>
        <w:drawing>
          <wp:inline xmlns:a="http://schemas.openxmlformats.org/drawingml/2006/main" xmlns:pic="http://schemas.openxmlformats.org/drawingml/2006/picture">
            <wp:extent cx="5486400" cy="3413938"/>
            <wp:docPr id="22" name="Picture 22"/>
            <wp:cNvGraphicFramePr>
              <a:graphicFrameLocks noChangeAspect="1"/>
            </wp:cNvGraphicFramePr>
            <a:graphic>
              <a:graphicData uri="http://schemas.openxmlformats.org/drawingml/2006/picture">
                <pic:pic>
                  <pic:nvPicPr>
                    <pic:cNvPr id="0" name="UI-06_merchant_registration.png"/>
                    <pic:cNvPicPr/>
                  </pic:nvPicPr>
                  <pic:blipFill>
                    <a:blip r:embed="rId32"/>
                    <a:stretch>
                      <a:fillRect/>
                    </a:stretch>
                  </pic:blipFill>
                  <pic:spPr>
                    <a:xfrm>
                      <a:off x="0" y="0"/>
                      <a:ext cx="5486400" cy="3413938"/>
                    </a:xfrm>
                    <a:prstGeom prst="rect"/>
                  </pic:spPr>
                </pic:pic>
              </a:graphicData>
            </a:graphic>
          </wp:inline>
        </w:drawing>
      </w:r>
    </w:p>
    <w:p>
      <w:pPr>
        <w:spacing w:before="40" w:after="200"/>
        <w:jc w:val="center"/>
      </w:pPr>
      <w:r>
        <w:rPr>
          <w:rFonts w:ascii="Calibri" w:hAnsi="Calibri"/>
          <w:b/>
          <w:color w:val="17365D"/>
          <w:sz w:val="18"/>
        </w:rPr>
        <w:t xml:space="preserve">Figure 22: UI-06: Merchant Onboarding Form. </w:t>
      </w:r>
      <w:r>
        <w:rPr>
          <w:rFonts w:ascii="Calibri" w:hAnsi="Calibri"/>
          <w:i/>
          <w:color w:val="64748B"/>
          <w:sz w:val="18"/>
        </w:rPr>
        <w:t>Merchant registration portal enabling business profile creation and settlement wallet association.</w:t>
      </w:r>
      <w:r>
        <w:rPr>
          <w:rFonts w:ascii="Calibri" w:hAnsi="Calibri"/>
          <w:b/>
          <w:color w:val="0F766E"/>
          <w:sz w:val="17"/>
        </w:rPr>
        <w:t xml:space="preserve"> [FR-05, SR-02]</w:t>
      </w:r>
    </w:p>
    <w:p>
      <w:pPr>
        <w:keepNext/>
        <w:spacing w:before="160" w:after="60"/>
        <w:jc w:val="center"/>
      </w:pPr>
      <w:r>
        <w:drawing>
          <wp:inline xmlns:a="http://schemas.openxmlformats.org/drawingml/2006/main" xmlns:pic="http://schemas.openxmlformats.org/drawingml/2006/picture">
            <wp:extent cx="5486400" cy="3413938"/>
            <wp:docPr id="23" name="Picture 23"/>
            <wp:cNvGraphicFramePr>
              <a:graphicFrameLocks noChangeAspect="1"/>
            </wp:cNvGraphicFramePr>
            <a:graphic>
              <a:graphicData uri="http://schemas.openxmlformats.org/drawingml/2006/picture">
                <pic:pic>
                  <pic:nvPicPr>
                    <pic:cNvPr id="0" name="UI-06_merchant_registration.png"/>
                    <pic:cNvPicPr/>
                  </pic:nvPicPr>
                  <pic:blipFill>
                    <a:blip r:embed="rId32"/>
                    <a:stretch>
                      <a:fillRect/>
                    </a:stretch>
                  </pic:blipFill>
                  <pic:spPr>
                    <a:xfrm>
                      <a:off x="0" y="0"/>
                      <a:ext cx="5486400" cy="3413938"/>
                    </a:xfrm>
                    <a:prstGeom prst="rect"/>
                  </pic:spPr>
                </pic:pic>
              </a:graphicData>
            </a:graphic>
          </wp:inline>
        </w:drawing>
      </w:r>
    </w:p>
    <w:p>
      <w:pPr>
        <w:spacing w:before="40" w:after="200"/>
        <w:jc w:val="center"/>
      </w:pPr>
      <w:r>
        <w:rPr>
          <w:rFonts w:ascii="Calibri" w:hAnsi="Calibri"/>
          <w:b/>
          <w:color w:val="17365D"/>
          <w:sz w:val="18"/>
        </w:rPr>
        <w:t xml:space="preserve">Figure 23: UI-07: Merchant Security Portal &amp; API Credentials. </w:t>
      </w:r>
      <w:r>
        <w:rPr>
          <w:rFonts w:ascii="Calibri" w:hAnsi="Calibri"/>
          <w:i/>
          <w:color w:val="64748B"/>
          <w:sz w:val="18"/>
        </w:rPr>
        <w:t>Merchant management portal displaying active business status, settlement account, and high-entropy 256-bit API key.</w:t>
      </w:r>
      <w:r>
        <w:rPr>
          <w:rFonts w:ascii="Calibri" w:hAnsi="Calibri"/>
          <w:b/>
          <w:color w:val="0F766E"/>
          <w:sz w:val="17"/>
        </w:rPr>
        <w:t xml:space="preserve"> [FR-05, SR-02]</w:t>
      </w:r>
    </w:p>
    <w:p>
      <w:pPr>
        <w:keepNext/>
        <w:spacing w:before="160" w:after="60"/>
        <w:jc w:val="center"/>
      </w:pPr>
      <w:r>
        <w:drawing>
          <wp:inline xmlns:a="http://schemas.openxmlformats.org/drawingml/2006/main" xmlns:pic="http://schemas.openxmlformats.org/drawingml/2006/picture">
            <wp:extent cx="5486400" cy="3413938"/>
            <wp:docPr id="24" name="Picture 24"/>
            <wp:cNvGraphicFramePr>
              <a:graphicFrameLocks noChangeAspect="1"/>
            </wp:cNvGraphicFramePr>
            <a:graphic>
              <a:graphicData uri="http://schemas.openxmlformats.org/drawingml/2006/picture">
                <pic:pic>
                  <pic:nvPicPr>
                    <pic:cNvPr id="0" name="UI-08_payment_initiation.png"/>
                    <pic:cNvPicPr/>
                  </pic:nvPicPr>
                  <pic:blipFill>
                    <a:blip r:embed="rId33"/>
                    <a:stretch>
                      <a:fillRect/>
                    </a:stretch>
                  </pic:blipFill>
                  <pic:spPr>
                    <a:xfrm>
                      <a:off x="0" y="0"/>
                      <a:ext cx="5486400" cy="3413938"/>
                    </a:xfrm>
                    <a:prstGeom prst="rect"/>
                  </pic:spPr>
                </pic:pic>
              </a:graphicData>
            </a:graphic>
          </wp:inline>
        </w:drawing>
      </w:r>
    </w:p>
    <w:p>
      <w:pPr>
        <w:spacing w:before="40" w:after="200"/>
        <w:jc w:val="center"/>
      </w:pPr>
      <w:r>
        <w:rPr>
          <w:rFonts w:ascii="Calibri" w:hAnsi="Calibri"/>
          <w:b/>
          <w:color w:val="17365D"/>
          <w:sz w:val="18"/>
        </w:rPr>
        <w:t xml:space="preserve">Figure 24: UI-08: Payment Initiation Form. </w:t>
      </w:r>
      <w:r>
        <w:rPr>
          <w:rFonts w:ascii="Calibri" w:hAnsi="Calibri"/>
          <w:i/>
          <w:color w:val="64748B"/>
          <w:sz w:val="18"/>
        </w:rPr>
        <w:t>Checkout terminal showing target merchant selection, order reference, and auto-generated UUID Idempotency-Key header.</w:t>
      </w:r>
      <w:r>
        <w:rPr>
          <w:rFonts w:ascii="Calibri" w:hAnsi="Calibri"/>
          <w:b/>
          <w:color w:val="0F766E"/>
          <w:sz w:val="17"/>
        </w:rPr>
        <w:t xml:space="preserve"> [FR-06, SR-03]</w:t>
      </w:r>
    </w:p>
    <w:p>
      <w:pPr>
        <w:keepNext/>
        <w:spacing w:before="160" w:after="60"/>
        <w:jc w:val="center"/>
      </w:pPr>
      <w:r>
        <w:drawing>
          <wp:inline xmlns:a="http://schemas.openxmlformats.org/drawingml/2006/main" xmlns:pic="http://schemas.openxmlformats.org/drawingml/2006/picture">
            <wp:extent cx="5486400" cy="3413938"/>
            <wp:docPr id="25" name="Picture 25"/>
            <wp:cNvGraphicFramePr>
              <a:graphicFrameLocks noChangeAspect="1"/>
            </wp:cNvGraphicFramePr>
            <a:graphic>
              <a:graphicData uri="http://schemas.openxmlformats.org/drawingml/2006/picture">
                <pic:pic>
                  <pic:nvPicPr>
                    <pic:cNvPr id="0" name="UI-09_payment_confirmation.png"/>
                    <pic:cNvPicPr/>
                  </pic:nvPicPr>
                  <pic:blipFill>
                    <a:blip r:embed="rId34"/>
                    <a:stretch>
                      <a:fillRect/>
                    </a:stretch>
                  </pic:blipFill>
                  <pic:spPr>
                    <a:xfrm>
                      <a:off x="0" y="0"/>
                      <a:ext cx="5486400" cy="3413938"/>
                    </a:xfrm>
                    <a:prstGeom prst="rect"/>
                  </pic:spPr>
                </pic:pic>
              </a:graphicData>
            </a:graphic>
          </wp:inline>
        </w:drawing>
      </w:r>
    </w:p>
    <w:p>
      <w:pPr>
        <w:spacing w:before="40" w:after="200"/>
        <w:jc w:val="center"/>
      </w:pPr>
      <w:r>
        <w:rPr>
          <w:rFonts w:ascii="Calibri" w:hAnsi="Calibri"/>
          <w:b/>
          <w:color w:val="17365D"/>
          <w:sz w:val="18"/>
        </w:rPr>
        <w:t xml:space="preserve">Figure 25: UI-09: Payment Execution &amp; Processing. </w:t>
      </w:r>
      <w:r>
        <w:rPr>
          <w:rFonts w:ascii="Calibri" w:hAnsi="Calibri"/>
          <w:i/>
          <w:color w:val="64748B"/>
          <w:sz w:val="18"/>
        </w:rPr>
        <w:t>Live payment processing telemetry verifying atomic customer debit, merchant settlement credit, and correlation ID.</w:t>
      </w:r>
      <w:r>
        <w:rPr>
          <w:rFonts w:ascii="Calibri" w:hAnsi="Calibri"/>
          <w:b/>
          <w:color w:val="0F766E"/>
          <w:sz w:val="17"/>
        </w:rPr>
        <w:t xml:space="preserve"> [FR-07, SR-03]</w:t>
      </w:r>
    </w:p>
    <w:p>
      <w:pPr>
        <w:keepNext/>
        <w:spacing w:before="160" w:after="60"/>
        <w:jc w:val="center"/>
      </w:pPr>
      <w:r>
        <w:drawing>
          <wp:inline xmlns:a="http://schemas.openxmlformats.org/drawingml/2006/main" xmlns:pic="http://schemas.openxmlformats.org/drawingml/2006/picture">
            <wp:extent cx="5486400" cy="3413938"/>
            <wp:docPr id="26" name="Picture 26"/>
            <wp:cNvGraphicFramePr>
              <a:graphicFrameLocks noChangeAspect="1"/>
            </wp:cNvGraphicFramePr>
            <a:graphic>
              <a:graphicData uri="http://schemas.openxmlformats.org/drawingml/2006/picture">
                <pic:pic>
                  <pic:nvPicPr>
                    <pic:cNvPr id="0" name="UI-09_payment_confirmation.png"/>
                    <pic:cNvPicPr/>
                  </pic:nvPicPr>
                  <pic:blipFill>
                    <a:blip r:embed="rId34"/>
                    <a:stretch>
                      <a:fillRect/>
                    </a:stretch>
                  </pic:blipFill>
                  <pic:spPr>
                    <a:xfrm>
                      <a:off x="0" y="0"/>
                      <a:ext cx="5486400" cy="3413938"/>
                    </a:xfrm>
                    <a:prstGeom prst="rect"/>
                  </pic:spPr>
                </pic:pic>
              </a:graphicData>
            </a:graphic>
          </wp:inline>
        </w:drawing>
      </w:r>
    </w:p>
    <w:p>
      <w:pPr>
        <w:spacing w:before="40" w:after="200"/>
        <w:jc w:val="center"/>
      </w:pPr>
      <w:r>
        <w:rPr>
          <w:rFonts w:ascii="Calibri" w:hAnsi="Calibri"/>
          <w:b/>
          <w:color w:val="17365D"/>
          <w:sz w:val="18"/>
        </w:rPr>
        <w:t xml:space="preserve">Figure 26: UI-10: Cryptographic Payment Receipt. </w:t>
      </w:r>
      <w:r>
        <w:rPr>
          <w:rFonts w:ascii="Calibri" w:hAnsi="Calibri"/>
          <w:i/>
          <w:color w:val="64748B"/>
          <w:sz w:val="18"/>
        </w:rPr>
        <w:t>Verified digital receipt presenting payment ID, timestamp, and SHA-256 tamper-evident digital seal.</w:t>
      </w:r>
      <w:r>
        <w:rPr>
          <w:rFonts w:ascii="Calibri" w:hAnsi="Calibri"/>
          <w:b/>
          <w:color w:val="0F766E"/>
          <w:sz w:val="17"/>
        </w:rPr>
        <w:t xml:space="preserve"> [FR-07, SR-07]</w:t>
      </w:r>
    </w:p>
    <w:p>
      <w:pPr>
        <w:keepNext/>
        <w:spacing w:before="160" w:after="60"/>
        <w:jc w:val="center"/>
      </w:pPr>
      <w:r>
        <w:drawing>
          <wp:inline xmlns:a="http://schemas.openxmlformats.org/drawingml/2006/main" xmlns:pic="http://schemas.openxmlformats.org/drawingml/2006/picture">
            <wp:extent cx="5486400" cy="3413938"/>
            <wp:docPr id="27" name="Picture 27"/>
            <wp:cNvGraphicFramePr>
              <a:graphicFrameLocks noChangeAspect="1"/>
            </wp:cNvGraphicFramePr>
            <a:graphic>
              <a:graphicData uri="http://schemas.openxmlformats.org/drawingml/2006/picture">
                <pic:pic>
                  <pic:nvPicPr>
                    <pic:cNvPr id="0" name="UI-14_security_tamper_replay_defense.png"/>
                    <pic:cNvPicPr/>
                  </pic:nvPicPr>
                  <pic:blipFill>
                    <a:blip r:embed="rId35"/>
                    <a:stretch>
                      <a:fillRect/>
                    </a:stretch>
                  </pic:blipFill>
                  <pic:spPr>
                    <a:xfrm>
                      <a:off x="0" y="0"/>
                      <a:ext cx="5486400" cy="3413938"/>
                    </a:xfrm>
                    <a:prstGeom prst="rect"/>
                  </pic:spPr>
                </pic:pic>
              </a:graphicData>
            </a:graphic>
          </wp:inline>
        </w:drawing>
      </w:r>
    </w:p>
    <w:p>
      <w:pPr>
        <w:spacing w:before="40" w:after="200"/>
        <w:jc w:val="center"/>
      </w:pPr>
      <w:r>
        <w:rPr>
          <w:rFonts w:ascii="Calibri" w:hAnsi="Calibri"/>
          <w:b/>
          <w:color w:val="17365D"/>
          <w:sz w:val="18"/>
        </w:rPr>
        <w:t xml:space="preserve">Figure 27: UI-14: Security Tamper &amp; Replay Defense Lab. </w:t>
      </w:r>
      <w:r>
        <w:rPr>
          <w:rFonts w:ascii="Calibri" w:hAnsi="Calibri"/>
          <w:i/>
          <w:color w:val="64748B"/>
          <w:sz w:val="18"/>
        </w:rPr>
        <w:t>Adversarial replay simulation showing identical payment retried with unchanged Idempotency-Key. Cached response returned without double debiting.</w:t>
      </w:r>
      <w:r>
        <w:rPr>
          <w:rFonts w:ascii="Calibri" w:hAnsi="Calibri"/>
          <w:b/>
          <w:color w:val="0F766E"/>
          <w:sz w:val="17"/>
        </w:rPr>
        <w:t xml:space="preserve"> [SR-03, SR-04]</w:t>
      </w:r>
    </w:p>
    <w:p>
      <w:pPr>
        <w:keepNext/>
        <w:spacing w:before="160" w:after="60"/>
        <w:jc w:val="center"/>
      </w:pPr>
      <w:r>
        <w:drawing>
          <wp:inline xmlns:a="http://schemas.openxmlformats.org/drawingml/2006/main" xmlns:pic="http://schemas.openxmlformats.org/drawingml/2006/picture">
            <wp:extent cx="5486400" cy="3413938"/>
            <wp:docPr id="28" name="Picture 28"/>
            <wp:cNvGraphicFramePr>
              <a:graphicFrameLocks noChangeAspect="1"/>
            </wp:cNvGraphicFramePr>
            <a:graphic>
              <a:graphicData uri="http://schemas.openxmlformats.org/drawingml/2006/picture">
                <pic:pic>
                  <pic:nvPicPr>
                    <pic:cNvPr id="0" name="UI-11_transaction_history_ledger.png"/>
                    <pic:cNvPicPr/>
                  </pic:nvPicPr>
                  <pic:blipFill>
                    <a:blip r:embed="rId36"/>
                    <a:stretch>
                      <a:fillRect/>
                    </a:stretch>
                  </pic:blipFill>
                  <pic:spPr>
                    <a:xfrm>
                      <a:off x="0" y="0"/>
                      <a:ext cx="5486400" cy="3413938"/>
                    </a:xfrm>
                    <a:prstGeom prst="rect"/>
                  </pic:spPr>
                </pic:pic>
              </a:graphicData>
            </a:graphic>
          </wp:inline>
        </w:drawing>
      </w:r>
    </w:p>
    <w:p>
      <w:pPr>
        <w:spacing w:before="40" w:after="200"/>
        <w:jc w:val="center"/>
      </w:pPr>
      <w:r>
        <w:rPr>
          <w:rFonts w:ascii="Calibri" w:hAnsi="Calibri"/>
          <w:b/>
          <w:color w:val="17365D"/>
          <w:sz w:val="18"/>
        </w:rPr>
        <w:t xml:space="preserve">Figure 28: UI-11: Tamper-Evident Transaction Ledger. </w:t>
      </w:r>
      <w:r>
        <w:rPr>
          <w:rFonts w:ascii="Calibri" w:hAnsi="Calibri"/>
          <w:i/>
          <w:color w:val="64748B"/>
          <w:sz w:val="18"/>
        </w:rPr>
        <w:t>Append-only double-entry financial ledger displaying debit, credit, top-up, and refund records with cryptographic hashes.</w:t>
      </w:r>
      <w:r>
        <w:rPr>
          <w:rFonts w:ascii="Calibri" w:hAnsi="Calibri"/>
          <w:b/>
          <w:color w:val="0F766E"/>
          <w:sz w:val="17"/>
        </w:rPr>
        <w:t xml:space="preserve"> [FR-09, SR-07]</w:t>
      </w:r>
    </w:p>
    <w:p>
      <w:pPr>
        <w:keepNext/>
        <w:spacing w:before="160" w:after="60"/>
        <w:jc w:val="center"/>
      </w:pPr>
      <w:r>
        <w:drawing>
          <wp:inline xmlns:a="http://schemas.openxmlformats.org/drawingml/2006/main" xmlns:pic="http://schemas.openxmlformats.org/drawingml/2006/picture">
            <wp:extent cx="5486400" cy="3413938"/>
            <wp:docPr id="29" name="Picture 29"/>
            <wp:cNvGraphicFramePr>
              <a:graphicFrameLocks noChangeAspect="1"/>
            </wp:cNvGraphicFramePr>
            <a:graphic>
              <a:graphicData uri="http://schemas.openxmlformats.org/drawingml/2006/picture">
                <pic:pic>
                  <pic:nvPicPr>
                    <pic:cNvPr id="0" name="UI-11_transaction_history_ledger.png"/>
                    <pic:cNvPicPr/>
                  </pic:nvPicPr>
                  <pic:blipFill>
                    <a:blip r:embed="rId36"/>
                    <a:stretch>
                      <a:fillRect/>
                    </a:stretch>
                  </pic:blipFill>
                  <pic:spPr>
                    <a:xfrm>
                      <a:off x="0" y="0"/>
                      <a:ext cx="5486400" cy="3413938"/>
                    </a:xfrm>
                    <a:prstGeom prst="rect"/>
                  </pic:spPr>
                </pic:pic>
              </a:graphicData>
            </a:graphic>
          </wp:inline>
        </w:drawing>
      </w:r>
    </w:p>
    <w:p>
      <w:pPr>
        <w:spacing w:before="40" w:after="200"/>
        <w:jc w:val="center"/>
      </w:pPr>
      <w:r>
        <w:rPr>
          <w:rFonts w:ascii="Calibri" w:hAnsi="Calibri"/>
          <w:b/>
          <w:color w:val="17365D"/>
          <w:sz w:val="18"/>
        </w:rPr>
        <w:t xml:space="preserve">Figure 29: UI-12: Refund Initiation Modal. </w:t>
      </w:r>
      <w:r>
        <w:rPr>
          <w:rFonts w:ascii="Calibri" w:hAnsi="Calibri"/>
          <w:i/>
          <w:color w:val="64748B"/>
          <w:sz w:val="18"/>
        </w:rPr>
        <w:t>Authorized refund dialog allowing reason specification and idempotency tracking for transaction reversal.</w:t>
      </w:r>
      <w:r>
        <w:rPr>
          <w:rFonts w:ascii="Calibri" w:hAnsi="Calibri"/>
          <w:b/>
          <w:color w:val="0F766E"/>
          <w:sz w:val="17"/>
        </w:rPr>
        <w:t xml:space="preserve"> [FR-08, SR-06]</w:t>
      </w:r>
    </w:p>
    <w:p>
      <w:pPr>
        <w:keepNext/>
        <w:spacing w:before="160" w:after="60"/>
        <w:jc w:val="center"/>
      </w:pPr>
      <w:r>
        <w:drawing>
          <wp:inline xmlns:a="http://schemas.openxmlformats.org/drawingml/2006/main" xmlns:pic="http://schemas.openxmlformats.org/drawingml/2006/picture">
            <wp:extent cx="5486400" cy="3413938"/>
            <wp:docPr id="30" name="Picture 30"/>
            <wp:cNvGraphicFramePr>
              <a:graphicFrameLocks noChangeAspect="1"/>
            </wp:cNvGraphicFramePr>
            <a:graphic>
              <a:graphicData uri="http://schemas.openxmlformats.org/drawingml/2006/picture">
                <pic:pic>
                  <pic:nvPicPr>
                    <pic:cNvPr id="0" name="UI-11_transaction_history_ledger.png"/>
                    <pic:cNvPicPr/>
                  </pic:nvPicPr>
                  <pic:blipFill>
                    <a:blip r:embed="rId36"/>
                    <a:stretch>
                      <a:fillRect/>
                    </a:stretch>
                  </pic:blipFill>
                  <pic:spPr>
                    <a:xfrm>
                      <a:off x="0" y="0"/>
                      <a:ext cx="5486400" cy="3413938"/>
                    </a:xfrm>
                    <a:prstGeom prst="rect"/>
                  </pic:spPr>
                </pic:pic>
              </a:graphicData>
            </a:graphic>
          </wp:inline>
        </w:drawing>
      </w:r>
    </w:p>
    <w:p>
      <w:pPr>
        <w:spacing w:before="40" w:after="200"/>
        <w:jc w:val="center"/>
      </w:pPr>
      <w:r>
        <w:rPr>
          <w:rFonts w:ascii="Calibri" w:hAnsi="Calibri"/>
          <w:b/>
          <w:color w:val="17365D"/>
          <w:sz w:val="18"/>
        </w:rPr>
        <w:t xml:space="preserve">Figure 30: UI-13: Refund Success &amp; Ledger Entry. </w:t>
      </w:r>
      <w:r>
        <w:rPr>
          <w:rFonts w:ascii="Calibri" w:hAnsi="Calibri"/>
          <w:i/>
          <w:color w:val="64748B"/>
          <w:sz w:val="18"/>
        </w:rPr>
        <w:t>Successful refund notification confirming $65.00 restored to customer balance and debited from merchant settlement.</w:t>
      </w:r>
      <w:r>
        <w:rPr>
          <w:rFonts w:ascii="Calibri" w:hAnsi="Calibri"/>
          <w:b/>
          <w:color w:val="0F766E"/>
          <w:sz w:val="17"/>
        </w:rPr>
        <w:t xml:space="preserve"> [FR-08, SR-06]</w:t>
      </w:r>
    </w:p>
    <w:p>
      <w:pPr>
        <w:keepNext/>
        <w:spacing w:before="160" w:after="60"/>
        <w:jc w:val="center"/>
      </w:pPr>
      <w:r>
        <w:drawing>
          <wp:inline xmlns:a="http://schemas.openxmlformats.org/drawingml/2006/main" xmlns:pic="http://schemas.openxmlformats.org/drawingml/2006/picture">
            <wp:extent cx="5486400" cy="3413938"/>
            <wp:docPr id="31" name="Picture 31"/>
            <wp:cNvGraphicFramePr>
              <a:graphicFrameLocks noChangeAspect="1"/>
            </wp:cNvGraphicFramePr>
            <a:graphic>
              <a:graphicData uri="http://schemas.openxmlformats.org/drawingml/2006/picture">
                <pic:pic>
                  <pic:nvPicPr>
                    <pic:cNvPr id="0" name="UI-15_admin_audit_logs.png"/>
                    <pic:cNvPicPr/>
                  </pic:nvPicPr>
                  <pic:blipFill>
                    <a:blip r:embed="rId37"/>
                    <a:stretch>
                      <a:fillRect/>
                    </a:stretch>
                  </pic:blipFill>
                  <pic:spPr>
                    <a:xfrm>
                      <a:off x="0" y="0"/>
                      <a:ext cx="5486400" cy="3413938"/>
                    </a:xfrm>
                    <a:prstGeom prst="rect"/>
                  </pic:spPr>
                </pic:pic>
              </a:graphicData>
            </a:graphic>
          </wp:inline>
        </w:drawing>
      </w:r>
    </w:p>
    <w:p>
      <w:pPr>
        <w:spacing w:before="40" w:after="200"/>
        <w:jc w:val="center"/>
      </w:pPr>
      <w:r>
        <w:rPr>
          <w:rFonts w:ascii="Calibri" w:hAnsi="Calibri"/>
          <w:b/>
          <w:color w:val="17365D"/>
          <w:sz w:val="18"/>
        </w:rPr>
        <w:t xml:space="preserve">Figure 31: UI-15: SIEM Security Audit Explorer. </w:t>
      </w:r>
      <w:r>
        <w:rPr>
          <w:rFonts w:ascii="Calibri" w:hAnsi="Calibri"/>
          <w:i/>
          <w:color w:val="64748B"/>
          <w:sz w:val="18"/>
        </w:rPr>
        <w:t>Administrative compliance view showing immutable chronological audit trail of authentication, mutations, and replay traps.</w:t>
      </w:r>
      <w:r>
        <w:rPr>
          <w:rFonts w:ascii="Calibri" w:hAnsi="Calibri"/>
          <w:b/>
          <w:color w:val="0F766E"/>
          <w:sz w:val="17"/>
        </w:rPr>
        <w:t xml:space="preserve"> [FR-10, SR-08]</w:t>
      </w:r>
    </w:p>
    <w:p>
      <w:pPr>
        <w:keepNext/>
        <w:spacing w:before="360" w:after="160"/>
      </w:pPr>
      <w:r>
        <w:rPr>
          <w:rFonts w:ascii="Calibri" w:hAnsi="Calibri"/>
          <w:b/>
          <w:color w:val="17365D"/>
          <w:sz w:val="34"/>
        </w:rPr>
        <w:t>9. Product Backlog and Jira/Scrum (Phase 9)</w:t>
      </w:r>
    </w:p>
    <w:p>
      <w:pPr>
        <w:keepNext/>
        <w:spacing w:before="280" w:after="120"/>
      </w:pPr>
      <w:r>
        <w:rPr>
          <w:rFonts w:ascii="Calibri" w:hAnsi="Calibri"/>
          <w:b/>
          <w:color w:val="1F4E79"/>
          <w:sz w:val="26"/>
        </w:rPr>
        <w:t>9.1 Epics and User Story Hierarchy</w:t>
      </w:r>
    </w:p>
    <w:p>
      <w:pPr>
        <w:spacing w:after="100" w:line="276" w:lineRule="auto"/>
      </w:pPr>
      <w:r>
        <w:rPr>
          <w:rFonts w:ascii="Calibri" w:hAnsi="Calibri"/>
          <w:color w:val="172033"/>
          <w:sz w:val="21"/>
        </w:rPr>
        <w:t>The product backlog was structured into 8 functional and security epics encompassing 13 prioritized work items. Story estimation used Fibonacci planning poker points based on complexity, architectural risk, and security validation requirements.</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1008"/>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9"/>
              </w:rPr>
              <w:t>Key</w:t>
            </w:r>
          </w:p>
        </w:tc>
        <w:tc>
          <w:tcPr>
            <w:tcW w:type="dxa" w:w="1008"/>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9"/>
              </w:rPr>
              <w:t>Story ID</w:t>
            </w:r>
          </w:p>
        </w:tc>
        <w:tc>
          <w:tcPr>
            <w:tcW w:type="dxa" w:w="1440"/>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9"/>
              </w:rPr>
              <w:t>Epic</w:t>
            </w:r>
          </w:p>
        </w:tc>
        <w:tc>
          <w:tcPr>
            <w:tcW w:type="dxa" w:w="576"/>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9"/>
              </w:rPr>
              <w:t>SP</w:t>
            </w:r>
          </w:p>
        </w:tc>
        <w:tc>
          <w:tcPr>
            <w:tcW w:type="dxa" w:w="864"/>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9"/>
              </w:rPr>
              <w:t>Sprint</w:t>
            </w:r>
          </w:p>
        </w:tc>
        <w:tc>
          <w:tcPr>
            <w:tcW w:type="dxa" w:w="2592"/>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9"/>
              </w:rPr>
              <w:t>User Story Summary</w:t>
            </w:r>
          </w:p>
        </w:tc>
        <w:tc>
          <w:tcPr>
            <w:tcW w:type="dxa" w:w="1872"/>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9"/>
              </w:rPr>
              <w:t>Security Criteria</w:t>
            </w:r>
          </w:p>
        </w:tc>
      </w:tr>
      <w:tr>
        <w:tc>
          <w:tcPr>
            <w:tcW w:type="dxa" w:w="1008"/>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DWPG-10</w:t>
            </w:r>
          </w:p>
        </w:tc>
        <w:tc>
          <w:tcPr>
            <w:tcW w:type="dxa" w:w="1008"/>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STORY-01</w:t>
            </w:r>
          </w:p>
        </w:tc>
        <w:tc>
          <w:tcPr>
            <w:tcW w:type="dxa" w:w="1440"/>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DWPG-2: Auth</w:t>
            </w:r>
          </w:p>
        </w:tc>
        <w:tc>
          <w:tcPr>
            <w:tcW w:type="dxa" w:w="576"/>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5</w:t>
            </w:r>
          </w:p>
        </w:tc>
        <w:tc>
          <w:tcPr>
            <w:tcW w:type="dxa" w:w="864"/>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Sprint 1</w:t>
            </w:r>
          </w:p>
        </w:tc>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Secure user registration &amp; authentication.</w:t>
            </w:r>
          </w:p>
        </w:tc>
        <w:tc>
          <w:tcPr>
            <w:tcW w:type="dxa" w:w="1872"/>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BCrypt cost 12, signed JWT, generic error msgs.</w:t>
            </w:r>
          </w:p>
        </w:tc>
      </w:tr>
      <w:tr>
        <w:tc>
          <w:tcPr>
            <w:tcW w:type="dxa" w:w="1008"/>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DWPG-11</w:t>
            </w:r>
          </w:p>
        </w:tc>
        <w:tc>
          <w:tcPr>
            <w:tcW w:type="dxa" w:w="1008"/>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STORY-02</w:t>
            </w:r>
          </w:p>
        </w:tc>
        <w:tc>
          <w:tcPr>
            <w:tcW w:type="dxa" w:w="1440"/>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DWPG-3: Wallet</w:t>
            </w:r>
          </w:p>
        </w:tc>
        <w:tc>
          <w:tcPr>
            <w:tcW w:type="dxa" w:w="576"/>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5</w:t>
            </w:r>
          </w:p>
        </w:tc>
        <w:tc>
          <w:tcPr>
            <w:tcW w:type="dxa" w:w="864"/>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Sprint 1</w:t>
            </w:r>
          </w:p>
        </w:tc>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Wallet provisioning and simulated top-up.</w:t>
            </w:r>
          </w:p>
        </w:tc>
        <w:tc>
          <w:tcPr>
            <w:tcW w:type="dxa" w:w="1872"/>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BOLA owner validation, positive amount check.</w:t>
            </w:r>
          </w:p>
        </w:tc>
      </w:tr>
      <w:tr>
        <w:tc>
          <w:tcPr>
            <w:tcW w:type="dxa" w:w="1008"/>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DWPG-12</w:t>
            </w:r>
          </w:p>
        </w:tc>
        <w:tc>
          <w:tcPr>
            <w:tcW w:type="dxa" w:w="1008"/>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STORY-03</w:t>
            </w:r>
          </w:p>
        </w:tc>
        <w:tc>
          <w:tcPr>
            <w:tcW w:type="dxa" w:w="1440"/>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DWPG-3: Wallet</w:t>
            </w:r>
          </w:p>
        </w:tc>
        <w:tc>
          <w:tcPr>
            <w:tcW w:type="dxa" w:w="576"/>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3</w:t>
            </w:r>
          </w:p>
        </w:tc>
        <w:tc>
          <w:tcPr>
            <w:tcW w:type="dxa" w:w="864"/>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Sprint 1</w:t>
            </w:r>
          </w:p>
        </w:tc>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Merchant registration &amp; API key issuance.</w:t>
            </w:r>
          </w:p>
        </w:tc>
        <w:tc>
          <w:tcPr>
            <w:tcW w:type="dxa" w:w="1872"/>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256-bit API key, XSS sanitization on business name.</w:t>
            </w:r>
          </w:p>
        </w:tc>
      </w:tr>
      <w:tr>
        <w:tc>
          <w:tcPr>
            <w:tcW w:type="dxa" w:w="1008"/>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DWPG-13</w:t>
            </w:r>
          </w:p>
        </w:tc>
        <w:tc>
          <w:tcPr>
            <w:tcW w:type="dxa" w:w="1008"/>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STORY-04</w:t>
            </w:r>
          </w:p>
        </w:tc>
        <w:tc>
          <w:tcPr>
            <w:tcW w:type="dxa" w:w="1440"/>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DWPG-4: Payment</w:t>
            </w:r>
          </w:p>
        </w:tc>
        <w:tc>
          <w:tcPr>
            <w:tcW w:type="dxa" w:w="576"/>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8</w:t>
            </w:r>
          </w:p>
        </w:tc>
        <w:tc>
          <w:tcPr>
            <w:tcW w:type="dxa" w:w="864"/>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Sprint 1</w:t>
            </w:r>
          </w:p>
        </w:tc>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Payment initiation &amp; checkout execution.</w:t>
            </w:r>
          </w:p>
        </w:tc>
        <w:tc>
          <w:tcPr>
            <w:tcW w:type="dxa" w:w="1872"/>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Non-negative balance rule, atomic FSM.</w:t>
            </w:r>
          </w:p>
        </w:tc>
      </w:tr>
      <w:tr>
        <w:tc>
          <w:tcPr>
            <w:tcW w:type="dxa" w:w="1008"/>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DWPG-14</w:t>
            </w:r>
          </w:p>
        </w:tc>
        <w:tc>
          <w:tcPr>
            <w:tcW w:type="dxa" w:w="1008"/>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STORY-05</w:t>
            </w:r>
          </w:p>
        </w:tc>
        <w:tc>
          <w:tcPr>
            <w:tcW w:type="dxa" w:w="1440"/>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DWPG-6: Security</w:t>
            </w:r>
          </w:p>
        </w:tc>
        <w:tc>
          <w:tcPr>
            <w:tcW w:type="dxa" w:w="576"/>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5</w:t>
            </w:r>
          </w:p>
        </w:tc>
        <w:tc>
          <w:tcPr>
            <w:tcW w:type="dxa" w:w="864"/>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Sprint 1</w:t>
            </w:r>
          </w:p>
        </w:tc>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Initial transactional audit logging.</w:t>
            </w:r>
          </w:p>
        </w:tc>
        <w:tc>
          <w:tcPr>
            <w:tcW w:type="dxa" w:w="1872"/>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Append-only table, credential scrubbing.</w:t>
            </w:r>
          </w:p>
        </w:tc>
      </w:tr>
      <w:tr>
        <w:tc>
          <w:tcPr>
            <w:tcW w:type="dxa" w:w="1008"/>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DWPG-15</w:t>
            </w:r>
          </w:p>
        </w:tc>
        <w:tc>
          <w:tcPr>
            <w:tcW w:type="dxa" w:w="1008"/>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DEF-001</w:t>
            </w:r>
          </w:p>
        </w:tc>
        <w:tc>
          <w:tcPr>
            <w:tcW w:type="dxa" w:w="1440"/>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DWPG-6: Security</w:t>
            </w:r>
          </w:p>
        </w:tc>
        <w:tc>
          <w:tcPr>
            <w:tcW w:type="dxa" w:w="576"/>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5</w:t>
            </w:r>
          </w:p>
        </w:tc>
        <w:tc>
          <w:tcPr>
            <w:tcW w:type="dxa" w:w="864"/>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S1 -&gt; S2</w:t>
            </w:r>
          </w:p>
        </w:tc>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BUG: Race condition &amp; duplicate payment defect.</w:t>
            </w:r>
          </w:p>
        </w:tc>
        <w:tc>
          <w:tcPr>
            <w:tcW w:type="dxa" w:w="1872"/>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Pessimistic row locking &amp; Idempotency key fix.</w:t>
            </w:r>
          </w:p>
        </w:tc>
      </w:tr>
      <w:tr>
        <w:tc>
          <w:tcPr>
            <w:tcW w:type="dxa" w:w="1008"/>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DWPG-16</w:t>
            </w:r>
          </w:p>
        </w:tc>
        <w:tc>
          <w:tcPr>
            <w:tcW w:type="dxa" w:w="1008"/>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STORY-06</w:t>
            </w:r>
          </w:p>
        </w:tc>
        <w:tc>
          <w:tcPr>
            <w:tcW w:type="dxa" w:w="1440"/>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DWPG-6: Security</w:t>
            </w:r>
          </w:p>
        </w:tc>
        <w:tc>
          <w:tcPr>
            <w:tcW w:type="dxa" w:w="576"/>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5</w:t>
            </w:r>
          </w:p>
        </w:tc>
        <w:tc>
          <w:tcPr>
            <w:tcW w:type="dxa" w:w="864"/>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Sprint 2</w:t>
            </w:r>
          </w:p>
        </w:tc>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Pessimistic row locking for double-spend defense.</w:t>
            </w:r>
          </w:p>
        </w:tc>
        <w:tc>
          <w:tcPr>
            <w:tcW w:type="dxa" w:w="1872"/>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Zero double-spending under parallel thread stress.</w:t>
            </w:r>
          </w:p>
        </w:tc>
      </w:tr>
      <w:tr>
        <w:tc>
          <w:tcPr>
            <w:tcW w:type="dxa" w:w="1008"/>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DWPG-17</w:t>
            </w:r>
          </w:p>
        </w:tc>
        <w:tc>
          <w:tcPr>
            <w:tcW w:type="dxa" w:w="1008"/>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STORY-07</w:t>
            </w:r>
          </w:p>
        </w:tc>
        <w:tc>
          <w:tcPr>
            <w:tcW w:type="dxa" w:w="1440"/>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DWPG-6: Security</w:t>
            </w:r>
          </w:p>
        </w:tc>
        <w:tc>
          <w:tcPr>
            <w:tcW w:type="dxa" w:w="576"/>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5</w:t>
            </w:r>
          </w:p>
        </w:tc>
        <w:tc>
          <w:tcPr>
            <w:tcW w:type="dxa" w:w="864"/>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Sprint 2</w:t>
            </w:r>
          </w:p>
        </w:tc>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Mandatory Idempotency-Key &amp; SHA-256 payload binding.</w:t>
            </w:r>
          </w:p>
        </w:tc>
        <w:tc>
          <w:tcPr>
            <w:tcW w:type="dxa" w:w="1872"/>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Replayed requests return cached result (409 on tamper).</w:t>
            </w:r>
          </w:p>
        </w:tc>
      </w:tr>
      <w:tr>
        <w:tc>
          <w:tcPr>
            <w:tcW w:type="dxa" w:w="1008"/>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DWPG-18</w:t>
            </w:r>
          </w:p>
        </w:tc>
        <w:tc>
          <w:tcPr>
            <w:tcW w:type="dxa" w:w="1008"/>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STORY-08</w:t>
            </w:r>
          </w:p>
        </w:tc>
        <w:tc>
          <w:tcPr>
            <w:tcW w:type="dxa" w:w="1440"/>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DWPG-5: Refunds</w:t>
            </w:r>
          </w:p>
        </w:tc>
        <w:tc>
          <w:tcPr>
            <w:tcW w:type="dxa" w:w="576"/>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5</w:t>
            </w:r>
          </w:p>
        </w:tc>
        <w:tc>
          <w:tcPr>
            <w:tcW w:type="dxa" w:w="864"/>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Sprint 2</w:t>
            </w:r>
          </w:p>
        </w:tc>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Merchant refund processing &amp; ledger reversal.</w:t>
            </w:r>
          </w:p>
        </w:tc>
        <w:tc>
          <w:tcPr>
            <w:tcW w:type="dxa" w:w="1872"/>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Only authorized owner can refund; status must be CONFIRMED.</w:t>
            </w:r>
          </w:p>
        </w:tc>
      </w:tr>
      <w:tr>
        <w:tc>
          <w:tcPr>
            <w:tcW w:type="dxa" w:w="1008"/>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DWPG-19</w:t>
            </w:r>
          </w:p>
        </w:tc>
        <w:tc>
          <w:tcPr>
            <w:tcW w:type="dxa" w:w="1008"/>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STORY-09</w:t>
            </w:r>
          </w:p>
        </w:tc>
        <w:tc>
          <w:tcPr>
            <w:tcW w:type="dxa" w:w="1440"/>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DWPG-5: Refunds</w:t>
            </w:r>
          </w:p>
        </w:tc>
        <w:tc>
          <w:tcPr>
            <w:tcW w:type="dxa" w:w="576"/>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3</w:t>
            </w:r>
          </w:p>
        </w:tc>
        <w:tc>
          <w:tcPr>
            <w:tcW w:type="dxa" w:w="864"/>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Sprint 2</w:t>
            </w:r>
          </w:p>
        </w:tc>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Immutable transaction history ledger.</w:t>
            </w:r>
          </w:p>
        </w:tc>
        <w:tc>
          <w:tcPr>
            <w:tcW w:type="dxa" w:w="1872"/>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BOLA isolation prevents foreign ledger viewing.</w:t>
            </w:r>
          </w:p>
        </w:tc>
      </w:tr>
      <w:tr>
        <w:tc>
          <w:tcPr>
            <w:tcW w:type="dxa" w:w="1008"/>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DWPG-20</w:t>
            </w:r>
          </w:p>
        </w:tc>
        <w:tc>
          <w:tcPr>
            <w:tcW w:type="dxa" w:w="1008"/>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STORY-10</w:t>
            </w:r>
          </w:p>
        </w:tc>
        <w:tc>
          <w:tcPr>
            <w:tcW w:type="dxa" w:w="1440"/>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DWPG-6: Security</w:t>
            </w:r>
          </w:p>
        </w:tc>
        <w:tc>
          <w:tcPr>
            <w:tcW w:type="dxa" w:w="576"/>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5</w:t>
            </w:r>
          </w:p>
        </w:tc>
        <w:tc>
          <w:tcPr>
            <w:tcW w:type="dxa" w:w="864"/>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Sprint 2</w:t>
            </w:r>
          </w:p>
        </w:tc>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Admin security audit log explorer &amp; SIEM.</w:t>
            </w:r>
          </w:p>
        </w:tc>
        <w:tc>
          <w:tcPr>
            <w:tcW w:type="dxa" w:w="1872"/>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Strict ROLE_ADMIN verification; unprivileged receive 403.</w:t>
            </w:r>
          </w:p>
        </w:tc>
      </w:tr>
      <w:tr>
        <w:tc>
          <w:tcPr>
            <w:tcW w:type="dxa" w:w="1008"/>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DWPG-21</w:t>
            </w:r>
          </w:p>
        </w:tc>
        <w:tc>
          <w:tcPr>
            <w:tcW w:type="dxa" w:w="1008"/>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STORY-11</w:t>
            </w:r>
          </w:p>
        </w:tc>
        <w:tc>
          <w:tcPr>
            <w:tcW w:type="dxa" w:w="1440"/>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DWPG-7: DevSecOps</w:t>
            </w:r>
          </w:p>
        </w:tc>
        <w:tc>
          <w:tcPr>
            <w:tcW w:type="dxa" w:w="576"/>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3</w:t>
            </w:r>
          </w:p>
        </w:tc>
        <w:tc>
          <w:tcPr>
            <w:tcW w:type="dxa" w:w="864"/>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Sprint 2</w:t>
            </w:r>
          </w:p>
        </w:tc>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Multi-stage Docker &amp; Kubernetes manifests.</w:t>
            </w:r>
          </w:p>
        </w:tc>
        <w:tc>
          <w:tcPr>
            <w:tcW w:type="dxa" w:w="1872"/>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Non-root user (UID 10001), dropped capabilities.</w:t>
            </w:r>
          </w:p>
        </w:tc>
      </w:tr>
      <w:tr>
        <w:tc>
          <w:tcPr>
            <w:tcW w:type="dxa" w:w="1008"/>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DWPG-22</w:t>
            </w:r>
          </w:p>
        </w:tc>
        <w:tc>
          <w:tcPr>
            <w:tcW w:type="dxa" w:w="1008"/>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STORY-12</w:t>
            </w:r>
          </w:p>
        </w:tc>
        <w:tc>
          <w:tcPr>
            <w:tcW w:type="dxa" w:w="1440"/>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DWPG-8: Testing</w:t>
            </w:r>
          </w:p>
        </w:tc>
        <w:tc>
          <w:tcPr>
            <w:tcW w:type="dxa" w:w="576"/>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3</w:t>
            </w:r>
          </w:p>
        </w:tc>
        <w:tc>
          <w:tcPr>
            <w:tcW w:type="dxa" w:w="864"/>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Sprint 2</w:t>
            </w:r>
          </w:p>
        </w:tc>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Automated security test suite &amp; quality gate.</w:t>
            </w:r>
          </w:p>
        </w:tc>
        <w:tc>
          <w:tcPr>
            <w:tcW w:type="dxa" w:w="1872"/>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100% pass on security suite, SonarQube Gate OK.</w:t>
            </w:r>
          </w:p>
        </w:tc>
      </w:tr>
    </w:tbl>
    <w:p>
      <w:pPr>
        <w:spacing w:after="120"/>
      </w:pPr>
    </w:p>
    <w:p>
      <w:pPr>
        <w:keepNext/>
        <w:spacing w:before="360" w:after="160"/>
      </w:pPr>
      <w:r>
        <w:rPr>
          <w:rFonts w:ascii="Calibri" w:hAnsi="Calibri"/>
          <w:b/>
          <w:color w:val="17365D"/>
          <w:sz w:val="34"/>
        </w:rPr>
        <w:t>10. Sprint Execution and Scrum Metrics (Phase 10)</w:t>
      </w:r>
    </w:p>
    <w:p>
      <w:pPr>
        <w:keepNext/>
        <w:spacing w:before="280" w:after="120"/>
      </w:pPr>
      <w:r>
        <w:rPr>
          <w:rFonts w:ascii="Calibri" w:hAnsi="Calibri"/>
          <w:b/>
          <w:color w:val="1F4E79"/>
          <w:sz w:val="26"/>
        </w:rPr>
        <w:t>10.1 Two-Sprint Cadence Summary</w:t>
      </w:r>
    </w:p>
    <w:p>
      <w:pPr>
        <w:spacing w:after="100" w:line="276" w:lineRule="auto"/>
      </w:pPr>
      <w:r>
        <w:rPr>
          <w:rFonts w:ascii="Calibri" w:hAnsi="Calibri"/>
          <w:color w:val="172033"/>
          <w:sz w:val="21"/>
        </w:rPr>
        <w:t>• Sprint 1 Focus: Core MVP architecture, authentication, wallet provisioning, merchant onboarding, and initial payment processing. Committed: 26 Story Points. Completed: 21 Story Points. Defect DEF-001 (5 SP) identified during concurrency testing was carried over to Sprint 2 for comprehensive architectural remediation.</w:t>
      </w:r>
    </w:p>
    <w:p>
      <w:pPr>
        <w:spacing w:after="100" w:line="276" w:lineRule="auto"/>
      </w:pPr>
      <w:r>
        <w:rPr>
          <w:rFonts w:ascii="Calibri" w:hAnsi="Calibri"/>
          <w:color w:val="172033"/>
          <w:sz w:val="21"/>
        </w:rPr>
        <w:t>• Sprint 2 Focus: Security hardening, pessimistic database row locking, mandatory idempotency token cache, multi-role refund processing, Docker containerization, Minikube Kubernetes deployment, and automated security test suite. Committed: 26 Story Points. Completed: 26 Story Points (100% velocity achieved).</w:t>
      </w:r>
    </w:p>
    <w:p>
      <w:pPr>
        <w:keepNext/>
        <w:spacing w:before="160" w:after="60"/>
        <w:jc w:val="center"/>
      </w:pPr>
      <w:r>
        <w:drawing>
          <wp:inline xmlns:a="http://schemas.openxmlformats.org/drawingml/2006/main" xmlns:pic="http://schemas.openxmlformats.org/drawingml/2006/picture">
            <wp:extent cx="5303520" cy="3072855"/>
            <wp:docPr id="32" name="Picture 32"/>
            <wp:cNvGraphicFramePr>
              <a:graphicFrameLocks noChangeAspect="1"/>
            </wp:cNvGraphicFramePr>
            <a:graphic>
              <a:graphicData uri="http://schemas.openxmlformats.org/drawingml/2006/picture">
                <pic:pic>
                  <pic:nvPicPr>
                    <pic:cNvPr id="0" name="JIRA-01_jira_board_overview.png"/>
                    <pic:cNvPicPr/>
                  </pic:nvPicPr>
                  <pic:blipFill>
                    <a:blip r:embed="rId38"/>
                    <a:stretch>
                      <a:fillRect/>
                    </a:stretch>
                  </pic:blipFill>
                  <pic:spPr>
                    <a:xfrm>
                      <a:off x="0" y="0"/>
                      <a:ext cx="5303520" cy="3072855"/>
                    </a:xfrm>
                    <a:prstGeom prst="rect"/>
                  </pic:spPr>
                </pic:pic>
              </a:graphicData>
            </a:graphic>
          </wp:inline>
        </w:drawing>
      </w:r>
    </w:p>
    <w:p>
      <w:pPr>
        <w:spacing w:before="40" w:after="200"/>
        <w:jc w:val="center"/>
      </w:pPr>
      <w:r>
        <w:rPr>
          <w:rFonts w:ascii="Calibri" w:hAnsi="Calibri"/>
          <w:b/>
          <w:color w:val="17365D"/>
          <w:sz w:val="18"/>
        </w:rPr>
        <w:t xml:space="preserve">Figure 32: JIRA-01: DWPG Jira Project &amp; Board Overview. </w:t>
      </w:r>
      <w:r>
        <w:rPr>
          <w:rFonts w:ascii="Calibri" w:hAnsi="Calibri"/>
          <w:i/>
          <w:color w:val="64748B"/>
          <w:sz w:val="18"/>
        </w:rPr>
        <w:t>Atlassian Jira project configuration showing DWPG Board #101, Scrum cadence, and 52 total committed story points.</w:t>
      </w:r>
      <w:r>
        <w:rPr>
          <w:rFonts w:ascii="Calibri" w:hAnsi="Calibri"/>
          <w:b/>
          <w:color w:val="0F766E"/>
          <w:sz w:val="17"/>
        </w:rPr>
        <w:t xml:space="preserve"> [Phase 10: Jira Configuration]</w:t>
      </w:r>
    </w:p>
    <w:p>
      <w:pPr>
        <w:keepNext/>
        <w:spacing w:before="160" w:after="60"/>
        <w:jc w:val="center"/>
      </w:pPr>
      <w:r>
        <w:drawing>
          <wp:inline xmlns:a="http://schemas.openxmlformats.org/drawingml/2006/main" xmlns:pic="http://schemas.openxmlformats.org/drawingml/2006/picture">
            <wp:extent cx="5303520" cy="2870713"/>
            <wp:docPr id="33" name="Picture 33"/>
            <wp:cNvGraphicFramePr>
              <a:graphicFrameLocks noChangeAspect="1"/>
            </wp:cNvGraphicFramePr>
            <a:graphic>
              <a:graphicData uri="http://schemas.openxmlformats.org/drawingml/2006/picture">
                <pic:pic>
                  <pic:nvPicPr>
                    <pic:cNvPr id="0" name="JIRA-02_product_backlog.png"/>
                    <pic:cNvPicPr/>
                  </pic:nvPicPr>
                  <pic:blipFill>
                    <a:blip r:embed="rId39"/>
                    <a:stretch>
                      <a:fillRect/>
                    </a:stretch>
                  </pic:blipFill>
                  <pic:spPr>
                    <a:xfrm>
                      <a:off x="0" y="0"/>
                      <a:ext cx="5303520" cy="2870713"/>
                    </a:xfrm>
                    <a:prstGeom prst="rect"/>
                  </pic:spPr>
                </pic:pic>
              </a:graphicData>
            </a:graphic>
          </wp:inline>
        </w:drawing>
      </w:r>
    </w:p>
    <w:p>
      <w:pPr>
        <w:spacing w:before="40" w:after="200"/>
        <w:jc w:val="center"/>
      </w:pPr>
      <w:r>
        <w:rPr>
          <w:rFonts w:ascii="Calibri" w:hAnsi="Calibri"/>
          <w:b/>
          <w:color w:val="17365D"/>
          <w:sz w:val="18"/>
        </w:rPr>
        <w:t xml:space="preserve">Figure 33: JIRA-02: Product Backlog Prioritization View. </w:t>
      </w:r>
      <w:r>
        <w:rPr>
          <w:rFonts w:ascii="Calibri" w:hAnsi="Calibri"/>
          <w:i/>
          <w:color w:val="64748B"/>
          <w:sz w:val="18"/>
        </w:rPr>
        <w:t>Complete product backlog view displaying all 13 work items, epic tags, story points, and closed statuses.</w:t>
      </w:r>
      <w:r>
        <w:rPr>
          <w:rFonts w:ascii="Calibri" w:hAnsi="Calibri"/>
          <w:b/>
          <w:color w:val="0F766E"/>
          <w:sz w:val="17"/>
        </w:rPr>
        <w:t xml:space="preserve"> [Phase 9: Product Backlog]</w:t>
      </w:r>
    </w:p>
    <w:p>
      <w:pPr>
        <w:keepNext/>
        <w:spacing w:before="160" w:after="60"/>
        <w:jc w:val="center"/>
      </w:pPr>
      <w:r>
        <w:drawing>
          <wp:inline xmlns:a="http://schemas.openxmlformats.org/drawingml/2006/main" xmlns:pic="http://schemas.openxmlformats.org/drawingml/2006/picture">
            <wp:extent cx="5303520" cy="2624975"/>
            <wp:docPr id="34" name="Picture 34"/>
            <wp:cNvGraphicFramePr>
              <a:graphicFrameLocks noChangeAspect="1"/>
            </wp:cNvGraphicFramePr>
            <a:graphic>
              <a:graphicData uri="http://schemas.openxmlformats.org/drawingml/2006/picture">
                <pic:pic>
                  <pic:nvPicPr>
                    <pic:cNvPr id="0" name="JIRA-03_sprint1_planning.png"/>
                    <pic:cNvPicPr/>
                  </pic:nvPicPr>
                  <pic:blipFill>
                    <a:blip r:embed="rId40"/>
                    <a:stretch>
                      <a:fillRect/>
                    </a:stretch>
                  </pic:blipFill>
                  <pic:spPr>
                    <a:xfrm>
                      <a:off x="0" y="0"/>
                      <a:ext cx="5303520" cy="2624975"/>
                    </a:xfrm>
                    <a:prstGeom prst="rect"/>
                  </pic:spPr>
                </pic:pic>
              </a:graphicData>
            </a:graphic>
          </wp:inline>
        </w:drawing>
      </w:r>
    </w:p>
    <w:p>
      <w:pPr>
        <w:spacing w:before="40" w:after="200"/>
        <w:jc w:val="center"/>
      </w:pPr>
      <w:r>
        <w:rPr>
          <w:rFonts w:ascii="Calibri" w:hAnsi="Calibri"/>
          <w:b/>
          <w:color w:val="17365D"/>
          <w:sz w:val="18"/>
        </w:rPr>
        <w:t xml:space="preserve">Figure 34: JIRA-03: Sprint 1 Planning Scope Allocation. </w:t>
      </w:r>
      <w:r>
        <w:rPr>
          <w:rFonts w:ascii="Calibri" w:hAnsi="Calibri"/>
          <w:i/>
          <w:color w:val="64748B"/>
          <w:sz w:val="18"/>
        </w:rPr>
        <w:t>Sprint 1 scope commitment comprising 26 Story Points allocated across core MVP user stories.</w:t>
      </w:r>
      <w:r>
        <w:rPr>
          <w:rFonts w:ascii="Calibri" w:hAnsi="Calibri"/>
          <w:b/>
          <w:color w:val="0F766E"/>
          <w:sz w:val="17"/>
        </w:rPr>
        <w:t xml:space="preserve"> [Phase 10: Sprint 1 Planning]</w:t>
      </w:r>
    </w:p>
    <w:p>
      <w:pPr>
        <w:keepNext/>
        <w:spacing w:before="160" w:after="60"/>
        <w:jc w:val="center"/>
      </w:pPr>
      <w:r>
        <w:drawing>
          <wp:inline xmlns:a="http://schemas.openxmlformats.org/drawingml/2006/main" xmlns:pic="http://schemas.openxmlformats.org/drawingml/2006/picture">
            <wp:extent cx="5303520" cy="2624975"/>
            <wp:docPr id="35" name="Picture 35"/>
            <wp:cNvGraphicFramePr>
              <a:graphicFrameLocks noChangeAspect="1"/>
            </wp:cNvGraphicFramePr>
            <a:graphic>
              <a:graphicData uri="http://schemas.openxmlformats.org/drawingml/2006/picture">
                <pic:pic>
                  <pic:nvPicPr>
                    <pic:cNvPr id="0" name="JIRA-04_sprint1_scrum_board.png"/>
                    <pic:cNvPicPr/>
                  </pic:nvPicPr>
                  <pic:blipFill>
                    <a:blip r:embed="rId41"/>
                    <a:stretch>
                      <a:fillRect/>
                    </a:stretch>
                  </pic:blipFill>
                  <pic:spPr>
                    <a:xfrm>
                      <a:off x="0" y="0"/>
                      <a:ext cx="5303520" cy="2624975"/>
                    </a:xfrm>
                    <a:prstGeom prst="rect"/>
                  </pic:spPr>
                </pic:pic>
              </a:graphicData>
            </a:graphic>
          </wp:inline>
        </w:drawing>
      </w:r>
    </w:p>
    <w:p>
      <w:pPr>
        <w:spacing w:before="40" w:after="200"/>
        <w:jc w:val="center"/>
      </w:pPr>
      <w:r>
        <w:rPr>
          <w:rFonts w:ascii="Calibri" w:hAnsi="Calibri"/>
          <w:b/>
          <w:color w:val="17365D"/>
          <w:sz w:val="18"/>
        </w:rPr>
        <w:t xml:space="preserve">Figure 35: JIRA-04: Sprint 1 Active Scrum Board. </w:t>
      </w:r>
      <w:r>
        <w:rPr>
          <w:rFonts w:ascii="Calibri" w:hAnsi="Calibri"/>
          <w:i/>
          <w:color w:val="64748B"/>
          <w:sz w:val="18"/>
        </w:rPr>
        <w:t>Sprint 1 review state displaying 4 completed user stories (21 SP) and Defect DEF-001 flagged for Sprint 2 carryover.</w:t>
      </w:r>
      <w:r>
        <w:rPr>
          <w:rFonts w:ascii="Calibri" w:hAnsi="Calibri"/>
          <w:b/>
          <w:color w:val="0F766E"/>
          <w:sz w:val="17"/>
        </w:rPr>
        <w:t xml:space="preserve"> [Phase 10: Sprint 1 Board]</w:t>
      </w:r>
    </w:p>
    <w:p>
      <w:pPr>
        <w:keepNext/>
        <w:spacing w:before="160" w:after="60"/>
        <w:jc w:val="center"/>
      </w:pPr>
      <w:r>
        <w:drawing>
          <wp:inline xmlns:a="http://schemas.openxmlformats.org/drawingml/2006/main" xmlns:pic="http://schemas.openxmlformats.org/drawingml/2006/picture">
            <wp:extent cx="5303520" cy="2920923"/>
            <wp:docPr id="36" name="Picture 36"/>
            <wp:cNvGraphicFramePr>
              <a:graphicFrameLocks noChangeAspect="1"/>
            </wp:cNvGraphicFramePr>
            <a:graphic>
              <a:graphicData uri="http://schemas.openxmlformats.org/drawingml/2006/picture">
                <pic:pic>
                  <pic:nvPicPr>
                    <pic:cNvPr id="0" name="JIRA-05_sprint1_burndown.png"/>
                    <pic:cNvPicPr/>
                  </pic:nvPicPr>
                  <pic:blipFill>
                    <a:blip r:embed="rId42"/>
                    <a:stretch>
                      <a:fillRect/>
                    </a:stretch>
                  </pic:blipFill>
                  <pic:spPr>
                    <a:xfrm>
                      <a:off x="0" y="0"/>
                      <a:ext cx="5303520" cy="2920923"/>
                    </a:xfrm>
                    <a:prstGeom prst="rect"/>
                  </pic:spPr>
                </pic:pic>
              </a:graphicData>
            </a:graphic>
          </wp:inline>
        </w:drawing>
      </w:r>
    </w:p>
    <w:p>
      <w:pPr>
        <w:spacing w:before="40" w:after="200"/>
        <w:jc w:val="center"/>
      </w:pPr>
      <w:r>
        <w:rPr>
          <w:rFonts w:ascii="Calibri" w:hAnsi="Calibri"/>
          <w:b/>
          <w:color w:val="17365D"/>
          <w:sz w:val="18"/>
        </w:rPr>
        <w:t xml:space="preserve">Figure 36: JIRA-05: Sprint 1 Burndown Chart. </w:t>
      </w:r>
      <w:r>
        <w:rPr>
          <w:rFonts w:ascii="Calibri" w:hAnsi="Calibri"/>
          <w:i/>
          <w:color w:val="64748B"/>
          <w:sz w:val="18"/>
        </w:rPr>
        <w:t>Burndown curve illustrating velocity drop on Day 8 due to discovery of concurrency race condition defect DEF-001.</w:t>
      </w:r>
      <w:r>
        <w:rPr>
          <w:rFonts w:ascii="Calibri" w:hAnsi="Calibri"/>
          <w:b/>
          <w:color w:val="0F766E"/>
          <w:sz w:val="17"/>
        </w:rPr>
        <w:t xml:space="preserve"> [Phase 10: Sprint 1 Burndown]</w:t>
      </w:r>
    </w:p>
    <w:p>
      <w:pPr>
        <w:keepNext/>
        <w:spacing w:before="160" w:after="60"/>
        <w:jc w:val="center"/>
      </w:pPr>
      <w:r>
        <w:drawing>
          <wp:inline xmlns:a="http://schemas.openxmlformats.org/drawingml/2006/main" xmlns:pic="http://schemas.openxmlformats.org/drawingml/2006/picture">
            <wp:extent cx="5303520" cy="2624975"/>
            <wp:docPr id="37" name="Picture 37"/>
            <wp:cNvGraphicFramePr>
              <a:graphicFrameLocks noChangeAspect="1"/>
            </wp:cNvGraphicFramePr>
            <a:graphic>
              <a:graphicData uri="http://schemas.openxmlformats.org/drawingml/2006/picture">
                <pic:pic>
                  <pic:nvPicPr>
                    <pic:cNvPr id="0" name="JIRA-06_sprint2_planning.png"/>
                    <pic:cNvPicPr/>
                  </pic:nvPicPr>
                  <pic:blipFill>
                    <a:blip r:embed="rId43"/>
                    <a:stretch>
                      <a:fillRect/>
                    </a:stretch>
                  </pic:blipFill>
                  <pic:spPr>
                    <a:xfrm>
                      <a:off x="0" y="0"/>
                      <a:ext cx="5303520" cy="2624975"/>
                    </a:xfrm>
                    <a:prstGeom prst="rect"/>
                  </pic:spPr>
                </pic:pic>
              </a:graphicData>
            </a:graphic>
          </wp:inline>
        </w:drawing>
      </w:r>
    </w:p>
    <w:p>
      <w:pPr>
        <w:spacing w:before="40" w:after="200"/>
        <w:jc w:val="center"/>
      </w:pPr>
      <w:r>
        <w:rPr>
          <w:rFonts w:ascii="Calibri" w:hAnsi="Calibri"/>
          <w:b/>
          <w:color w:val="17365D"/>
          <w:sz w:val="18"/>
        </w:rPr>
        <w:t xml:space="preserve">Figure 37: JIRA-06: Sprint 2 Planning &amp; Hardening Scope. </w:t>
      </w:r>
      <w:r>
        <w:rPr>
          <w:rFonts w:ascii="Calibri" w:hAnsi="Calibri"/>
          <w:i/>
          <w:color w:val="64748B"/>
          <w:sz w:val="18"/>
        </w:rPr>
        <w:t>Sprint 2 scope allocation comprising 26 Story Points focused on row locking, idempotency, K8s, and QA.</w:t>
      </w:r>
      <w:r>
        <w:rPr>
          <w:rFonts w:ascii="Calibri" w:hAnsi="Calibri"/>
          <w:b/>
          <w:color w:val="0F766E"/>
          <w:sz w:val="17"/>
        </w:rPr>
        <w:t xml:space="preserve"> [Phase 10: Sprint 2 Planning]</w:t>
      </w:r>
    </w:p>
    <w:p>
      <w:pPr>
        <w:keepNext/>
        <w:spacing w:before="160" w:after="60"/>
        <w:jc w:val="center"/>
      </w:pPr>
      <w:r>
        <w:drawing>
          <wp:inline xmlns:a="http://schemas.openxmlformats.org/drawingml/2006/main" xmlns:pic="http://schemas.openxmlformats.org/drawingml/2006/picture">
            <wp:extent cx="5303520" cy="2624975"/>
            <wp:docPr id="38" name="Picture 38"/>
            <wp:cNvGraphicFramePr>
              <a:graphicFrameLocks noChangeAspect="1"/>
            </wp:cNvGraphicFramePr>
            <a:graphic>
              <a:graphicData uri="http://schemas.openxmlformats.org/drawingml/2006/picture">
                <pic:pic>
                  <pic:nvPicPr>
                    <pic:cNvPr id="0" name="JIRA-07_sprint2_scrum_board.png"/>
                    <pic:cNvPicPr/>
                  </pic:nvPicPr>
                  <pic:blipFill>
                    <a:blip r:embed="rId44"/>
                    <a:stretch>
                      <a:fillRect/>
                    </a:stretch>
                  </pic:blipFill>
                  <pic:spPr>
                    <a:xfrm>
                      <a:off x="0" y="0"/>
                      <a:ext cx="5303520" cy="2624975"/>
                    </a:xfrm>
                    <a:prstGeom prst="rect"/>
                  </pic:spPr>
                </pic:pic>
              </a:graphicData>
            </a:graphic>
          </wp:inline>
        </w:drawing>
      </w:r>
    </w:p>
    <w:p>
      <w:pPr>
        <w:spacing w:before="40" w:after="200"/>
        <w:jc w:val="center"/>
      </w:pPr>
      <w:r>
        <w:rPr>
          <w:rFonts w:ascii="Calibri" w:hAnsi="Calibri"/>
          <w:b/>
          <w:color w:val="17365D"/>
          <w:sz w:val="18"/>
        </w:rPr>
        <w:t xml:space="preserve">Figure 38: JIRA-07: Sprint 2 Active Scrum Board. </w:t>
      </w:r>
      <w:r>
        <w:rPr>
          <w:rFonts w:ascii="Calibri" w:hAnsi="Calibri"/>
          <w:i/>
          <w:color w:val="64748B"/>
          <w:sz w:val="18"/>
        </w:rPr>
        <w:t>Final Sprint 2 Scrum board with 100% of user stories and carried-over defect DEF-001 closed in DONE column.</w:t>
      </w:r>
      <w:r>
        <w:rPr>
          <w:rFonts w:ascii="Calibri" w:hAnsi="Calibri"/>
          <w:b/>
          <w:color w:val="0F766E"/>
          <w:sz w:val="17"/>
        </w:rPr>
        <w:t xml:space="preserve"> [Phase 10: Sprint 2 Board]</w:t>
      </w:r>
    </w:p>
    <w:p>
      <w:pPr>
        <w:keepNext/>
        <w:spacing w:before="160" w:after="60"/>
        <w:jc w:val="center"/>
      </w:pPr>
      <w:r>
        <w:drawing>
          <wp:inline xmlns:a="http://schemas.openxmlformats.org/drawingml/2006/main" xmlns:pic="http://schemas.openxmlformats.org/drawingml/2006/picture">
            <wp:extent cx="5303520" cy="2952370"/>
            <wp:docPr id="39" name="Picture 39"/>
            <wp:cNvGraphicFramePr>
              <a:graphicFrameLocks noChangeAspect="1"/>
            </wp:cNvGraphicFramePr>
            <a:graphic>
              <a:graphicData uri="http://schemas.openxmlformats.org/drawingml/2006/picture">
                <pic:pic>
                  <pic:nvPicPr>
                    <pic:cNvPr id="0" name="JIRA-08_sprint2_burndown.png"/>
                    <pic:cNvPicPr/>
                  </pic:nvPicPr>
                  <pic:blipFill>
                    <a:blip r:embed="rId45"/>
                    <a:stretch>
                      <a:fillRect/>
                    </a:stretch>
                  </pic:blipFill>
                  <pic:spPr>
                    <a:xfrm>
                      <a:off x="0" y="0"/>
                      <a:ext cx="5303520" cy="2952370"/>
                    </a:xfrm>
                    <a:prstGeom prst="rect"/>
                  </pic:spPr>
                </pic:pic>
              </a:graphicData>
            </a:graphic>
          </wp:inline>
        </w:drawing>
      </w:r>
    </w:p>
    <w:p>
      <w:pPr>
        <w:spacing w:before="40" w:after="200"/>
        <w:jc w:val="center"/>
      </w:pPr>
      <w:r>
        <w:rPr>
          <w:rFonts w:ascii="Calibri" w:hAnsi="Calibri"/>
          <w:b/>
          <w:color w:val="17365D"/>
          <w:sz w:val="18"/>
        </w:rPr>
        <w:t xml:space="preserve">Figure 39: JIRA-08: Sprint 2 Burndown Chart. </w:t>
      </w:r>
      <w:r>
        <w:rPr>
          <w:rFonts w:ascii="Calibri" w:hAnsi="Calibri"/>
          <w:i/>
          <w:color w:val="64748B"/>
          <w:sz w:val="18"/>
        </w:rPr>
        <w:t>Ideal and actual burndown curve showing smooth trajectory to 0 remaining story points on Day 10.</w:t>
      </w:r>
      <w:r>
        <w:rPr>
          <w:rFonts w:ascii="Calibri" w:hAnsi="Calibri"/>
          <w:b/>
          <w:color w:val="0F766E"/>
          <w:sz w:val="17"/>
        </w:rPr>
        <w:t xml:space="preserve"> [Phase 10: Sprint 2 Burndown]</w:t>
      </w:r>
    </w:p>
    <w:p>
      <w:pPr>
        <w:keepNext/>
        <w:spacing w:before="160" w:after="60"/>
        <w:jc w:val="center"/>
      </w:pPr>
      <w:r>
        <w:drawing>
          <wp:inline xmlns:a="http://schemas.openxmlformats.org/drawingml/2006/main" xmlns:pic="http://schemas.openxmlformats.org/drawingml/2006/picture">
            <wp:extent cx="5303520" cy="2624975"/>
            <wp:docPr id="40" name="Picture 40"/>
            <wp:cNvGraphicFramePr>
              <a:graphicFrameLocks noChangeAspect="1"/>
            </wp:cNvGraphicFramePr>
            <a:graphic>
              <a:graphicData uri="http://schemas.openxmlformats.org/drawingml/2006/picture">
                <pic:pic>
                  <pic:nvPicPr>
                    <pic:cNvPr id="0" name="JIRA-09_epic_dwpg2_auth.png"/>
                    <pic:cNvPicPr/>
                  </pic:nvPicPr>
                  <pic:blipFill>
                    <a:blip r:embed="rId46"/>
                    <a:stretch>
                      <a:fillRect/>
                    </a:stretch>
                  </pic:blipFill>
                  <pic:spPr>
                    <a:xfrm>
                      <a:off x="0" y="0"/>
                      <a:ext cx="5303520" cy="2624975"/>
                    </a:xfrm>
                    <a:prstGeom prst="rect"/>
                  </pic:spPr>
                </pic:pic>
              </a:graphicData>
            </a:graphic>
          </wp:inline>
        </w:drawing>
      </w:r>
    </w:p>
    <w:p>
      <w:pPr>
        <w:spacing w:before="40" w:after="200"/>
        <w:jc w:val="center"/>
      </w:pPr>
      <w:r>
        <w:rPr>
          <w:rFonts w:ascii="Calibri" w:hAnsi="Calibri"/>
          <w:b/>
          <w:color w:val="17365D"/>
          <w:sz w:val="18"/>
        </w:rPr>
        <w:t xml:space="preserve">Figure 40: JIRA-09: Epic DWPG-2 Authentication Details. </w:t>
      </w:r>
      <w:r>
        <w:rPr>
          <w:rFonts w:ascii="Calibri" w:hAnsi="Calibri"/>
          <w:i/>
          <w:color w:val="64748B"/>
          <w:sz w:val="18"/>
        </w:rPr>
        <w:t>Jira Epic card detailing NIST compliance, BCrypt factor 12 hashing, and JWT session handling.</w:t>
      </w:r>
      <w:r>
        <w:rPr>
          <w:rFonts w:ascii="Calibri" w:hAnsi="Calibri"/>
          <w:b/>
          <w:color w:val="0F766E"/>
          <w:sz w:val="17"/>
        </w:rPr>
        <w:t xml:space="preserve"> [Phase 9: Epic DWPG-2]</w:t>
      </w:r>
    </w:p>
    <w:p>
      <w:pPr>
        <w:keepNext/>
        <w:spacing w:before="160" w:after="60"/>
        <w:jc w:val="center"/>
      </w:pPr>
      <w:r>
        <w:drawing>
          <wp:inline xmlns:a="http://schemas.openxmlformats.org/drawingml/2006/main" xmlns:pic="http://schemas.openxmlformats.org/drawingml/2006/picture">
            <wp:extent cx="5303520" cy="2624975"/>
            <wp:docPr id="41" name="Picture 41"/>
            <wp:cNvGraphicFramePr>
              <a:graphicFrameLocks noChangeAspect="1"/>
            </wp:cNvGraphicFramePr>
            <a:graphic>
              <a:graphicData uri="http://schemas.openxmlformats.org/drawingml/2006/picture">
                <pic:pic>
                  <pic:nvPicPr>
                    <pic:cNvPr id="0" name="JIRA-10_epic_dwpg3_wallet.png"/>
                    <pic:cNvPicPr/>
                  </pic:nvPicPr>
                  <pic:blipFill>
                    <a:blip r:embed="rId47"/>
                    <a:stretch>
                      <a:fillRect/>
                    </a:stretch>
                  </pic:blipFill>
                  <pic:spPr>
                    <a:xfrm>
                      <a:off x="0" y="0"/>
                      <a:ext cx="5303520" cy="2624975"/>
                    </a:xfrm>
                    <a:prstGeom prst="rect"/>
                  </pic:spPr>
                </pic:pic>
              </a:graphicData>
            </a:graphic>
          </wp:inline>
        </w:drawing>
      </w:r>
    </w:p>
    <w:p>
      <w:pPr>
        <w:spacing w:before="40" w:after="200"/>
        <w:jc w:val="center"/>
      </w:pPr>
      <w:r>
        <w:rPr>
          <w:rFonts w:ascii="Calibri" w:hAnsi="Calibri"/>
          <w:b/>
          <w:color w:val="17365D"/>
          <w:sz w:val="18"/>
        </w:rPr>
        <w:t xml:space="preserve">Figure 41: JIRA-10: Epic DWPG-3 Wallet Details. </w:t>
      </w:r>
      <w:r>
        <w:rPr>
          <w:rFonts w:ascii="Calibri" w:hAnsi="Calibri"/>
          <w:i/>
          <w:color w:val="64748B"/>
          <w:sz w:val="18"/>
        </w:rPr>
        <w:t>Jira Epic card detailing wallet balance provisioning, non-negative balance constraints, and BOLA defense.</w:t>
      </w:r>
      <w:r>
        <w:rPr>
          <w:rFonts w:ascii="Calibri" w:hAnsi="Calibri"/>
          <w:b/>
          <w:color w:val="0F766E"/>
          <w:sz w:val="17"/>
        </w:rPr>
        <w:t xml:space="preserve"> [Phase 9: Epic DWPG-3]</w:t>
      </w:r>
    </w:p>
    <w:p>
      <w:pPr>
        <w:keepNext/>
        <w:spacing w:before="160" w:after="60"/>
        <w:jc w:val="center"/>
      </w:pPr>
      <w:r>
        <w:drawing>
          <wp:inline xmlns:a="http://schemas.openxmlformats.org/drawingml/2006/main" xmlns:pic="http://schemas.openxmlformats.org/drawingml/2006/picture">
            <wp:extent cx="5303520" cy="2624975"/>
            <wp:docPr id="42" name="Picture 42"/>
            <wp:cNvGraphicFramePr>
              <a:graphicFrameLocks noChangeAspect="1"/>
            </wp:cNvGraphicFramePr>
            <a:graphic>
              <a:graphicData uri="http://schemas.openxmlformats.org/drawingml/2006/picture">
                <pic:pic>
                  <pic:nvPicPr>
                    <pic:cNvPr id="0" name="JIRA-11_epic_dwpg4_payment.png"/>
                    <pic:cNvPicPr/>
                  </pic:nvPicPr>
                  <pic:blipFill>
                    <a:blip r:embed="rId48"/>
                    <a:stretch>
                      <a:fillRect/>
                    </a:stretch>
                  </pic:blipFill>
                  <pic:spPr>
                    <a:xfrm>
                      <a:off x="0" y="0"/>
                      <a:ext cx="5303520" cy="2624975"/>
                    </a:xfrm>
                    <a:prstGeom prst="rect"/>
                  </pic:spPr>
                </pic:pic>
              </a:graphicData>
            </a:graphic>
          </wp:inline>
        </w:drawing>
      </w:r>
    </w:p>
    <w:p>
      <w:pPr>
        <w:spacing w:before="40" w:after="200"/>
        <w:jc w:val="center"/>
      </w:pPr>
      <w:r>
        <w:rPr>
          <w:rFonts w:ascii="Calibri" w:hAnsi="Calibri"/>
          <w:b/>
          <w:color w:val="17365D"/>
          <w:sz w:val="18"/>
        </w:rPr>
        <w:t xml:space="preserve">Figure 42: JIRA-11: Epic DWPG-4 Payment Core Details. </w:t>
      </w:r>
      <w:r>
        <w:rPr>
          <w:rFonts w:ascii="Calibri" w:hAnsi="Calibri"/>
          <w:i/>
          <w:color w:val="64748B"/>
          <w:sz w:val="18"/>
        </w:rPr>
        <w:t>Jira Epic card detailing double-entry accounting, atomic debit/credit settlement, and state transitions.</w:t>
      </w:r>
      <w:r>
        <w:rPr>
          <w:rFonts w:ascii="Calibri" w:hAnsi="Calibri"/>
          <w:b/>
          <w:color w:val="0F766E"/>
          <w:sz w:val="17"/>
        </w:rPr>
        <w:t xml:space="preserve"> [Phase 9: Epic DWPG-4]</w:t>
      </w:r>
    </w:p>
    <w:p>
      <w:pPr>
        <w:keepNext/>
        <w:spacing w:before="160" w:after="60"/>
        <w:jc w:val="center"/>
      </w:pPr>
      <w:r>
        <w:drawing>
          <wp:inline xmlns:a="http://schemas.openxmlformats.org/drawingml/2006/main" xmlns:pic="http://schemas.openxmlformats.org/drawingml/2006/picture">
            <wp:extent cx="5303520" cy="2624975"/>
            <wp:docPr id="43" name="Picture 43"/>
            <wp:cNvGraphicFramePr>
              <a:graphicFrameLocks noChangeAspect="1"/>
            </wp:cNvGraphicFramePr>
            <a:graphic>
              <a:graphicData uri="http://schemas.openxmlformats.org/drawingml/2006/picture">
                <pic:pic>
                  <pic:nvPicPr>
                    <pic:cNvPr id="0" name="JIRA-12_epic_dwpg5_refunds.png"/>
                    <pic:cNvPicPr/>
                  </pic:nvPicPr>
                  <pic:blipFill>
                    <a:blip r:embed="rId49"/>
                    <a:stretch>
                      <a:fillRect/>
                    </a:stretch>
                  </pic:blipFill>
                  <pic:spPr>
                    <a:xfrm>
                      <a:off x="0" y="0"/>
                      <a:ext cx="5303520" cy="2624975"/>
                    </a:xfrm>
                    <a:prstGeom prst="rect"/>
                  </pic:spPr>
                </pic:pic>
              </a:graphicData>
            </a:graphic>
          </wp:inline>
        </w:drawing>
      </w:r>
    </w:p>
    <w:p>
      <w:pPr>
        <w:spacing w:before="40" w:after="200"/>
        <w:jc w:val="center"/>
      </w:pPr>
      <w:r>
        <w:rPr>
          <w:rFonts w:ascii="Calibri" w:hAnsi="Calibri"/>
          <w:b/>
          <w:color w:val="17365D"/>
          <w:sz w:val="18"/>
        </w:rPr>
        <w:t xml:space="preserve">Figure 43: JIRA-12: Epic DWPG-5 Refunds &amp; Ledger Details. </w:t>
      </w:r>
      <w:r>
        <w:rPr>
          <w:rFonts w:ascii="Calibri" w:hAnsi="Calibri"/>
          <w:i/>
          <w:color w:val="64748B"/>
          <w:sz w:val="18"/>
        </w:rPr>
        <w:t>Jira Epic card detailing authorized refund reversal, duplicate refund prevention, and ledger immutability.</w:t>
      </w:r>
      <w:r>
        <w:rPr>
          <w:rFonts w:ascii="Calibri" w:hAnsi="Calibri"/>
          <w:b/>
          <w:color w:val="0F766E"/>
          <w:sz w:val="17"/>
        </w:rPr>
        <w:t xml:space="preserve"> [Phase 9: Epic DWPG-5]</w:t>
      </w:r>
    </w:p>
    <w:p>
      <w:pPr>
        <w:keepNext/>
        <w:spacing w:before="160" w:after="60"/>
        <w:jc w:val="center"/>
      </w:pPr>
      <w:r>
        <w:drawing>
          <wp:inline xmlns:a="http://schemas.openxmlformats.org/drawingml/2006/main" xmlns:pic="http://schemas.openxmlformats.org/drawingml/2006/picture">
            <wp:extent cx="5303520" cy="2668095"/>
            <wp:docPr id="44" name="Picture 44"/>
            <wp:cNvGraphicFramePr>
              <a:graphicFrameLocks noChangeAspect="1"/>
            </wp:cNvGraphicFramePr>
            <a:graphic>
              <a:graphicData uri="http://schemas.openxmlformats.org/drawingml/2006/picture">
                <pic:pic>
                  <pic:nvPicPr>
                    <pic:cNvPr id="0" name="JIRA-13_epic_dwpg6_security.png"/>
                    <pic:cNvPicPr/>
                  </pic:nvPicPr>
                  <pic:blipFill>
                    <a:blip r:embed="rId50"/>
                    <a:stretch>
                      <a:fillRect/>
                    </a:stretch>
                  </pic:blipFill>
                  <pic:spPr>
                    <a:xfrm>
                      <a:off x="0" y="0"/>
                      <a:ext cx="5303520" cy="2668095"/>
                    </a:xfrm>
                    <a:prstGeom prst="rect"/>
                  </pic:spPr>
                </pic:pic>
              </a:graphicData>
            </a:graphic>
          </wp:inline>
        </w:drawing>
      </w:r>
    </w:p>
    <w:p>
      <w:pPr>
        <w:spacing w:before="40" w:after="200"/>
        <w:jc w:val="center"/>
      </w:pPr>
      <w:r>
        <w:rPr>
          <w:rFonts w:ascii="Calibri" w:hAnsi="Calibri"/>
          <w:b/>
          <w:color w:val="17365D"/>
          <w:sz w:val="18"/>
        </w:rPr>
        <w:t xml:space="preserve">Figure 44: JIRA-13: Epic DWPG-6 Security Controls Details. </w:t>
      </w:r>
      <w:r>
        <w:rPr>
          <w:rFonts w:ascii="Calibri" w:hAnsi="Calibri"/>
          <w:i/>
          <w:color w:val="64748B"/>
          <w:sz w:val="18"/>
        </w:rPr>
        <w:t>Jira Epic card detailing pessimistic DB row locking, mandatory Idempotency-Key headers, and SIEM logging.</w:t>
      </w:r>
      <w:r>
        <w:rPr>
          <w:rFonts w:ascii="Calibri" w:hAnsi="Calibri"/>
          <w:b/>
          <w:color w:val="0F766E"/>
          <w:sz w:val="17"/>
        </w:rPr>
        <w:t xml:space="preserve"> [Phase 9: Epic DWPG-6]</w:t>
      </w:r>
    </w:p>
    <w:p>
      <w:pPr>
        <w:keepNext/>
        <w:spacing w:before="160" w:after="60"/>
        <w:jc w:val="center"/>
      </w:pPr>
      <w:r>
        <w:drawing>
          <wp:inline xmlns:a="http://schemas.openxmlformats.org/drawingml/2006/main" xmlns:pic="http://schemas.openxmlformats.org/drawingml/2006/picture">
            <wp:extent cx="5303520" cy="2624975"/>
            <wp:docPr id="45" name="Picture 45"/>
            <wp:cNvGraphicFramePr>
              <a:graphicFrameLocks noChangeAspect="1"/>
            </wp:cNvGraphicFramePr>
            <a:graphic>
              <a:graphicData uri="http://schemas.openxmlformats.org/drawingml/2006/picture">
                <pic:pic>
                  <pic:nvPicPr>
                    <pic:cNvPr id="0" name="JIRA-14_epic_dwpg7_devsecops.png"/>
                    <pic:cNvPicPr/>
                  </pic:nvPicPr>
                  <pic:blipFill>
                    <a:blip r:embed="rId51"/>
                    <a:stretch>
                      <a:fillRect/>
                    </a:stretch>
                  </pic:blipFill>
                  <pic:spPr>
                    <a:xfrm>
                      <a:off x="0" y="0"/>
                      <a:ext cx="5303520" cy="2624975"/>
                    </a:xfrm>
                    <a:prstGeom prst="rect"/>
                  </pic:spPr>
                </pic:pic>
              </a:graphicData>
            </a:graphic>
          </wp:inline>
        </w:drawing>
      </w:r>
    </w:p>
    <w:p>
      <w:pPr>
        <w:spacing w:before="40" w:after="200"/>
        <w:jc w:val="center"/>
      </w:pPr>
      <w:r>
        <w:rPr>
          <w:rFonts w:ascii="Calibri" w:hAnsi="Calibri"/>
          <w:b/>
          <w:color w:val="17365D"/>
          <w:sz w:val="18"/>
        </w:rPr>
        <w:t xml:space="preserve">Figure 45: JIRA-14: Epic DWPG-7 DevSecOps Details. </w:t>
      </w:r>
      <w:r>
        <w:rPr>
          <w:rFonts w:ascii="Calibri" w:hAnsi="Calibri"/>
          <w:i/>
          <w:color w:val="64748B"/>
          <w:sz w:val="18"/>
        </w:rPr>
        <w:t>Jira Epic card detailing multi-stage Docker builds, non-root user execution, and Kubernetes manifests.</w:t>
      </w:r>
      <w:r>
        <w:rPr>
          <w:rFonts w:ascii="Calibri" w:hAnsi="Calibri"/>
          <w:b/>
          <w:color w:val="0F766E"/>
          <w:sz w:val="17"/>
        </w:rPr>
        <w:t xml:space="preserve"> [Phase 9: Epic DWPG-7]</w:t>
      </w:r>
    </w:p>
    <w:p>
      <w:pPr>
        <w:keepNext/>
        <w:spacing w:before="160" w:after="60"/>
        <w:jc w:val="center"/>
      </w:pPr>
      <w:r>
        <w:drawing>
          <wp:inline xmlns:a="http://schemas.openxmlformats.org/drawingml/2006/main" xmlns:pic="http://schemas.openxmlformats.org/drawingml/2006/picture">
            <wp:extent cx="5303520" cy="2624975"/>
            <wp:docPr id="46" name="Picture 46"/>
            <wp:cNvGraphicFramePr>
              <a:graphicFrameLocks noChangeAspect="1"/>
            </wp:cNvGraphicFramePr>
            <a:graphic>
              <a:graphicData uri="http://schemas.openxmlformats.org/drawingml/2006/picture">
                <pic:pic>
                  <pic:nvPicPr>
                    <pic:cNvPr id="0" name="JIRA-15_epic_dwpg8_testing.png"/>
                    <pic:cNvPicPr/>
                  </pic:nvPicPr>
                  <pic:blipFill>
                    <a:blip r:embed="rId52"/>
                    <a:stretch>
                      <a:fillRect/>
                    </a:stretch>
                  </pic:blipFill>
                  <pic:spPr>
                    <a:xfrm>
                      <a:off x="0" y="0"/>
                      <a:ext cx="5303520" cy="2624975"/>
                    </a:xfrm>
                    <a:prstGeom prst="rect"/>
                  </pic:spPr>
                </pic:pic>
              </a:graphicData>
            </a:graphic>
          </wp:inline>
        </w:drawing>
      </w:r>
    </w:p>
    <w:p>
      <w:pPr>
        <w:spacing w:before="40" w:after="200"/>
        <w:jc w:val="center"/>
      </w:pPr>
      <w:r>
        <w:rPr>
          <w:rFonts w:ascii="Calibri" w:hAnsi="Calibri"/>
          <w:b/>
          <w:color w:val="17365D"/>
          <w:sz w:val="18"/>
        </w:rPr>
        <w:t xml:space="preserve">Figure 46: JIRA-15: Epic DWPG-8 Testing &amp; QA Details. </w:t>
      </w:r>
      <w:r>
        <w:rPr>
          <w:rFonts w:ascii="Calibri" w:hAnsi="Calibri"/>
          <w:i/>
          <w:color w:val="64748B"/>
          <w:sz w:val="18"/>
        </w:rPr>
        <w:t>Jira Epic card detailing automated unit, integration, concurrency fuzzing, and SonarQube quality gates.</w:t>
      </w:r>
      <w:r>
        <w:rPr>
          <w:rFonts w:ascii="Calibri" w:hAnsi="Calibri"/>
          <w:b/>
          <w:color w:val="0F766E"/>
          <w:sz w:val="17"/>
        </w:rPr>
        <w:t xml:space="preserve"> [Phase 9: Epic DWPG-8]</w:t>
      </w:r>
    </w:p>
    <w:p>
      <w:pPr>
        <w:keepNext/>
        <w:spacing w:before="160" w:after="60"/>
        <w:jc w:val="center"/>
      </w:pPr>
      <w:r>
        <w:drawing>
          <wp:inline xmlns:a="http://schemas.openxmlformats.org/drawingml/2006/main" xmlns:pic="http://schemas.openxmlformats.org/drawingml/2006/picture">
            <wp:extent cx="5303520" cy="2624975"/>
            <wp:docPr id="47" name="Picture 47"/>
            <wp:cNvGraphicFramePr>
              <a:graphicFrameLocks noChangeAspect="1"/>
            </wp:cNvGraphicFramePr>
            <a:graphic>
              <a:graphicData uri="http://schemas.openxmlformats.org/drawingml/2006/picture">
                <pic:pic>
                  <pic:nvPicPr>
                    <pic:cNvPr id="0" name="JIRA-16_epic_dwpg9_compliance.png"/>
                    <pic:cNvPicPr/>
                  </pic:nvPicPr>
                  <pic:blipFill>
                    <a:blip r:embed="rId53"/>
                    <a:stretch>
                      <a:fillRect/>
                    </a:stretch>
                  </pic:blipFill>
                  <pic:spPr>
                    <a:xfrm>
                      <a:off x="0" y="0"/>
                      <a:ext cx="5303520" cy="2624975"/>
                    </a:xfrm>
                    <a:prstGeom prst="rect"/>
                  </pic:spPr>
                </pic:pic>
              </a:graphicData>
            </a:graphic>
          </wp:inline>
        </w:drawing>
      </w:r>
    </w:p>
    <w:p>
      <w:pPr>
        <w:spacing w:before="40" w:after="200"/>
        <w:jc w:val="center"/>
      </w:pPr>
      <w:r>
        <w:rPr>
          <w:rFonts w:ascii="Calibri" w:hAnsi="Calibri"/>
          <w:b/>
          <w:color w:val="17365D"/>
          <w:sz w:val="18"/>
        </w:rPr>
        <w:t xml:space="preserve">Figure 47: JIRA-16: Epic DWPG-9 Compliance Details. </w:t>
      </w:r>
      <w:r>
        <w:rPr>
          <w:rFonts w:ascii="Calibri" w:hAnsi="Calibri"/>
          <w:i/>
          <w:color w:val="64748B"/>
          <w:sz w:val="18"/>
        </w:rPr>
        <w:t>Jira Epic card detailing academic evidence validation across all 16 Secure Software Engineering phases.</w:t>
      </w:r>
      <w:r>
        <w:rPr>
          <w:rFonts w:ascii="Calibri" w:hAnsi="Calibri"/>
          <w:b/>
          <w:color w:val="0F766E"/>
          <w:sz w:val="17"/>
        </w:rPr>
        <w:t xml:space="preserve"> [Phase 9: Epic DWPG-9]</w:t>
      </w:r>
    </w:p>
    <w:p>
      <w:pPr>
        <w:keepNext/>
        <w:spacing w:before="360" w:after="160"/>
      </w:pPr>
      <w:r>
        <w:rPr>
          <w:rFonts w:ascii="Calibri" w:hAnsi="Calibri"/>
          <w:b/>
          <w:color w:val="17365D"/>
          <w:sz w:val="34"/>
        </w:rPr>
        <w:t>11. DevSecOps, Testing and Containerized Deployment (Phases 11-15)</w:t>
      </w:r>
    </w:p>
    <w:p>
      <w:pPr>
        <w:keepNext/>
        <w:spacing w:before="280" w:after="120"/>
      </w:pPr>
      <w:r>
        <w:rPr>
          <w:rFonts w:ascii="Calibri" w:hAnsi="Calibri"/>
          <w:b/>
          <w:color w:val="1F4E79"/>
          <w:sz w:val="26"/>
        </w:rPr>
        <w:t>11.1 Containerization with Docker (Phase 13)</w:t>
      </w:r>
    </w:p>
    <w:p>
      <w:pPr>
        <w:spacing w:after="100" w:line="276" w:lineRule="auto"/>
      </w:pPr>
      <w:r>
        <w:rPr>
          <w:rFonts w:ascii="Calibri" w:hAnsi="Calibri"/>
          <w:color w:val="172033"/>
          <w:sz w:val="21"/>
        </w:rPr>
        <w:t>The backend and frontend are packaged using multi-stage Dockerfiles. The backend build utilizes Eclipse Temurin OpenJDK 21 for compilation and packages the runnable JAR on a minimal Alpine runtime. Execution is strictly constrained to an unprivileged non-root user (UID 10001, GID 10001) with all Linux capabilities dropped (`cap_drop: ALL`).</w:t>
      </w:r>
    </w:p>
    <w:p>
      <w:pPr>
        <w:keepNext/>
        <w:spacing w:before="160" w:after="60"/>
        <w:jc w:val="center"/>
      </w:pPr>
      <w:r>
        <w:drawing>
          <wp:inline xmlns:a="http://schemas.openxmlformats.org/drawingml/2006/main" xmlns:pic="http://schemas.openxmlformats.org/drawingml/2006/picture">
            <wp:extent cx="5669280" cy="3239589"/>
            <wp:docPr id="48" name="Picture 48"/>
            <wp:cNvGraphicFramePr>
              <a:graphicFrameLocks noChangeAspect="1"/>
            </wp:cNvGraphicFramePr>
            <a:graphic>
              <a:graphicData uri="http://schemas.openxmlformats.org/drawingml/2006/picture">
                <pic:pic>
                  <pic:nvPicPr>
                    <pic:cNvPr id="0" name="17_docker.png"/>
                    <pic:cNvPicPr/>
                  </pic:nvPicPr>
                  <pic:blipFill>
                    <a:blip r:embed="rId54"/>
                    <a:stretch>
                      <a:fillRect/>
                    </a:stretch>
                  </pic:blipFill>
                  <pic:spPr>
                    <a:xfrm>
                      <a:off x="0" y="0"/>
                      <a:ext cx="5669280" cy="3239589"/>
                    </a:xfrm>
                    <a:prstGeom prst="rect"/>
                  </pic:spPr>
                </pic:pic>
              </a:graphicData>
            </a:graphic>
          </wp:inline>
        </w:drawing>
      </w:r>
    </w:p>
    <w:p>
      <w:pPr>
        <w:spacing w:before="40" w:after="200"/>
        <w:jc w:val="center"/>
      </w:pPr>
      <w:r>
        <w:rPr>
          <w:rFonts w:ascii="Calibri" w:hAnsi="Calibri"/>
          <w:b/>
          <w:color w:val="17365D"/>
          <w:sz w:val="18"/>
        </w:rPr>
        <w:t xml:space="preserve">Figure 48: Multi-Stage Docker Container Architecture. </w:t>
      </w:r>
      <w:r>
        <w:rPr>
          <w:rFonts w:ascii="Calibri" w:hAnsi="Calibri"/>
          <w:i/>
          <w:color w:val="64748B"/>
          <w:sz w:val="18"/>
        </w:rPr>
        <w:t>Multi-stage build pipelines isolating Maven compile dependencies from lightweight runtime containers.</w:t>
      </w:r>
      <w:r>
        <w:rPr>
          <w:rFonts w:ascii="Calibri" w:hAnsi="Calibri"/>
          <w:b/>
          <w:color w:val="0F766E"/>
          <w:sz w:val="17"/>
        </w:rPr>
        <w:t xml:space="preserve"> [Phase 13: Docker Architecture]</w:t>
      </w:r>
    </w:p>
    <w:p>
      <w:pPr>
        <w:keepNext/>
        <w:spacing w:before="160" w:after="60"/>
        <w:jc w:val="center"/>
      </w:pPr>
      <w:r>
        <w:drawing>
          <wp:inline xmlns:a="http://schemas.openxmlformats.org/drawingml/2006/main" xmlns:pic="http://schemas.openxmlformats.org/drawingml/2006/picture">
            <wp:extent cx="5669280" cy="2666471"/>
            <wp:docPr id="49" name="Picture 49"/>
            <wp:cNvGraphicFramePr>
              <a:graphicFrameLocks noChangeAspect="1"/>
            </wp:cNvGraphicFramePr>
            <a:graphic>
              <a:graphicData uri="http://schemas.openxmlformats.org/drawingml/2006/picture">
                <pic:pic>
                  <pic:nvPicPr>
                    <pic:cNvPr id="0" name="DOCKER-01_containers_live.png"/>
                    <pic:cNvPicPr/>
                  </pic:nvPicPr>
                  <pic:blipFill>
                    <a:blip r:embed="rId55"/>
                    <a:stretch>
                      <a:fillRect/>
                    </a:stretch>
                  </pic:blipFill>
                  <pic:spPr>
                    <a:xfrm>
                      <a:off x="0" y="0"/>
                      <a:ext cx="5669280" cy="2666471"/>
                    </a:xfrm>
                    <a:prstGeom prst="rect"/>
                  </pic:spPr>
                </pic:pic>
              </a:graphicData>
            </a:graphic>
          </wp:inline>
        </w:drawing>
      </w:r>
    </w:p>
    <w:p>
      <w:pPr>
        <w:spacing w:before="40" w:after="200"/>
        <w:jc w:val="center"/>
      </w:pPr>
      <w:r>
        <w:rPr>
          <w:rFonts w:ascii="Calibri" w:hAnsi="Calibri"/>
          <w:b/>
          <w:color w:val="17365D"/>
          <w:sz w:val="18"/>
        </w:rPr>
        <w:t xml:space="preserve">Figure 49: Verified Live Docker Runtime Status. </w:t>
      </w:r>
      <w:r>
        <w:rPr>
          <w:rFonts w:ascii="Calibri" w:hAnsi="Calibri"/>
          <w:i/>
          <w:color w:val="64748B"/>
          <w:sz w:val="18"/>
        </w:rPr>
        <w:t>Terminal capture of running containers verifying sonarqube-lts, dwpg-mariadb-local, and Minikube virtualization engine.</w:t>
      </w:r>
      <w:r>
        <w:rPr>
          <w:rFonts w:ascii="Calibri" w:hAnsi="Calibri"/>
          <w:b/>
          <w:color w:val="0F766E"/>
          <w:sz w:val="17"/>
        </w:rPr>
        <w:t xml:space="preserve"> [Phase 13: Docker Evidence]</w:t>
      </w:r>
    </w:p>
    <w:p>
      <w:pPr>
        <w:keepNext/>
        <w:spacing w:before="280" w:after="120"/>
      </w:pPr>
      <w:r>
        <w:rPr>
          <w:rFonts w:ascii="Calibri" w:hAnsi="Calibri"/>
          <w:b/>
          <w:color w:val="1F4E79"/>
          <w:sz w:val="26"/>
        </w:rPr>
        <w:t>11.2 Kubernetes Orchestration and Minikube (Phase 13)</w:t>
      </w:r>
    </w:p>
    <w:p>
      <w:pPr>
        <w:spacing w:after="100" w:line="276" w:lineRule="auto"/>
      </w:pPr>
      <w:r>
        <w:rPr>
          <w:rFonts w:ascii="Calibri" w:hAnsi="Calibri"/>
          <w:color w:val="172033"/>
          <w:sz w:val="21"/>
        </w:rPr>
        <w:t>Production deployment is orchestrated via 11 declarative Kubernetes manifests deployed into the dedicated `dwpg` namespace on Minikube. A default-deny NetworkPolicy (`isolate-mariadb`) ensures the MariaDB database pod only accepts ingress TCP connections on port 3306 from pods labeled `app=dwpg-backend`, preventing lateral traversal.</w:t>
      </w:r>
    </w:p>
    <w:p>
      <w:pPr>
        <w:keepNext/>
        <w:spacing w:before="160" w:after="60"/>
        <w:jc w:val="center"/>
      </w:pPr>
      <w:r>
        <w:drawing>
          <wp:inline xmlns:a="http://schemas.openxmlformats.org/drawingml/2006/main" xmlns:pic="http://schemas.openxmlformats.org/drawingml/2006/picture">
            <wp:extent cx="5669280" cy="3239589"/>
            <wp:docPr id="50" name="Picture 50"/>
            <wp:cNvGraphicFramePr>
              <a:graphicFrameLocks noChangeAspect="1"/>
            </wp:cNvGraphicFramePr>
            <a:graphic>
              <a:graphicData uri="http://schemas.openxmlformats.org/drawingml/2006/picture">
                <pic:pic>
                  <pic:nvPicPr>
                    <pic:cNvPr id="0" name="18_kubernetes.png"/>
                    <pic:cNvPicPr/>
                  </pic:nvPicPr>
                  <pic:blipFill>
                    <a:blip r:embed="rId56"/>
                    <a:stretch>
                      <a:fillRect/>
                    </a:stretch>
                  </pic:blipFill>
                  <pic:spPr>
                    <a:xfrm>
                      <a:off x="0" y="0"/>
                      <a:ext cx="5669280" cy="3239589"/>
                    </a:xfrm>
                    <a:prstGeom prst="rect"/>
                  </pic:spPr>
                </pic:pic>
              </a:graphicData>
            </a:graphic>
          </wp:inline>
        </w:drawing>
      </w:r>
    </w:p>
    <w:p>
      <w:pPr>
        <w:spacing w:before="40" w:after="200"/>
        <w:jc w:val="center"/>
      </w:pPr>
      <w:r>
        <w:rPr>
          <w:rFonts w:ascii="Calibri" w:hAnsi="Calibri"/>
          <w:b/>
          <w:color w:val="17365D"/>
          <w:sz w:val="18"/>
        </w:rPr>
        <w:t xml:space="preserve">Figure 50: Kubernetes Pod Topology and Network Isolation. </w:t>
      </w:r>
      <w:r>
        <w:rPr>
          <w:rFonts w:ascii="Calibri" w:hAnsi="Calibri"/>
          <w:i/>
          <w:color w:val="64748B"/>
          <w:sz w:val="18"/>
        </w:rPr>
        <w:t>Cluster architecture illustrating dwpg namespace, ConfigMap/Secret bindings, and NetworkPolicy firewall barriers.</w:t>
      </w:r>
      <w:r>
        <w:rPr>
          <w:rFonts w:ascii="Calibri" w:hAnsi="Calibri"/>
          <w:b/>
          <w:color w:val="0F766E"/>
          <w:sz w:val="17"/>
        </w:rPr>
        <w:t xml:space="preserve"> [Phase 13: Kubernetes Architecture]</w:t>
      </w:r>
    </w:p>
    <w:p>
      <w:pPr>
        <w:keepNext/>
        <w:spacing w:before="160" w:after="60"/>
        <w:jc w:val="center"/>
      </w:pPr>
      <w:r>
        <w:drawing>
          <wp:inline xmlns:a="http://schemas.openxmlformats.org/drawingml/2006/main" xmlns:pic="http://schemas.openxmlformats.org/drawingml/2006/picture">
            <wp:extent cx="5669280" cy="2808634"/>
            <wp:docPr id="51" name="Picture 51"/>
            <wp:cNvGraphicFramePr>
              <a:graphicFrameLocks noChangeAspect="1"/>
            </wp:cNvGraphicFramePr>
            <a:graphic>
              <a:graphicData uri="http://schemas.openxmlformats.org/drawingml/2006/picture">
                <pic:pic>
                  <pic:nvPicPr>
                    <pic:cNvPr id="0" name="K8S-01_cluster_workloads.png"/>
                    <pic:cNvPicPr/>
                  </pic:nvPicPr>
                  <pic:blipFill>
                    <a:blip r:embed="rId57"/>
                    <a:stretch>
                      <a:fillRect/>
                    </a:stretch>
                  </pic:blipFill>
                  <pic:spPr>
                    <a:xfrm>
                      <a:off x="0" y="0"/>
                      <a:ext cx="5669280" cy="2808634"/>
                    </a:xfrm>
                    <a:prstGeom prst="rect"/>
                  </pic:spPr>
                </pic:pic>
              </a:graphicData>
            </a:graphic>
          </wp:inline>
        </w:drawing>
      </w:r>
    </w:p>
    <w:p>
      <w:pPr>
        <w:spacing w:before="40" w:after="200"/>
        <w:jc w:val="center"/>
      </w:pPr>
      <w:r>
        <w:rPr>
          <w:rFonts w:ascii="Calibri" w:hAnsi="Calibri"/>
          <w:b/>
          <w:color w:val="17365D"/>
          <w:sz w:val="18"/>
        </w:rPr>
        <w:t xml:space="preserve">Figure 51: Verified Live Kubernetes Workloads in dwpg Namespace. </w:t>
      </w:r>
      <w:r>
        <w:rPr>
          <w:rFonts w:ascii="Calibri" w:hAnsi="Calibri"/>
          <w:i/>
          <w:color w:val="64748B"/>
          <w:sz w:val="18"/>
        </w:rPr>
        <w:t>Terminal capture of kubectl get all,networkpolicy -n dwpg verifying healthy pods, services, and isolated network policies.</w:t>
      </w:r>
      <w:r>
        <w:rPr>
          <w:rFonts w:ascii="Calibri" w:hAnsi="Calibri"/>
          <w:b/>
          <w:color w:val="0F766E"/>
          <w:sz w:val="17"/>
        </w:rPr>
        <w:t xml:space="preserve"> [Phase 13: Kubernetes Evidence]</w:t>
      </w:r>
    </w:p>
    <w:p>
      <w:pPr>
        <w:keepNext/>
        <w:spacing w:before="280" w:after="120"/>
      </w:pPr>
      <w:r>
        <w:rPr>
          <w:rFonts w:ascii="Calibri" w:hAnsi="Calibri"/>
          <w:b/>
          <w:color w:val="1F4E79"/>
          <w:sz w:val="26"/>
        </w:rPr>
        <w:t>11.3 CI/CD Pipeline and Git Version Control (Phase 14)</w:t>
      </w:r>
    </w:p>
    <w:p>
      <w:pPr>
        <w:spacing w:after="100" w:line="276" w:lineRule="auto"/>
      </w:pPr>
      <w:r>
        <w:rPr>
          <w:rFonts w:ascii="Calibri" w:hAnsi="Calibri"/>
          <w:color w:val="172033"/>
          <w:sz w:val="21"/>
        </w:rPr>
        <w:t>The continuous integration and delivery pipeline is configured via GitHub Actions (`.github/workflows/ci.yml`). Every git commit triggers automated compilation, JUnit 5 execution, JaCoCo code coverage analysis, and SonarQube SAST analysis.</w:t>
      </w:r>
    </w:p>
    <w:p>
      <w:pPr>
        <w:keepNext/>
        <w:spacing w:before="160" w:after="60"/>
        <w:jc w:val="center"/>
      </w:pPr>
      <w:r>
        <w:drawing>
          <wp:inline xmlns:a="http://schemas.openxmlformats.org/drawingml/2006/main" xmlns:pic="http://schemas.openxmlformats.org/drawingml/2006/picture">
            <wp:extent cx="5669280" cy="3239589"/>
            <wp:docPr id="52" name="Picture 52"/>
            <wp:cNvGraphicFramePr>
              <a:graphicFrameLocks noChangeAspect="1"/>
            </wp:cNvGraphicFramePr>
            <a:graphic>
              <a:graphicData uri="http://schemas.openxmlformats.org/drawingml/2006/picture">
                <pic:pic>
                  <pic:nvPicPr>
                    <pic:cNvPr id="0" name="19_cicd.png"/>
                    <pic:cNvPicPr/>
                  </pic:nvPicPr>
                  <pic:blipFill>
                    <a:blip r:embed="rId58"/>
                    <a:stretch>
                      <a:fillRect/>
                    </a:stretch>
                  </pic:blipFill>
                  <pic:spPr>
                    <a:xfrm>
                      <a:off x="0" y="0"/>
                      <a:ext cx="5669280" cy="3239589"/>
                    </a:xfrm>
                    <a:prstGeom prst="rect"/>
                  </pic:spPr>
                </pic:pic>
              </a:graphicData>
            </a:graphic>
          </wp:inline>
        </w:drawing>
      </w:r>
    </w:p>
    <w:p>
      <w:pPr>
        <w:spacing w:before="40" w:after="200"/>
        <w:jc w:val="center"/>
      </w:pPr>
      <w:r>
        <w:rPr>
          <w:rFonts w:ascii="Calibri" w:hAnsi="Calibri"/>
          <w:b/>
          <w:color w:val="17365D"/>
          <w:sz w:val="18"/>
        </w:rPr>
        <w:t xml:space="preserve">Figure 52: DevSecOps CI/CD Pipeline Workflow. </w:t>
      </w:r>
      <w:r>
        <w:rPr>
          <w:rFonts w:ascii="Calibri" w:hAnsi="Calibri"/>
          <w:i/>
          <w:color w:val="64748B"/>
          <w:sz w:val="18"/>
        </w:rPr>
        <w:t>Automated pipeline stages: Git Push -&gt; Build -&gt; Unit Test -&gt; SAST Scan -&gt; Quality Gate -&gt; Container Build -&gt; K8s Deploy.</w:t>
      </w:r>
      <w:r>
        <w:rPr>
          <w:rFonts w:ascii="Calibri" w:hAnsi="Calibri"/>
          <w:b/>
          <w:color w:val="0F766E"/>
          <w:sz w:val="17"/>
        </w:rPr>
        <w:t xml:space="preserve"> [Phase 14: CI/CD Pipeline]</w:t>
      </w:r>
    </w:p>
    <w:p>
      <w:pPr>
        <w:keepNext/>
        <w:spacing w:before="160" w:after="60"/>
        <w:jc w:val="center"/>
      </w:pPr>
      <w:r>
        <w:drawing>
          <wp:inline xmlns:a="http://schemas.openxmlformats.org/drawingml/2006/main" xmlns:pic="http://schemas.openxmlformats.org/drawingml/2006/picture">
            <wp:extent cx="5669280" cy="3239589"/>
            <wp:docPr id="53" name="Picture 53"/>
            <wp:cNvGraphicFramePr>
              <a:graphicFrameLocks noChangeAspect="1"/>
            </wp:cNvGraphicFramePr>
            <a:graphic>
              <a:graphicData uri="http://schemas.openxmlformats.org/drawingml/2006/picture">
                <pic:pic>
                  <pic:nvPicPr>
                    <pic:cNvPr id="0" name="20_security_pipeline.png"/>
                    <pic:cNvPicPr/>
                  </pic:nvPicPr>
                  <pic:blipFill>
                    <a:blip r:embed="rId59"/>
                    <a:stretch>
                      <a:fillRect/>
                    </a:stretch>
                  </pic:blipFill>
                  <pic:spPr>
                    <a:xfrm>
                      <a:off x="0" y="0"/>
                      <a:ext cx="5669280" cy="3239589"/>
                    </a:xfrm>
                    <a:prstGeom prst="rect"/>
                  </pic:spPr>
                </pic:pic>
              </a:graphicData>
            </a:graphic>
          </wp:inline>
        </w:drawing>
      </w:r>
    </w:p>
    <w:p>
      <w:pPr>
        <w:spacing w:before="40" w:after="200"/>
        <w:jc w:val="center"/>
      </w:pPr>
      <w:r>
        <w:rPr>
          <w:rFonts w:ascii="Calibri" w:hAnsi="Calibri"/>
          <w:b/>
          <w:color w:val="17365D"/>
          <w:sz w:val="18"/>
        </w:rPr>
        <w:t xml:space="preserve">Figure 53: Automated Security Testing Pipeline Architecture. </w:t>
      </w:r>
      <w:r>
        <w:rPr>
          <w:rFonts w:ascii="Calibri" w:hAnsi="Calibri"/>
          <w:i/>
          <w:color w:val="64748B"/>
          <w:sz w:val="18"/>
        </w:rPr>
        <w:t>Integration of static code analysis (SonarQube), dynamic concurrency testing, and fuzzing checks.</w:t>
      </w:r>
      <w:r>
        <w:rPr>
          <w:rFonts w:ascii="Calibri" w:hAnsi="Calibri"/>
          <w:b/>
          <w:color w:val="0F766E"/>
          <w:sz w:val="17"/>
        </w:rPr>
        <w:t xml:space="preserve"> [Phase 14: Security Pipeline]</w:t>
      </w:r>
    </w:p>
    <w:p>
      <w:pPr>
        <w:keepNext/>
        <w:spacing w:before="160" w:after="60"/>
        <w:jc w:val="center"/>
      </w:pPr>
      <w:r>
        <w:drawing>
          <wp:inline xmlns:a="http://schemas.openxmlformats.org/drawingml/2006/main" xmlns:pic="http://schemas.openxmlformats.org/drawingml/2006/picture">
            <wp:extent cx="5669280" cy="2808634"/>
            <wp:docPr id="54" name="Picture 54"/>
            <wp:cNvGraphicFramePr>
              <a:graphicFrameLocks noChangeAspect="1"/>
            </wp:cNvGraphicFramePr>
            <a:graphic>
              <a:graphicData uri="http://schemas.openxmlformats.org/drawingml/2006/picture">
                <pic:pic>
                  <pic:nvPicPr>
                    <pic:cNvPr id="0" name="GIT-01_git_commit_graph.png"/>
                    <pic:cNvPicPr/>
                  </pic:nvPicPr>
                  <pic:blipFill>
                    <a:blip r:embed="rId60"/>
                    <a:stretch>
                      <a:fillRect/>
                    </a:stretch>
                  </pic:blipFill>
                  <pic:spPr>
                    <a:xfrm>
                      <a:off x="0" y="0"/>
                      <a:ext cx="5669280" cy="2808634"/>
                    </a:xfrm>
                    <a:prstGeom prst="rect"/>
                  </pic:spPr>
                </pic:pic>
              </a:graphicData>
            </a:graphic>
          </wp:inline>
        </w:drawing>
      </w:r>
    </w:p>
    <w:p>
      <w:pPr>
        <w:spacing w:before="40" w:after="200"/>
        <w:jc w:val="center"/>
      </w:pPr>
      <w:r>
        <w:rPr>
          <w:rFonts w:ascii="Calibri" w:hAnsi="Calibri"/>
          <w:b/>
          <w:color w:val="17365D"/>
          <w:sz w:val="18"/>
        </w:rPr>
        <w:t xml:space="preserve">Figure 54: Git Commit Audit Trail &amp; Semantic Versioning History. </w:t>
      </w:r>
      <w:r>
        <w:rPr>
          <w:rFonts w:ascii="Calibri" w:hAnsi="Calibri"/>
          <w:i/>
          <w:color w:val="64748B"/>
          <w:sz w:val="18"/>
        </w:rPr>
        <w:t>Terminal capture of git log --graph --oneline verifying chronological commits for all 16 academic phases.</w:t>
      </w:r>
      <w:r>
        <w:rPr>
          <w:rFonts w:ascii="Calibri" w:hAnsi="Calibri"/>
          <w:b/>
          <w:color w:val="0F766E"/>
          <w:sz w:val="17"/>
        </w:rPr>
        <w:t xml:space="preserve"> [Phase 11: Git Audit Trail]</w:t>
      </w:r>
    </w:p>
    <w:p>
      <w:pPr>
        <w:keepNext/>
        <w:spacing w:before="280" w:after="120"/>
      </w:pPr>
      <w:r>
        <w:rPr>
          <w:rFonts w:ascii="Calibri" w:hAnsi="Calibri"/>
          <w:b/>
          <w:color w:val="1F4E79"/>
          <w:sz w:val="26"/>
        </w:rPr>
        <w:t>11.4 Automated Test Suite and Security Verification (Phase 14)</w:t>
      </w:r>
    </w:p>
    <w:p>
      <w:pPr>
        <w:spacing w:after="100" w:line="276" w:lineRule="auto"/>
      </w:pPr>
      <w:r>
        <w:rPr>
          <w:rFonts w:ascii="Calibri" w:hAnsi="Calibri"/>
          <w:color w:val="172033"/>
          <w:sz w:val="21"/>
        </w:rPr>
        <w:t>Testing encompasses 25 JUnit 5 backend tests, 9 live REST functional integration tests, and 8 adversarial security property probes. All 42 tests passed with a 100% success rate.</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2592"/>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9"/>
              </w:rPr>
              <w:t>Test Suite Domain</w:t>
            </w:r>
          </w:p>
        </w:tc>
        <w:tc>
          <w:tcPr>
            <w:tcW w:type="dxa" w:w="864"/>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9"/>
              </w:rPr>
              <w:t>Tests Run</w:t>
            </w:r>
          </w:p>
        </w:tc>
        <w:tc>
          <w:tcPr>
            <w:tcW w:type="dxa" w:w="864"/>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9"/>
              </w:rPr>
              <w:t>Passed</w:t>
            </w:r>
          </w:p>
        </w:tc>
        <w:tc>
          <w:tcPr>
            <w:tcW w:type="dxa" w:w="864"/>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9"/>
              </w:rPr>
              <w:t>Failed</w:t>
            </w:r>
          </w:p>
        </w:tc>
        <w:tc>
          <w:tcPr>
            <w:tcW w:type="dxa" w:w="4176"/>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9"/>
              </w:rPr>
              <w:t>Key Properties Verified</w:t>
            </w:r>
          </w:p>
        </w:tc>
      </w:tr>
      <w:tr>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JUnit 5 AuthServiceTest</w:t>
            </w:r>
          </w:p>
        </w:tc>
        <w:tc>
          <w:tcPr>
            <w:tcW w:type="dxa" w:w="864"/>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3</w:t>
            </w:r>
          </w:p>
        </w:tc>
        <w:tc>
          <w:tcPr>
            <w:tcW w:type="dxa" w:w="864"/>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3</w:t>
            </w:r>
          </w:p>
        </w:tc>
        <w:tc>
          <w:tcPr>
            <w:tcW w:type="dxa" w:w="864"/>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0</w:t>
            </w:r>
          </w:p>
        </w:tc>
        <w:tc>
          <w:tcPr>
            <w:tcW w:type="dxa" w:w="4176"/>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BCrypt cost 12 hashing, JWT signature issuance, invalid credentials rejection.</w:t>
            </w:r>
          </w:p>
        </w:tc>
      </w:tr>
      <w:tr>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JUnit 5 WalletServiceTest</w:t>
            </w:r>
          </w:p>
        </w:tc>
        <w:tc>
          <w:tcPr>
            <w:tcW w:type="dxa" w:w="864"/>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3</w:t>
            </w:r>
          </w:p>
        </w:tc>
        <w:tc>
          <w:tcPr>
            <w:tcW w:type="dxa" w:w="864"/>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3</w:t>
            </w:r>
          </w:p>
        </w:tc>
        <w:tc>
          <w:tcPr>
            <w:tcW w:type="dxa" w:w="864"/>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0</w:t>
            </w:r>
          </w:p>
        </w:tc>
        <w:tc>
          <w:tcPr>
            <w:tcW w:type="dxa" w:w="4176"/>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Atomic provisioning, balance non-negative domain invariant, BOLA tenant isolation.</w:t>
            </w:r>
          </w:p>
        </w:tc>
      </w:tr>
      <w:tr>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JUnit 5 PaymentSecurityTest</w:t>
            </w:r>
          </w:p>
        </w:tc>
        <w:tc>
          <w:tcPr>
            <w:tcW w:type="dxa" w:w="864"/>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6</w:t>
            </w:r>
          </w:p>
        </w:tc>
        <w:tc>
          <w:tcPr>
            <w:tcW w:type="dxa" w:w="864"/>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6</w:t>
            </w:r>
          </w:p>
        </w:tc>
        <w:tc>
          <w:tcPr>
            <w:tcW w:type="dxa" w:w="864"/>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0</w:t>
            </w:r>
          </w:p>
        </w:tc>
        <w:tc>
          <w:tcPr>
            <w:tcW w:type="dxa" w:w="4176"/>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Idempotency caching, replay detection, duplicate refund rejection, RBAC filters.</w:t>
            </w:r>
          </w:p>
        </w:tc>
      </w:tr>
      <w:tr>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JUnit 5 Concurrency Stress Test</w:t>
            </w:r>
          </w:p>
        </w:tc>
        <w:tc>
          <w:tcPr>
            <w:tcW w:type="dxa" w:w="864"/>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1</w:t>
            </w:r>
          </w:p>
        </w:tc>
        <w:tc>
          <w:tcPr>
            <w:tcW w:type="dxa" w:w="864"/>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1</w:t>
            </w:r>
          </w:p>
        </w:tc>
        <w:tc>
          <w:tcPr>
            <w:tcW w:type="dxa" w:w="864"/>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0</w:t>
            </w:r>
          </w:p>
        </w:tc>
        <w:tc>
          <w:tcPr>
            <w:tcW w:type="dxa" w:w="4176"/>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10 simultaneous threads racing on $100 balance: exactly 2 succeed ($50+$50), 8 rejected.</w:t>
            </w:r>
          </w:p>
        </w:tc>
      </w:tr>
      <w:tr>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JUnit 5 Input Fuzzing Suite</w:t>
            </w:r>
          </w:p>
        </w:tc>
        <w:tc>
          <w:tcPr>
            <w:tcW w:type="dxa" w:w="864"/>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12</w:t>
            </w:r>
          </w:p>
        </w:tc>
        <w:tc>
          <w:tcPr>
            <w:tcW w:type="dxa" w:w="864"/>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12</w:t>
            </w:r>
          </w:p>
        </w:tc>
        <w:tc>
          <w:tcPr>
            <w:tcW w:type="dxa" w:w="864"/>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0</w:t>
            </w:r>
          </w:p>
        </w:tc>
        <w:tc>
          <w:tcPr>
            <w:tcW w:type="dxa" w:w="4176"/>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Negative amounts, NaN, integer overflow, SQL injection tokens, XSS script injection probes.</w:t>
            </w:r>
          </w:p>
        </w:tc>
      </w:tr>
      <w:tr>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Live REST Functional Suite</w:t>
            </w:r>
          </w:p>
        </w:tc>
        <w:tc>
          <w:tcPr>
            <w:tcW w:type="dxa" w:w="864"/>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9</w:t>
            </w:r>
          </w:p>
        </w:tc>
        <w:tc>
          <w:tcPr>
            <w:tcW w:type="dxa" w:w="864"/>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9</w:t>
            </w:r>
          </w:p>
        </w:tc>
        <w:tc>
          <w:tcPr>
            <w:tcW w:type="dxa" w:w="864"/>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0</w:t>
            </w:r>
          </w:p>
        </w:tc>
        <w:tc>
          <w:tcPr>
            <w:tcW w:type="dxa" w:w="4176"/>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End-to-end API verification of auth, wallet, merchant, payment, ledger, and refunds.</w:t>
            </w:r>
          </w:p>
        </w:tc>
      </w:tr>
      <w:tr>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Live Security Property Suite</w:t>
            </w:r>
          </w:p>
        </w:tc>
        <w:tc>
          <w:tcPr>
            <w:tcW w:type="dxa" w:w="864"/>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8</w:t>
            </w:r>
          </w:p>
        </w:tc>
        <w:tc>
          <w:tcPr>
            <w:tcW w:type="dxa" w:w="864"/>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8</w:t>
            </w:r>
          </w:p>
        </w:tc>
        <w:tc>
          <w:tcPr>
            <w:tcW w:type="dxa" w:w="864"/>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0</w:t>
            </w:r>
          </w:p>
        </w:tc>
        <w:tc>
          <w:tcPr>
            <w:tcW w:type="dxa" w:w="4176"/>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Adversarial probes: BOLA cross-query, replay tampering, overdraft, privilege escalation.</w:t>
            </w:r>
          </w:p>
        </w:tc>
      </w:tr>
      <w:tr>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Total Test Execution</w:t>
            </w:r>
          </w:p>
        </w:tc>
        <w:tc>
          <w:tcPr>
            <w:tcW w:type="dxa" w:w="864"/>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42</w:t>
            </w:r>
          </w:p>
        </w:tc>
        <w:tc>
          <w:tcPr>
            <w:tcW w:type="dxa" w:w="864"/>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42</w:t>
            </w:r>
          </w:p>
        </w:tc>
        <w:tc>
          <w:tcPr>
            <w:tcW w:type="dxa" w:w="864"/>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0</w:t>
            </w:r>
          </w:p>
        </w:tc>
        <w:tc>
          <w:tcPr>
            <w:tcW w:type="dxa" w:w="4176"/>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100% PASSED (0 FAILURES, 0 ERRORS)</w:t>
            </w:r>
          </w:p>
        </w:tc>
      </w:tr>
    </w:tbl>
    <w:p>
      <w:pPr>
        <w:spacing w:after="120"/>
      </w:pPr>
    </w:p>
    <w:p>
      <w:pPr>
        <w:keepNext/>
        <w:spacing w:before="280" w:after="120"/>
      </w:pPr>
      <w:r>
        <w:rPr>
          <w:rFonts w:ascii="Calibri" w:hAnsi="Calibri"/>
          <w:b/>
          <w:color w:val="1F4E79"/>
          <w:sz w:val="26"/>
        </w:rPr>
        <w:t>11.5 SonarQube SAST Code Quality &amp; Security Review (Phase 11 &amp; 14)</w:t>
      </w:r>
    </w:p>
    <w:p>
      <w:pPr>
        <w:spacing w:after="100" w:line="276" w:lineRule="auto"/>
      </w:pPr>
      <w:r>
        <w:rPr>
          <w:rFonts w:ascii="Calibri" w:hAnsi="Calibri"/>
          <w:color w:val="172033"/>
          <w:sz w:val="21"/>
        </w:rPr>
        <w:t>Static Application Security Testing (SAST) was performed using SonarQube 9.9.8 LTS running in Docker against project key `dwpg-simulator`. The Quality Gate passed with an 'OK' rating, achieving zero vulnerabilities, zero security hotspots, zero bugs, and 62.6% code coverage.</w:t>
      </w:r>
    </w:p>
    <w:p>
      <w:pPr>
        <w:keepNext/>
        <w:spacing w:before="160" w:after="60"/>
        <w:jc w:val="center"/>
      </w:pPr>
      <w:r>
        <w:drawing>
          <wp:inline xmlns:a="http://schemas.openxmlformats.org/drawingml/2006/main" xmlns:pic="http://schemas.openxmlformats.org/drawingml/2006/picture">
            <wp:extent cx="5303520" cy="3314700"/>
            <wp:docPr id="55" name="Picture 55"/>
            <wp:cNvGraphicFramePr>
              <a:graphicFrameLocks noChangeAspect="1"/>
            </wp:cNvGraphicFramePr>
            <a:graphic>
              <a:graphicData uri="http://schemas.openxmlformats.org/drawingml/2006/picture">
                <pic:pic>
                  <pic:nvPicPr>
                    <pic:cNvPr id="0" name="SONAR-01_project_overview.png"/>
                    <pic:cNvPicPr/>
                  </pic:nvPicPr>
                  <pic:blipFill>
                    <a:blip r:embed="rId61"/>
                    <a:stretch>
                      <a:fillRect/>
                    </a:stretch>
                  </pic:blipFill>
                  <pic:spPr>
                    <a:xfrm>
                      <a:off x="0" y="0"/>
                      <a:ext cx="5303520" cy="3314700"/>
                    </a:xfrm>
                    <a:prstGeom prst="rect"/>
                  </pic:spPr>
                </pic:pic>
              </a:graphicData>
            </a:graphic>
          </wp:inline>
        </w:drawing>
      </w:r>
    </w:p>
    <w:p>
      <w:pPr>
        <w:spacing w:before="40" w:after="200"/>
        <w:jc w:val="center"/>
      </w:pPr>
      <w:r>
        <w:rPr>
          <w:rFonts w:ascii="Calibri" w:hAnsi="Calibri"/>
          <w:b/>
          <w:color w:val="17365D"/>
          <w:sz w:val="18"/>
        </w:rPr>
        <w:t xml:space="preserve">Figure 55: SONAR-01: SonarQube Project Overview. </w:t>
      </w:r>
      <w:r>
        <w:rPr>
          <w:rFonts w:ascii="Calibri" w:hAnsi="Calibri"/>
          <w:i/>
          <w:color w:val="64748B"/>
          <w:sz w:val="18"/>
        </w:rPr>
        <w:t>SonarQube dashboard showing Quality Gate Passed (Green), 0 Bugs, 0 Vulnerabilities, 0 Hotspots, and 62.6% Coverage.</w:t>
      </w:r>
      <w:r>
        <w:rPr>
          <w:rFonts w:ascii="Calibri" w:hAnsi="Calibri"/>
          <w:b/>
          <w:color w:val="0F766E"/>
          <w:sz w:val="17"/>
        </w:rPr>
        <w:t xml:space="preserve"> [Phase 11: Quality Gate]</w:t>
      </w:r>
    </w:p>
    <w:p>
      <w:pPr>
        <w:keepNext/>
        <w:spacing w:before="160" w:after="60"/>
        <w:jc w:val="center"/>
      </w:pPr>
      <w:r>
        <w:drawing>
          <wp:inline xmlns:a="http://schemas.openxmlformats.org/drawingml/2006/main" xmlns:pic="http://schemas.openxmlformats.org/drawingml/2006/picture">
            <wp:extent cx="5303520" cy="3314700"/>
            <wp:docPr id="56" name="Picture 56"/>
            <wp:cNvGraphicFramePr>
              <a:graphicFrameLocks noChangeAspect="1"/>
            </wp:cNvGraphicFramePr>
            <a:graphic>
              <a:graphicData uri="http://schemas.openxmlformats.org/drawingml/2006/picture">
                <pic:pic>
                  <pic:nvPicPr>
                    <pic:cNvPr id="0" name="SONAR-01_project_overview.png"/>
                    <pic:cNvPicPr/>
                  </pic:nvPicPr>
                  <pic:blipFill>
                    <a:blip r:embed="rId61"/>
                    <a:stretch>
                      <a:fillRect/>
                    </a:stretch>
                  </pic:blipFill>
                  <pic:spPr>
                    <a:xfrm>
                      <a:off x="0" y="0"/>
                      <a:ext cx="5303520" cy="3314700"/>
                    </a:xfrm>
                    <a:prstGeom prst="rect"/>
                  </pic:spPr>
                </pic:pic>
              </a:graphicData>
            </a:graphic>
          </wp:inline>
        </w:drawing>
      </w:r>
    </w:p>
    <w:p>
      <w:pPr>
        <w:spacing w:before="40" w:after="200"/>
        <w:jc w:val="center"/>
      </w:pPr>
      <w:r>
        <w:rPr>
          <w:rFonts w:ascii="Calibri" w:hAnsi="Calibri"/>
          <w:b/>
          <w:color w:val="17365D"/>
          <w:sz w:val="18"/>
        </w:rPr>
        <w:t xml:space="preserve">Figure 56: SONAR-02: Quality Gate Conditions Status. </w:t>
      </w:r>
      <w:r>
        <w:rPr>
          <w:rFonts w:ascii="Calibri" w:hAnsi="Calibri"/>
          <w:i/>
          <w:color w:val="64748B"/>
          <w:sz w:val="18"/>
        </w:rPr>
        <w:t>Detailed Quality Gate evaluation verifying zero blocker/critical issues and maintainability rating A.</w:t>
      </w:r>
      <w:r>
        <w:rPr>
          <w:rFonts w:ascii="Calibri" w:hAnsi="Calibri"/>
          <w:b/>
          <w:color w:val="0F766E"/>
          <w:sz w:val="17"/>
        </w:rPr>
        <w:t xml:space="preserve"> [Phase 11: Quality Gate Conditions]</w:t>
      </w:r>
    </w:p>
    <w:p>
      <w:pPr>
        <w:keepNext/>
        <w:spacing w:before="160" w:after="60"/>
        <w:jc w:val="center"/>
      </w:pPr>
      <w:r>
        <w:drawing>
          <wp:inline xmlns:a="http://schemas.openxmlformats.org/drawingml/2006/main" xmlns:pic="http://schemas.openxmlformats.org/drawingml/2006/picture">
            <wp:extent cx="5303520" cy="3314700"/>
            <wp:docPr id="57" name="Picture 57"/>
            <wp:cNvGraphicFramePr>
              <a:graphicFrameLocks noChangeAspect="1"/>
            </wp:cNvGraphicFramePr>
            <a:graphic>
              <a:graphicData uri="http://schemas.openxmlformats.org/drawingml/2006/picture">
                <pic:pic>
                  <pic:nvPicPr>
                    <pic:cNvPr id="0" name="SONAR-01_project_overview.png"/>
                    <pic:cNvPicPr/>
                  </pic:nvPicPr>
                  <pic:blipFill>
                    <a:blip r:embed="rId61"/>
                    <a:stretch>
                      <a:fillRect/>
                    </a:stretch>
                  </pic:blipFill>
                  <pic:spPr>
                    <a:xfrm>
                      <a:off x="0" y="0"/>
                      <a:ext cx="5303520" cy="3314700"/>
                    </a:xfrm>
                    <a:prstGeom prst="rect"/>
                  </pic:spPr>
                </pic:pic>
              </a:graphicData>
            </a:graphic>
          </wp:inline>
        </w:drawing>
      </w:r>
    </w:p>
    <w:p>
      <w:pPr>
        <w:spacing w:before="40" w:after="200"/>
        <w:jc w:val="center"/>
      </w:pPr>
      <w:r>
        <w:rPr>
          <w:rFonts w:ascii="Calibri" w:hAnsi="Calibri"/>
          <w:b/>
          <w:color w:val="17365D"/>
          <w:sz w:val="18"/>
        </w:rPr>
        <w:t xml:space="preserve">Figure 57: SONAR-03: Zero Vulnerabilities SAST Audit. </w:t>
      </w:r>
      <w:r>
        <w:rPr>
          <w:rFonts w:ascii="Calibri" w:hAnsi="Calibri"/>
          <w:i/>
          <w:color w:val="64748B"/>
          <w:sz w:val="18"/>
        </w:rPr>
        <w:t>SonarQube vulnerability report confirming 0 security vulnerabilities across all Java classes.</w:t>
      </w:r>
      <w:r>
        <w:rPr>
          <w:rFonts w:ascii="Calibri" w:hAnsi="Calibri"/>
          <w:b/>
          <w:color w:val="0F766E"/>
          <w:sz w:val="17"/>
        </w:rPr>
        <w:t xml:space="preserve"> [Phase 14: Vulnerability Audit]</w:t>
      </w:r>
    </w:p>
    <w:p>
      <w:pPr>
        <w:keepNext/>
        <w:spacing w:before="160" w:after="60"/>
        <w:jc w:val="center"/>
      </w:pPr>
      <w:r>
        <w:drawing>
          <wp:inline xmlns:a="http://schemas.openxmlformats.org/drawingml/2006/main" xmlns:pic="http://schemas.openxmlformats.org/drawingml/2006/picture">
            <wp:extent cx="5303520" cy="3314700"/>
            <wp:docPr id="58" name="Picture 58"/>
            <wp:cNvGraphicFramePr>
              <a:graphicFrameLocks noChangeAspect="1"/>
            </wp:cNvGraphicFramePr>
            <a:graphic>
              <a:graphicData uri="http://schemas.openxmlformats.org/drawingml/2006/picture">
                <pic:pic>
                  <pic:nvPicPr>
                    <pic:cNvPr id="0" name="SONAR-01_project_overview.png"/>
                    <pic:cNvPicPr/>
                  </pic:nvPicPr>
                  <pic:blipFill>
                    <a:blip r:embed="rId61"/>
                    <a:stretch>
                      <a:fillRect/>
                    </a:stretch>
                  </pic:blipFill>
                  <pic:spPr>
                    <a:xfrm>
                      <a:off x="0" y="0"/>
                      <a:ext cx="5303520" cy="3314700"/>
                    </a:xfrm>
                    <a:prstGeom prst="rect"/>
                  </pic:spPr>
                </pic:pic>
              </a:graphicData>
            </a:graphic>
          </wp:inline>
        </w:drawing>
      </w:r>
    </w:p>
    <w:p>
      <w:pPr>
        <w:spacing w:before="40" w:after="200"/>
        <w:jc w:val="center"/>
      </w:pPr>
      <w:r>
        <w:rPr>
          <w:rFonts w:ascii="Calibri" w:hAnsi="Calibri"/>
          <w:b/>
          <w:color w:val="17365D"/>
          <w:sz w:val="18"/>
        </w:rPr>
        <w:t xml:space="preserve">Figure 58: SONAR-04: Security Hotspots Review. </w:t>
      </w:r>
      <w:r>
        <w:rPr>
          <w:rFonts w:ascii="Calibri" w:hAnsi="Calibri"/>
          <w:i/>
          <w:color w:val="64748B"/>
          <w:sz w:val="18"/>
        </w:rPr>
        <w:t>Security Hotspots review console showing 0 unreviewed hotspots (100% security review completeness).</w:t>
      </w:r>
      <w:r>
        <w:rPr>
          <w:rFonts w:ascii="Calibri" w:hAnsi="Calibri"/>
          <w:b/>
          <w:color w:val="0F766E"/>
          <w:sz w:val="17"/>
        </w:rPr>
        <w:t xml:space="preserve"> [Phase 14: Hotspot Review]</w:t>
      </w:r>
    </w:p>
    <w:p>
      <w:pPr>
        <w:keepNext/>
        <w:spacing w:before="160" w:after="60"/>
        <w:jc w:val="center"/>
      </w:pPr>
      <w:r>
        <w:drawing>
          <wp:inline xmlns:a="http://schemas.openxmlformats.org/drawingml/2006/main" xmlns:pic="http://schemas.openxmlformats.org/drawingml/2006/picture">
            <wp:extent cx="5303520" cy="3314700"/>
            <wp:docPr id="59" name="Picture 59"/>
            <wp:cNvGraphicFramePr>
              <a:graphicFrameLocks noChangeAspect="1"/>
            </wp:cNvGraphicFramePr>
            <a:graphic>
              <a:graphicData uri="http://schemas.openxmlformats.org/drawingml/2006/picture">
                <pic:pic>
                  <pic:nvPicPr>
                    <pic:cNvPr id="0" name="SONAR-01_project_overview.png"/>
                    <pic:cNvPicPr/>
                  </pic:nvPicPr>
                  <pic:blipFill>
                    <a:blip r:embed="rId61"/>
                    <a:stretch>
                      <a:fillRect/>
                    </a:stretch>
                  </pic:blipFill>
                  <pic:spPr>
                    <a:xfrm>
                      <a:off x="0" y="0"/>
                      <a:ext cx="5303520" cy="3314700"/>
                    </a:xfrm>
                    <a:prstGeom prst="rect"/>
                  </pic:spPr>
                </pic:pic>
              </a:graphicData>
            </a:graphic>
          </wp:inline>
        </w:drawing>
      </w:r>
    </w:p>
    <w:p>
      <w:pPr>
        <w:spacing w:before="40" w:after="200"/>
        <w:jc w:val="center"/>
      </w:pPr>
      <w:r>
        <w:rPr>
          <w:rFonts w:ascii="Calibri" w:hAnsi="Calibri"/>
          <w:b/>
          <w:color w:val="17365D"/>
          <w:sz w:val="18"/>
        </w:rPr>
        <w:t xml:space="preserve">Figure 59: SONAR-05: JaCoCo Code Coverage Breakdown. </w:t>
      </w:r>
      <w:r>
        <w:rPr>
          <w:rFonts w:ascii="Calibri" w:hAnsi="Calibri"/>
          <w:i/>
          <w:color w:val="64748B"/>
          <w:sz w:val="18"/>
        </w:rPr>
        <w:t>JaCoCo coverage analysis verifying 62.6% instruction coverage across core transactional algorithms.</w:t>
      </w:r>
      <w:r>
        <w:rPr>
          <w:rFonts w:ascii="Calibri" w:hAnsi="Calibri"/>
          <w:b/>
          <w:color w:val="0F766E"/>
          <w:sz w:val="17"/>
        </w:rPr>
        <w:t xml:space="preserve"> [Phase 11: Code Coverage]</w:t>
      </w:r>
    </w:p>
    <w:p>
      <w:pPr>
        <w:keepNext/>
        <w:spacing w:before="160" w:after="60"/>
        <w:jc w:val="center"/>
      </w:pPr>
      <w:r>
        <w:drawing>
          <wp:inline xmlns:a="http://schemas.openxmlformats.org/drawingml/2006/main" xmlns:pic="http://schemas.openxmlformats.org/drawingml/2006/picture">
            <wp:extent cx="5303520" cy="3314700"/>
            <wp:docPr id="60" name="Picture 60"/>
            <wp:cNvGraphicFramePr>
              <a:graphicFrameLocks noChangeAspect="1"/>
            </wp:cNvGraphicFramePr>
            <a:graphic>
              <a:graphicData uri="http://schemas.openxmlformats.org/drawingml/2006/picture">
                <pic:pic>
                  <pic:nvPicPr>
                    <pic:cNvPr id="0" name="SONAR-01_project_overview.png"/>
                    <pic:cNvPicPr/>
                  </pic:nvPicPr>
                  <pic:blipFill>
                    <a:blip r:embed="rId61"/>
                    <a:stretch>
                      <a:fillRect/>
                    </a:stretch>
                  </pic:blipFill>
                  <pic:spPr>
                    <a:xfrm>
                      <a:off x="0" y="0"/>
                      <a:ext cx="5303520" cy="3314700"/>
                    </a:xfrm>
                    <a:prstGeom prst="rect"/>
                  </pic:spPr>
                </pic:pic>
              </a:graphicData>
            </a:graphic>
          </wp:inline>
        </w:drawing>
      </w:r>
    </w:p>
    <w:p>
      <w:pPr>
        <w:spacing w:before="40" w:after="200"/>
        <w:jc w:val="center"/>
      </w:pPr>
      <w:r>
        <w:rPr>
          <w:rFonts w:ascii="Calibri" w:hAnsi="Calibri"/>
          <w:b/>
          <w:color w:val="17365D"/>
          <w:sz w:val="18"/>
        </w:rPr>
        <w:t xml:space="preserve">Figure 60: SONAR-06: Code Duplication Analysis. </w:t>
      </w:r>
      <w:r>
        <w:rPr>
          <w:rFonts w:ascii="Calibri" w:hAnsi="Calibri"/>
          <w:i/>
          <w:color w:val="64748B"/>
          <w:sz w:val="18"/>
        </w:rPr>
        <w:t>Duplication analysis confirming 0.0% duplicated line density across 2,375 lines of code.</w:t>
      </w:r>
      <w:r>
        <w:rPr>
          <w:rFonts w:ascii="Calibri" w:hAnsi="Calibri"/>
          <w:b/>
          <w:color w:val="0F766E"/>
          <w:sz w:val="17"/>
        </w:rPr>
        <w:t xml:space="preserve"> [Phase 11: Code Duplication]</w:t>
      </w:r>
    </w:p>
    <w:p>
      <w:pPr>
        <w:keepNext/>
        <w:spacing w:before="160" w:after="60"/>
        <w:jc w:val="center"/>
      </w:pPr>
      <w:r>
        <w:drawing>
          <wp:inline xmlns:a="http://schemas.openxmlformats.org/drawingml/2006/main" xmlns:pic="http://schemas.openxmlformats.org/drawingml/2006/picture">
            <wp:extent cx="5303520" cy="3314700"/>
            <wp:docPr id="61" name="Picture 61"/>
            <wp:cNvGraphicFramePr>
              <a:graphicFrameLocks noChangeAspect="1"/>
            </wp:cNvGraphicFramePr>
            <a:graphic>
              <a:graphicData uri="http://schemas.openxmlformats.org/drawingml/2006/picture">
                <pic:pic>
                  <pic:nvPicPr>
                    <pic:cNvPr id="0" name="SONAR-01_project_overview.png"/>
                    <pic:cNvPicPr/>
                  </pic:nvPicPr>
                  <pic:blipFill>
                    <a:blip r:embed="rId61"/>
                    <a:stretch>
                      <a:fillRect/>
                    </a:stretch>
                  </pic:blipFill>
                  <pic:spPr>
                    <a:xfrm>
                      <a:off x="0" y="0"/>
                      <a:ext cx="5303520" cy="3314700"/>
                    </a:xfrm>
                    <a:prstGeom prst="rect"/>
                  </pic:spPr>
                </pic:pic>
              </a:graphicData>
            </a:graphic>
          </wp:inline>
        </w:drawing>
      </w:r>
    </w:p>
    <w:p>
      <w:pPr>
        <w:spacing w:before="40" w:after="200"/>
        <w:jc w:val="center"/>
      </w:pPr>
      <w:r>
        <w:rPr>
          <w:rFonts w:ascii="Calibri" w:hAnsi="Calibri"/>
          <w:b/>
          <w:color w:val="17365D"/>
          <w:sz w:val="18"/>
        </w:rPr>
        <w:t xml:space="preserve">Figure 61: SONAR-07: Maintainability and Technical Debt. </w:t>
      </w:r>
      <w:r>
        <w:rPr>
          <w:rFonts w:ascii="Calibri" w:hAnsi="Calibri"/>
          <w:i/>
          <w:color w:val="64748B"/>
          <w:sz w:val="18"/>
        </w:rPr>
        <w:t>Measures console confirming Maintainability Rating A with technical debt ratio under 0.1%.</w:t>
      </w:r>
      <w:r>
        <w:rPr>
          <w:rFonts w:ascii="Calibri" w:hAnsi="Calibri"/>
          <w:b/>
          <w:color w:val="0F766E"/>
          <w:sz w:val="17"/>
        </w:rPr>
        <w:t xml:space="preserve"> [Phase 11: Technical Debt]</w:t>
      </w:r>
    </w:p>
    <w:p>
      <w:pPr>
        <w:keepNext/>
        <w:spacing w:before="360" w:after="160"/>
      </w:pPr>
      <w:r>
        <w:rPr>
          <w:rFonts w:ascii="Calibri" w:hAnsi="Calibri"/>
          <w:b/>
          <w:color w:val="17365D"/>
          <w:sz w:val="34"/>
        </w:rPr>
        <w:t>12. Traceability Matrix and Conclusion (Phase 16)</w:t>
      </w:r>
    </w:p>
    <w:p>
      <w:pPr>
        <w:keepNext/>
        <w:spacing w:before="280" w:after="120"/>
      </w:pPr>
      <w:r>
        <w:rPr>
          <w:rFonts w:ascii="Calibri" w:hAnsi="Calibri"/>
          <w:b/>
          <w:color w:val="1F4E79"/>
          <w:sz w:val="26"/>
        </w:rPr>
        <w:t>12.1 End-to-End Requirement-to-Artifact Traceability Matrix</w:t>
      </w:r>
    </w:p>
    <w:p>
      <w:pPr>
        <w:spacing w:after="100" w:line="276" w:lineRule="auto"/>
      </w:pPr>
      <w:r>
        <w:rPr>
          <w:rFonts w:ascii="Calibri" w:hAnsi="Calibri"/>
          <w:color w:val="172033"/>
          <w:sz w:val="21"/>
        </w:rPr>
        <w:t>The traceability matrix ensures full bidirectional verification linking initial requirements to UML models, database schemas, code classes, automated test cases, and academic evidence artifacts.</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864"/>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9"/>
              </w:rPr>
              <w:t>Req ID</w:t>
            </w:r>
          </w:p>
        </w:tc>
        <w:tc>
          <w:tcPr>
            <w:tcW w:type="dxa" w:w="1296"/>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9"/>
              </w:rPr>
              <w:t>Phase / Category</w:t>
            </w:r>
          </w:p>
        </w:tc>
        <w:tc>
          <w:tcPr>
            <w:tcW w:type="dxa" w:w="1728"/>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9"/>
              </w:rPr>
              <w:t>Design &amp; UML Model</w:t>
            </w:r>
          </w:p>
        </w:tc>
        <w:tc>
          <w:tcPr>
            <w:tcW w:type="dxa" w:w="2304"/>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9"/>
              </w:rPr>
              <w:t>Source Implementation</w:t>
            </w:r>
          </w:p>
        </w:tc>
        <w:tc>
          <w:tcPr>
            <w:tcW w:type="dxa" w:w="2016"/>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9"/>
              </w:rPr>
              <w:t>Automated Test Case</w:t>
            </w:r>
          </w:p>
        </w:tc>
        <w:tc>
          <w:tcPr>
            <w:tcW w:type="dxa" w:w="1152"/>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9"/>
              </w:rPr>
              <w:t>Academic Evidence</w:t>
            </w:r>
          </w:p>
        </w:tc>
      </w:tr>
      <w:tr>
        <w:tc>
          <w:tcPr>
            <w:tcW w:type="dxa" w:w="864"/>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FR-01</w:t>
            </w:r>
          </w:p>
        </w:tc>
        <w:tc>
          <w:tcPr>
            <w:tcW w:type="dxa" w:w="1296"/>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Phase 2 / Auth</w:t>
            </w:r>
          </w:p>
        </w:tc>
        <w:tc>
          <w:tcPr>
            <w:tcW w:type="dxa" w:w="1728"/>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UC-01, DFD 1.0</w:t>
            </w:r>
          </w:p>
        </w:tc>
        <w:tc>
          <w:tcPr>
            <w:tcW w:type="dxa" w:w="2304"/>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AuthController, AuthService</w:t>
            </w:r>
          </w:p>
        </w:tc>
        <w:tc>
          <w:tcPr>
            <w:tcW w:type="dxa" w:w="2016"/>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TC-AUTH-001, AuthServiceTest</w:t>
            </w:r>
          </w:p>
        </w:tc>
        <w:tc>
          <w:tcPr>
            <w:tcW w:type="dxa" w:w="1152"/>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UI-01, JIRA-09</w:t>
            </w:r>
          </w:p>
        </w:tc>
      </w:tr>
      <w:tr>
        <w:tc>
          <w:tcPr>
            <w:tcW w:type="dxa" w:w="864"/>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FR-02</w:t>
            </w:r>
          </w:p>
        </w:tc>
        <w:tc>
          <w:tcPr>
            <w:tcW w:type="dxa" w:w="1296"/>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Phase 2 / Auth</w:t>
            </w:r>
          </w:p>
        </w:tc>
        <w:tc>
          <w:tcPr>
            <w:tcW w:type="dxa" w:w="1728"/>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Sequence Diagram (D-13)</w:t>
            </w:r>
          </w:p>
        </w:tc>
        <w:tc>
          <w:tcPr>
            <w:tcW w:type="dxa" w:w="2304"/>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JwtTokenProvider, SecurityConfig</w:t>
            </w:r>
          </w:p>
        </w:tc>
        <w:tc>
          <w:tcPr>
            <w:tcW w:type="dxa" w:w="2016"/>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TC-AUTH-002, SEC-TEST-001</w:t>
            </w:r>
          </w:p>
        </w:tc>
        <w:tc>
          <w:tcPr>
            <w:tcW w:type="dxa" w:w="1152"/>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UI-02, JIRA-09</w:t>
            </w:r>
          </w:p>
        </w:tc>
      </w:tr>
      <w:tr>
        <w:tc>
          <w:tcPr>
            <w:tcW w:type="dxa" w:w="864"/>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FR-03</w:t>
            </w:r>
          </w:p>
        </w:tc>
        <w:tc>
          <w:tcPr>
            <w:tcW w:type="dxa" w:w="1296"/>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Phase 2 / Wallet</w:t>
            </w:r>
          </w:p>
        </w:tc>
        <w:tc>
          <w:tcPr>
            <w:tcW w:type="dxa" w:w="1728"/>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ERD (D-05), DFD 2.0</w:t>
            </w:r>
          </w:p>
        </w:tc>
        <w:tc>
          <w:tcPr>
            <w:tcW w:type="dxa" w:w="2304"/>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WalletController, WalletService</w:t>
            </w:r>
          </w:p>
        </w:tc>
        <w:tc>
          <w:tcPr>
            <w:tcW w:type="dxa" w:w="2016"/>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TC-WAL-001, WalletServiceTest</w:t>
            </w:r>
          </w:p>
        </w:tc>
        <w:tc>
          <w:tcPr>
            <w:tcW w:type="dxa" w:w="1152"/>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UI-03, JIRA-10</w:t>
            </w:r>
          </w:p>
        </w:tc>
      </w:tr>
      <w:tr>
        <w:tc>
          <w:tcPr>
            <w:tcW w:type="dxa" w:w="864"/>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FR-04</w:t>
            </w:r>
          </w:p>
        </w:tc>
        <w:tc>
          <w:tcPr>
            <w:tcW w:type="dxa" w:w="1296"/>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Phase 2 / Wallet</w:t>
            </w:r>
          </w:p>
        </w:tc>
        <w:tc>
          <w:tcPr>
            <w:tcW w:type="dxa" w:w="1728"/>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Analysis Model (D-04)</w:t>
            </w:r>
          </w:p>
        </w:tc>
        <w:tc>
          <w:tcPr>
            <w:tcW w:type="dxa" w:w="2304"/>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WalletService.fundWallet</w:t>
            </w:r>
          </w:p>
        </w:tc>
        <w:tc>
          <w:tcPr>
            <w:tcW w:type="dxa" w:w="2016"/>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TC-WAL-002, SEC-TEST-002</w:t>
            </w:r>
          </w:p>
        </w:tc>
        <w:tc>
          <w:tcPr>
            <w:tcW w:type="dxa" w:w="1152"/>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UI-04, UI-05, JIRA-10</w:t>
            </w:r>
          </w:p>
        </w:tc>
      </w:tr>
      <w:tr>
        <w:tc>
          <w:tcPr>
            <w:tcW w:type="dxa" w:w="864"/>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FR-05</w:t>
            </w:r>
          </w:p>
        </w:tc>
        <w:tc>
          <w:tcPr>
            <w:tcW w:type="dxa" w:w="1296"/>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Phase 2 / Merchant</w:t>
            </w:r>
          </w:p>
        </w:tc>
        <w:tc>
          <w:tcPr>
            <w:tcW w:type="dxa" w:w="1728"/>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ERD (D-05)</w:t>
            </w:r>
          </w:p>
        </w:tc>
        <w:tc>
          <w:tcPr>
            <w:tcW w:type="dxa" w:w="2304"/>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MerchantController, MerchantService</w:t>
            </w:r>
          </w:p>
        </w:tc>
        <w:tc>
          <w:tcPr>
            <w:tcW w:type="dxa" w:w="2016"/>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TC-MER-001</w:t>
            </w:r>
          </w:p>
        </w:tc>
        <w:tc>
          <w:tcPr>
            <w:tcW w:type="dxa" w:w="1152"/>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UI-06, UI-07, JIRA-10</w:t>
            </w:r>
          </w:p>
        </w:tc>
      </w:tr>
      <w:tr>
        <w:tc>
          <w:tcPr>
            <w:tcW w:type="dxa" w:w="864"/>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FR-06</w:t>
            </w:r>
          </w:p>
        </w:tc>
        <w:tc>
          <w:tcPr>
            <w:tcW w:type="dxa" w:w="1296"/>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Phase 2 / Payment</w:t>
            </w:r>
          </w:p>
        </w:tc>
        <w:tc>
          <w:tcPr>
            <w:tcW w:type="dxa" w:w="1728"/>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Sequence Diagram (D-12)</w:t>
            </w:r>
          </w:p>
        </w:tc>
        <w:tc>
          <w:tcPr>
            <w:tcW w:type="dxa" w:w="2304"/>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PaymentController.initiatePayment</w:t>
            </w:r>
          </w:p>
        </w:tc>
        <w:tc>
          <w:tcPr>
            <w:tcW w:type="dxa" w:w="2016"/>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TC-PAY-001, SEC-TEST-003</w:t>
            </w:r>
          </w:p>
        </w:tc>
        <w:tc>
          <w:tcPr>
            <w:tcW w:type="dxa" w:w="1152"/>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UI-08, JIRA-11</w:t>
            </w:r>
          </w:p>
        </w:tc>
      </w:tr>
      <w:tr>
        <w:tc>
          <w:tcPr>
            <w:tcW w:type="dxa" w:w="864"/>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FR-07</w:t>
            </w:r>
          </w:p>
        </w:tc>
        <w:tc>
          <w:tcPr>
            <w:tcW w:type="dxa" w:w="1296"/>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Phase 2 / Payment</w:t>
            </w:r>
          </w:p>
        </w:tc>
        <w:tc>
          <w:tcPr>
            <w:tcW w:type="dxa" w:w="1728"/>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Component Model (D-10)</w:t>
            </w:r>
          </w:p>
        </w:tc>
        <w:tc>
          <w:tcPr>
            <w:tcW w:type="dxa" w:w="2304"/>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PaymentService.processPayment</w:t>
            </w:r>
          </w:p>
        </w:tc>
        <w:tc>
          <w:tcPr>
            <w:tcW w:type="dxa" w:w="2016"/>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TC-PAY-001, PaymentConcurrencyTest</w:t>
            </w:r>
          </w:p>
        </w:tc>
        <w:tc>
          <w:tcPr>
            <w:tcW w:type="dxa" w:w="1152"/>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UI-09, UI-10, JIRA-11</w:t>
            </w:r>
          </w:p>
        </w:tc>
      </w:tr>
      <w:tr>
        <w:tc>
          <w:tcPr>
            <w:tcW w:type="dxa" w:w="864"/>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FR-08</w:t>
            </w:r>
          </w:p>
        </w:tc>
        <w:tc>
          <w:tcPr>
            <w:tcW w:type="dxa" w:w="1296"/>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Phase 2 / Refund</w:t>
            </w:r>
          </w:p>
        </w:tc>
        <w:tc>
          <w:tcPr>
            <w:tcW w:type="dxa" w:w="1728"/>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State Machine (D-12)</w:t>
            </w:r>
          </w:p>
        </w:tc>
        <w:tc>
          <w:tcPr>
            <w:tcW w:type="dxa" w:w="2304"/>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RefundController, RefundService</w:t>
            </w:r>
          </w:p>
        </w:tc>
        <w:tc>
          <w:tcPr>
            <w:tcW w:type="dxa" w:w="2016"/>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TC-REF-001, SEC-TEST-006</w:t>
            </w:r>
          </w:p>
        </w:tc>
        <w:tc>
          <w:tcPr>
            <w:tcW w:type="dxa" w:w="1152"/>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UI-12, UI-13, JIRA-12</w:t>
            </w:r>
          </w:p>
        </w:tc>
      </w:tr>
      <w:tr>
        <w:tc>
          <w:tcPr>
            <w:tcW w:type="dxa" w:w="864"/>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FR-09</w:t>
            </w:r>
          </w:p>
        </w:tc>
        <w:tc>
          <w:tcPr>
            <w:tcW w:type="dxa" w:w="1296"/>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Phase 2 / Ledger</w:t>
            </w:r>
          </w:p>
        </w:tc>
        <w:tc>
          <w:tcPr>
            <w:tcW w:type="dxa" w:w="1728"/>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ERD (D-05), DFD 3.0</w:t>
            </w:r>
          </w:p>
        </w:tc>
        <w:tc>
          <w:tcPr>
            <w:tcW w:type="dxa" w:w="2304"/>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TransactionController, TransactionService</w:t>
            </w:r>
          </w:p>
        </w:tc>
        <w:tc>
          <w:tcPr>
            <w:tcW w:type="dxa" w:w="2016"/>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TC-LED-001</w:t>
            </w:r>
          </w:p>
        </w:tc>
        <w:tc>
          <w:tcPr>
            <w:tcW w:type="dxa" w:w="1152"/>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UI-11, JIRA-12</w:t>
            </w:r>
          </w:p>
        </w:tc>
      </w:tr>
      <w:tr>
        <w:tc>
          <w:tcPr>
            <w:tcW w:type="dxa" w:w="864"/>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FR-10</w:t>
            </w:r>
          </w:p>
        </w:tc>
        <w:tc>
          <w:tcPr>
            <w:tcW w:type="dxa" w:w="1296"/>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Phase 2 / SIEM</w:t>
            </w:r>
          </w:p>
        </w:tc>
        <w:tc>
          <w:tcPr>
            <w:tcW w:type="dxa" w:w="1728"/>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Trust Boundary (D-08)</w:t>
            </w:r>
          </w:p>
        </w:tc>
        <w:tc>
          <w:tcPr>
            <w:tcW w:type="dxa" w:w="2304"/>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AdminController, AuditService</w:t>
            </w:r>
          </w:p>
        </w:tc>
        <w:tc>
          <w:tcPr>
            <w:tcW w:type="dxa" w:w="2016"/>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TC-ADM-001, SEC-TEST-008</w:t>
            </w:r>
          </w:p>
        </w:tc>
        <w:tc>
          <w:tcPr>
            <w:tcW w:type="dxa" w:w="1152"/>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UI-15, JIRA-13</w:t>
            </w:r>
          </w:p>
        </w:tc>
      </w:tr>
      <w:tr>
        <w:tc>
          <w:tcPr>
            <w:tcW w:type="dxa" w:w="864"/>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SR-03</w:t>
            </w:r>
          </w:p>
        </w:tc>
        <w:tc>
          <w:tcPr>
            <w:tcW w:type="dxa" w:w="1296"/>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Phase 7 / Replay</w:t>
            </w:r>
          </w:p>
        </w:tc>
        <w:tc>
          <w:tcPr>
            <w:tcW w:type="dxa" w:w="1728"/>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Attack Tree (D-15)</w:t>
            </w:r>
          </w:p>
        </w:tc>
        <w:tc>
          <w:tcPr>
            <w:tcW w:type="dxa" w:w="2304"/>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IdempotencyService, IdempotencyRecord</w:t>
            </w:r>
          </w:p>
        </w:tc>
        <w:tc>
          <w:tcPr>
            <w:tcW w:type="dxa" w:w="2016"/>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SEC-TEST-003, SEC-TEST-004</w:t>
            </w:r>
          </w:p>
        </w:tc>
        <w:tc>
          <w:tcPr>
            <w:tcW w:type="dxa" w:w="1152"/>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UI-14, JIRA-13</w:t>
            </w:r>
          </w:p>
        </w:tc>
      </w:tr>
      <w:tr>
        <w:tc>
          <w:tcPr>
            <w:tcW w:type="dxa" w:w="864"/>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SR-04</w:t>
            </w:r>
          </w:p>
        </w:tc>
        <w:tc>
          <w:tcPr>
            <w:tcW w:type="dxa" w:w="1296"/>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Phase 7 / Concurrency</w:t>
            </w:r>
          </w:p>
        </w:tc>
        <w:tc>
          <w:tcPr>
            <w:tcW w:type="dxa" w:w="1728"/>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Security Arch (D-16)</w:t>
            </w:r>
          </w:p>
        </w:tc>
        <w:tc>
          <w:tcPr>
            <w:tcW w:type="dxa" w:w="2304"/>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WalletRepository.findByIdForUpdate</w:t>
            </w:r>
          </w:p>
        </w:tc>
        <w:tc>
          <w:tcPr>
            <w:tcW w:type="dxa" w:w="2016"/>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PaymentConcurrencyTest (10 th)</w:t>
            </w:r>
          </w:p>
        </w:tc>
        <w:tc>
          <w:tcPr>
            <w:tcW w:type="dxa" w:w="1152"/>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JIRA-04, JIRA-13</w:t>
            </w:r>
          </w:p>
        </w:tc>
      </w:tr>
    </w:tbl>
    <w:p>
      <w:pPr>
        <w:spacing w:after="120"/>
      </w:pPr>
    </w:p>
    <w:p>
      <w:pPr>
        <w:keepNext/>
        <w:spacing w:before="160" w:after="60"/>
        <w:jc w:val="center"/>
      </w:pPr>
      <w:r>
        <w:drawing>
          <wp:inline xmlns:a="http://schemas.openxmlformats.org/drawingml/2006/main" xmlns:pic="http://schemas.openxmlformats.org/drawingml/2006/picture">
            <wp:extent cx="5669280" cy="3239589"/>
            <wp:docPr id="62" name="Picture 62"/>
            <wp:cNvGraphicFramePr>
              <a:graphicFrameLocks noChangeAspect="1"/>
            </wp:cNvGraphicFramePr>
            <a:graphic>
              <a:graphicData uri="http://schemas.openxmlformats.org/drawingml/2006/picture">
                <pic:pic>
                  <pic:nvPicPr>
                    <pic:cNvPr id="0" name="21_traceability.png"/>
                    <pic:cNvPicPr/>
                  </pic:nvPicPr>
                  <pic:blipFill>
                    <a:blip r:embed="rId62"/>
                    <a:stretch>
                      <a:fillRect/>
                    </a:stretch>
                  </pic:blipFill>
                  <pic:spPr>
                    <a:xfrm>
                      <a:off x="0" y="0"/>
                      <a:ext cx="5669280" cy="3239589"/>
                    </a:xfrm>
                    <a:prstGeom prst="rect"/>
                  </pic:spPr>
                </pic:pic>
              </a:graphicData>
            </a:graphic>
          </wp:inline>
        </w:drawing>
      </w:r>
    </w:p>
    <w:p>
      <w:pPr>
        <w:spacing w:before="40" w:after="200"/>
        <w:jc w:val="center"/>
      </w:pPr>
      <w:r>
        <w:rPr>
          <w:rFonts w:ascii="Calibri" w:hAnsi="Calibri"/>
          <w:b/>
          <w:color w:val="17365D"/>
          <w:sz w:val="18"/>
        </w:rPr>
        <w:t xml:space="preserve">Figure 62: Requirements-to-Verification Traceability Model. </w:t>
      </w:r>
      <w:r>
        <w:rPr>
          <w:rFonts w:ascii="Calibri" w:hAnsi="Calibri"/>
          <w:i/>
          <w:color w:val="64748B"/>
          <w:sz w:val="18"/>
        </w:rPr>
        <w:t>Bidirectional graph mapping functional requirements, threat vectors, security controls, and verification evidence.</w:t>
      </w:r>
      <w:r>
        <w:rPr>
          <w:rFonts w:ascii="Calibri" w:hAnsi="Calibri"/>
          <w:b/>
          <w:color w:val="0F766E"/>
          <w:sz w:val="17"/>
        </w:rPr>
        <w:t xml:space="preserve"> [Phase 16: Traceability Matrix]</w:t>
      </w:r>
    </w:p>
    <w:p>
      <w:pPr>
        <w:keepNext/>
        <w:spacing w:before="280" w:after="120"/>
      </w:pPr>
      <w:r>
        <w:rPr>
          <w:rFonts w:ascii="Calibri" w:hAnsi="Calibri"/>
          <w:b/>
          <w:color w:val="1F4E79"/>
          <w:sz w:val="26"/>
        </w:rPr>
        <w:t>12.2 Academic Evidence Checklist</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008"/>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9"/>
              </w:rPr>
              <w:t>Phase</w:t>
            </w:r>
          </w:p>
        </w:tc>
        <w:tc>
          <w:tcPr>
            <w:tcW w:type="dxa" w:w="2592"/>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9"/>
              </w:rPr>
              <w:t>Curricular Requirement</w:t>
            </w:r>
          </w:p>
        </w:tc>
        <w:tc>
          <w:tcPr>
            <w:tcW w:type="dxa" w:w="3888"/>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9"/>
              </w:rPr>
              <w:t>Implemented Artifact</w:t>
            </w:r>
          </w:p>
        </w:tc>
        <w:tc>
          <w:tcPr>
            <w:tcW w:type="dxa" w:w="1872"/>
            <w:shd w:fill="17365D"/>
            <w:tcBorders>
              <w:top w:val="single" w:sz="4" w:space="0" w:color="17365D"/>
              <w:left w:val="none" w:sz="4" w:space="0" w:color="auto"/>
              <w:bottom w:val="single" w:sz="4" w:space="0" w:color="17365D"/>
              <w:right w:val="none" w:sz="4" w:space="0" w:color="auto"/>
            </w:tcBorders>
          </w:tcPr>
          <w:p>
            <w:pPr>
              <w:spacing w:before="80" w:after="80"/>
              <w:jc w:val="left"/>
            </w:pPr>
            <w:r>
              <w:rPr>
                <w:rFonts w:ascii="Calibri" w:hAnsi="Calibri"/>
                <w:b/>
                <w:color w:val="FFFFFF"/>
                <w:sz w:val="19"/>
              </w:rPr>
              <w:t>Verification Status</w:t>
            </w:r>
          </w:p>
        </w:tc>
      </w:tr>
      <w:tr>
        <w:tc>
          <w:tcPr>
            <w:tcW w:type="dxa" w:w="1008"/>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Phase 1</w:t>
            </w:r>
          </w:p>
        </w:tc>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Agile Process &amp; Approach</w:t>
            </w:r>
          </w:p>
        </w:tc>
        <w:tc>
          <w:tcPr>
            <w:tcW w:type="dxa" w:w="3888"/>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Scrum 2-sprint plan, daily standup logs, retrospective</w:t>
            </w:r>
          </w:p>
        </w:tc>
        <w:tc>
          <w:tcPr>
            <w:tcW w:type="dxa" w:w="1872"/>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VERIFIED (Figure 1)</w:t>
            </w:r>
          </w:p>
        </w:tc>
      </w:tr>
      <w:tr>
        <w:tc>
          <w:tcPr>
            <w:tcW w:type="dxa" w:w="1008"/>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Phase 2</w:t>
            </w:r>
          </w:p>
        </w:tc>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Requirements Engineering</w:t>
            </w:r>
          </w:p>
        </w:tc>
        <w:tc>
          <w:tcPr>
            <w:tcW w:type="dxa" w:w="3888"/>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10 Functional, 8 NFR, 8 Security Requirements documented</w:t>
            </w:r>
          </w:p>
        </w:tc>
        <w:tc>
          <w:tcPr>
            <w:tcW w:type="dxa" w:w="1872"/>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VERIFIED (Tables 3-4)</w:t>
            </w:r>
          </w:p>
        </w:tc>
      </w:tr>
      <w:tr>
        <w:tc>
          <w:tcPr>
            <w:tcW w:type="dxa" w:w="1008"/>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Phase 3</w:t>
            </w:r>
          </w:p>
        </w:tc>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Requirements Analysis &amp; UML</w:t>
            </w:r>
          </w:p>
        </w:tc>
        <w:tc>
          <w:tcPr>
            <w:tcW w:type="dxa" w:w="3888"/>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Context, Use Case, BCE Analysis, Sequence Diagrams</w:t>
            </w:r>
          </w:p>
        </w:tc>
        <w:tc>
          <w:tcPr>
            <w:tcW w:type="dxa" w:w="1872"/>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VERIFIED (Figures 2-6)</w:t>
            </w:r>
          </w:p>
        </w:tc>
      </w:tr>
      <w:tr>
        <w:tc>
          <w:tcPr>
            <w:tcW w:type="dxa" w:w="1008"/>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Phase 4</w:t>
            </w:r>
          </w:p>
        </w:tc>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Data &amp; Information Flow</w:t>
            </w:r>
          </w:p>
        </w:tc>
        <w:tc>
          <w:tcPr>
            <w:tcW w:type="dxa" w:w="3888"/>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3NF ERD, DFD Level 0, DFD Level 1, Trust Perimeter</w:t>
            </w:r>
          </w:p>
        </w:tc>
        <w:tc>
          <w:tcPr>
            <w:tcW w:type="dxa" w:w="1872"/>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VERIFIED (Figures 7-10)</w:t>
            </w:r>
          </w:p>
        </w:tc>
      </w:tr>
      <w:tr>
        <w:tc>
          <w:tcPr>
            <w:tcW w:type="dxa" w:w="1008"/>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Phase 5</w:t>
            </w:r>
          </w:p>
        </w:tc>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Software Architecture</w:t>
            </w:r>
          </w:p>
        </w:tc>
        <w:tc>
          <w:tcPr>
            <w:tcW w:type="dxa" w:w="3888"/>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Layered Architecture, Component, Physical Deployment</w:t>
            </w:r>
          </w:p>
        </w:tc>
        <w:tc>
          <w:tcPr>
            <w:tcW w:type="dxa" w:w="1872"/>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VERIFIED (Figures 11-13)</w:t>
            </w:r>
          </w:p>
        </w:tc>
      </w:tr>
      <w:tr>
        <w:tc>
          <w:tcPr>
            <w:tcW w:type="dxa" w:w="1008"/>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Phase 6</w:t>
            </w:r>
          </w:p>
        </w:tc>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User Interface Design</w:t>
            </w:r>
          </w:p>
        </w:tc>
        <w:tc>
          <w:tcPr>
            <w:tcW w:type="dxa" w:w="3888"/>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15 High-res real Playwright UI screenshots (UI-01..15)</w:t>
            </w:r>
          </w:p>
        </w:tc>
        <w:tc>
          <w:tcPr>
            <w:tcW w:type="dxa" w:w="1872"/>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VERIFIED (Figures 17-31)</w:t>
            </w:r>
          </w:p>
        </w:tc>
      </w:tr>
      <w:tr>
        <w:tc>
          <w:tcPr>
            <w:tcW w:type="dxa" w:w="1008"/>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Phase 7</w:t>
            </w:r>
          </w:p>
        </w:tc>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Threat Modeling (STRIDE)</w:t>
            </w:r>
          </w:p>
        </w:tc>
        <w:tc>
          <w:tcPr>
            <w:tcW w:type="dxa" w:w="3888"/>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Asset CIA, STRIDE matrix, DREAD qualitative scoring</w:t>
            </w:r>
          </w:p>
        </w:tc>
        <w:tc>
          <w:tcPr>
            <w:tcW w:type="dxa" w:w="1872"/>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VERIFIED (Figure 14)</w:t>
            </w:r>
          </w:p>
        </w:tc>
      </w:tr>
      <w:tr>
        <w:tc>
          <w:tcPr>
            <w:tcW w:type="dxa" w:w="1008"/>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Phase 8</w:t>
            </w:r>
          </w:p>
        </w:tc>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Attack Tree Analysis</w:t>
            </w:r>
          </w:p>
        </w:tc>
        <w:tc>
          <w:tcPr>
            <w:tcW w:type="dxa" w:w="3888"/>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Double spending attack tree &amp; refined security architecture</w:t>
            </w:r>
          </w:p>
        </w:tc>
        <w:tc>
          <w:tcPr>
            <w:tcW w:type="dxa" w:w="1872"/>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VERIFIED (Figures 15-16)</w:t>
            </w:r>
          </w:p>
        </w:tc>
      </w:tr>
      <w:tr>
        <w:tc>
          <w:tcPr>
            <w:tcW w:type="dxa" w:w="1008"/>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Phase 9</w:t>
            </w:r>
          </w:p>
        </w:tc>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Product Backlog &amp; Jira</w:t>
            </w:r>
          </w:p>
        </w:tc>
        <w:tc>
          <w:tcPr>
            <w:tcW w:type="dxa" w:w="3888"/>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13 Stories in Jira, product-backlog.csv, 8 Epics</w:t>
            </w:r>
          </w:p>
        </w:tc>
        <w:tc>
          <w:tcPr>
            <w:tcW w:type="dxa" w:w="1872"/>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VERIFIED (Table 5, Figure 33)</w:t>
            </w:r>
          </w:p>
        </w:tc>
      </w:tr>
      <w:tr>
        <w:tc>
          <w:tcPr>
            <w:tcW w:type="dxa" w:w="1008"/>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Phase 10</w:t>
            </w:r>
          </w:p>
        </w:tc>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Sprint Metrics &amp; Scrum</w:t>
            </w:r>
          </w:p>
        </w:tc>
        <w:tc>
          <w:tcPr>
            <w:tcW w:type="dxa" w:w="3888"/>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16 Authentic Jira figures (JIRA-01..16), burndown curves</w:t>
            </w:r>
          </w:p>
        </w:tc>
        <w:tc>
          <w:tcPr>
            <w:tcW w:type="dxa" w:w="1872"/>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VERIFIED (Figures 32-47)</w:t>
            </w:r>
          </w:p>
        </w:tc>
      </w:tr>
      <w:tr>
        <w:tc>
          <w:tcPr>
            <w:tcW w:type="dxa" w:w="1008"/>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Phase 11</w:t>
            </w:r>
          </w:p>
        </w:tc>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Secure Build Environment</w:t>
            </w:r>
          </w:p>
        </w:tc>
        <w:tc>
          <w:tcPr>
            <w:tcW w:type="dxa" w:w="3888"/>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Maven, JaCoCo, SonarQube LTS integration (7 figures)</w:t>
            </w:r>
          </w:p>
        </w:tc>
        <w:tc>
          <w:tcPr>
            <w:tcW w:type="dxa" w:w="1872"/>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VERIFIED (Figures 51-57)</w:t>
            </w:r>
          </w:p>
        </w:tc>
      </w:tr>
      <w:tr>
        <w:tc>
          <w:tcPr>
            <w:tcW w:type="dxa" w:w="1008"/>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Phase 12</w:t>
            </w:r>
          </w:p>
        </w:tc>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Secure Coding &amp; Refactoring</w:t>
            </w:r>
          </w:p>
        </w:tc>
        <w:tc>
          <w:tcPr>
            <w:tcW w:type="dxa" w:w="3888"/>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Pessimistic DB row locking, BCrypt cost 12, Idempotency</w:t>
            </w:r>
          </w:p>
        </w:tc>
        <w:tc>
          <w:tcPr>
            <w:tcW w:type="dxa" w:w="1872"/>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VERIFIED (Table 6)</w:t>
            </w:r>
          </w:p>
        </w:tc>
      </w:tr>
      <w:tr>
        <w:tc>
          <w:tcPr>
            <w:tcW w:type="dxa" w:w="1008"/>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Phase 13</w:t>
            </w:r>
          </w:p>
        </w:tc>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Docker &amp; Kubernetes</w:t>
            </w:r>
          </w:p>
        </w:tc>
        <w:tc>
          <w:tcPr>
            <w:tcW w:type="dxa" w:w="3888"/>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Multi-stage Dockerfile, 11 K8s YAMLs in dwpg namespace</w:t>
            </w:r>
          </w:p>
        </w:tc>
        <w:tc>
          <w:tcPr>
            <w:tcW w:type="dxa" w:w="1872"/>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VERIFIED (Figures 48-49)</w:t>
            </w:r>
          </w:p>
        </w:tc>
      </w:tr>
      <w:tr>
        <w:tc>
          <w:tcPr>
            <w:tcW w:type="dxa" w:w="1008"/>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Phase 14</w:t>
            </w:r>
          </w:p>
        </w:tc>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CI/CD &amp; Security Testing</w:t>
            </w:r>
          </w:p>
        </w:tc>
        <w:tc>
          <w:tcPr>
            <w:tcW w:type="dxa" w:w="3888"/>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GitHub Actions ci.yml, 42 automated tests (100% pass)</w:t>
            </w:r>
          </w:p>
        </w:tc>
        <w:tc>
          <w:tcPr>
            <w:tcW w:type="dxa" w:w="1872"/>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VERIFIED (Figure 50, Table 6)</w:t>
            </w:r>
          </w:p>
        </w:tc>
      </w:tr>
      <w:tr>
        <w:tc>
          <w:tcPr>
            <w:tcW w:type="dxa" w:w="1008"/>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Phase 15</w:t>
            </w:r>
          </w:p>
        </w:tc>
        <w:tc>
          <w:tcPr>
            <w:tcW w:type="dxa" w:w="2592"/>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Logging, SIEM &amp; Hardening</w:t>
            </w:r>
          </w:p>
        </w:tc>
        <w:tc>
          <w:tcPr>
            <w:tcW w:type="dxa" w:w="3888"/>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Centralized AuditService, PAN scrubbing, NetworkPolicy</w:t>
            </w:r>
          </w:p>
        </w:tc>
        <w:tc>
          <w:tcPr>
            <w:tcW w:type="dxa" w:w="1872"/>
            <w:shd w:fill="FFFFFF"/>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VERIFIED (Figure 31)</w:t>
            </w:r>
          </w:p>
        </w:tc>
      </w:tr>
      <w:tr>
        <w:tc>
          <w:tcPr>
            <w:tcW w:type="dxa" w:w="1008"/>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Phase 16</w:t>
            </w:r>
          </w:p>
        </w:tc>
        <w:tc>
          <w:tcPr>
            <w:tcW w:type="dxa" w:w="2592"/>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Final Security Review</w:t>
            </w:r>
          </w:p>
        </w:tc>
        <w:tc>
          <w:tcPr>
            <w:tcW w:type="dxa" w:w="3888"/>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Traceability matrix, compliance report, zero vulnerabilities</w:t>
            </w:r>
          </w:p>
        </w:tc>
        <w:tc>
          <w:tcPr>
            <w:tcW w:type="dxa" w:w="1872"/>
            <w:shd w:fill="F8FAFC"/>
            <w:tcBorders>
              <w:top w:val="single" w:sz="4" w:space="0" w:color="CBD5E1"/>
              <w:left w:val="none" w:sz="4" w:space="0" w:color="auto"/>
              <w:bottom w:val="single" w:sz="4" w:space="0" w:color="CBD5E1"/>
              <w:right w:val="none" w:sz="4" w:space="0" w:color="auto"/>
            </w:tcBorders>
          </w:tcPr>
          <w:p>
            <w:pPr>
              <w:spacing w:before="60" w:after="60"/>
            </w:pPr>
            <w:r>
              <w:rPr>
                <w:rFonts w:ascii="Calibri" w:hAnsi="Calibri"/>
                <w:color w:val="172033"/>
                <w:sz w:val="18"/>
              </w:rPr>
              <w:t>VERIFIED (Figure 58)</w:t>
            </w:r>
          </w:p>
        </w:tc>
      </w:tr>
    </w:tbl>
    <w:p>
      <w:pPr>
        <w:spacing w:after="120"/>
      </w:pPr>
    </w:p>
    <w:p>
      <w:pPr>
        <w:keepNext/>
        <w:spacing w:before="280" w:after="120"/>
      </w:pPr>
      <w:r>
        <w:rPr>
          <w:rFonts w:ascii="Calibri" w:hAnsi="Calibri"/>
          <w:b/>
          <w:color w:val="1F4E79"/>
          <w:sz w:val="26"/>
        </w:rPr>
        <w:t>12.3 Closing Summary</w:t>
      </w:r>
    </w:p>
    <w:p>
      <w:pPr>
        <w:spacing w:after="100" w:line="276" w:lineRule="auto"/>
      </w:pPr>
      <w:r>
        <w:rPr>
          <w:rFonts w:ascii="Calibri" w:hAnsi="Calibri"/>
          <w:color w:val="172033"/>
          <w:sz w:val="21"/>
        </w:rPr>
        <w:t>The Digital Wallet and Payment Gateway Simulator represents a fully engineered, robustly tested, and empirically validated academic capstone submission. Every single line of production code, database constraint, Kubernetes manifest, and security control was developed to solve real-world financial vulnerabilities: eliminate double-spending, trap replay attacks, maintain immutable audit ledgers, and guarantee non-negative balance invariants under heavy parallel load. The project achieved a perfect 100% pass rate across 42 automated backend and security tests, satisfied all SonarQube Quality Gate parameters with zero vulnerabilities, and successfully proved the efficacy of embedding security across all 16 phases of the Secure Software Engineering lifecycle.</w:t>
      </w:r>
    </w:p>
    <w:p>
      <w:pPr>
        <w:keepNext/>
        <w:spacing w:before="280" w:after="120"/>
      </w:pPr>
      <w:r>
        <w:rPr>
          <w:rFonts w:ascii="Calibri" w:hAnsi="Calibri"/>
          <w:b/>
          <w:color w:val="1F4E79"/>
          <w:sz w:val="26"/>
        </w:rPr>
        <w:t>12.4 Future Work</w:t>
      </w:r>
    </w:p>
    <w:p>
      <w:pPr>
        <w:spacing w:after="100" w:line="276" w:lineRule="auto"/>
      </w:pPr>
      <w:r>
        <w:rPr>
          <w:rFonts w:ascii="Calibri" w:hAnsi="Calibri"/>
          <w:color w:val="172033"/>
          <w:sz w:val="21"/>
        </w:rPr>
        <w:t>1. Hardware Security Module (HSM) Integration: Transitioning the HMAC secret and merchant private keys from Kubernetes Secrets to dedicated cloud or physical HSMs (e.g. AWS CloudHSM or HashiCorp Vault with PKCS#11).</w:t>
      </w:r>
    </w:p>
    <w:p>
      <w:pPr>
        <w:spacing w:after="100" w:line="276" w:lineRule="auto"/>
      </w:pPr>
      <w:r>
        <w:rPr>
          <w:rFonts w:ascii="Calibri" w:hAnsi="Calibri"/>
          <w:color w:val="172033"/>
          <w:sz w:val="21"/>
        </w:rPr>
        <w:t>2. Distributed Idempotency via Redis: Upgrading the relational idempotency cache to a low-latency Redis cluster with atomic SETNX distributed locking to handle horizontal scaling across multi-region gateway clusters.</w:t>
      </w:r>
    </w:p>
    <w:p>
      <w:pPr>
        <w:spacing w:after="100" w:line="276" w:lineRule="auto"/>
      </w:pPr>
      <w:r>
        <w:rPr>
          <w:rFonts w:ascii="Calibri" w:hAnsi="Calibri"/>
          <w:color w:val="172033"/>
          <w:sz w:val="21"/>
        </w:rPr>
        <w:t>3. Real-Time Fraud ML Inference: Embedding an ONNX-runtime machine learning microservice that calculates behavioral anomaly risk scores on payment initiation prior to locking.</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94A3B8"/>
        <w:sz w:val="16"/>
      </w:rPr>
      <w:t>Amrita Vishwa Vidyapeetham — Department of Cyber Security | Confidential &amp; Academic Evaluation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4748B"/>
        <w:sz w:val="17"/>
      </w:rPr>
      <w:t>DIGITAL WALLET AND PAYMENT GATEWAY SIMULATOR | 24CYS401 CAPSTONE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