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Calibri" w:hAnsi="Calibri"/>
          <w:b/>
          <w:color w:val="17365D"/>
          <w:sz w:val="48"/>
        </w:rPr>
        <w:t>DIGITAL WALLET AND PAYMENT GATEWAY SIMULATOR</w:t>
        <w:br/>
      </w:r>
      <w:r>
        <w:rPr>
          <w:rFonts w:ascii="Calibri" w:hAnsi="Calibri"/>
          <w:color w:val="1F4E79"/>
          <w:sz w:val="28"/>
        </w:rPr>
        <w:t>Secure Software Engineering End Semester Capstone Laboratory Report</w:t>
        <w:br/>
      </w:r>
      <w:r>
        <w:rPr>
          <w:rFonts w:ascii="Calibri" w:hAnsi="Calibri"/>
          <w:i/>
          <w:color w:val="0F766E"/>
          <w:sz w:val="22"/>
        </w:rPr>
        <w:t>Course Code: 24CYS401 — Secure Software Engineering</w:t>
        <w:br/>
        <w:br/>
      </w:r>
    </w:p>
    <w:tbl>
      <w:tblPr>
        <w:tblW w:type="auto" w:w="0"/>
        <w:jc w:val="center"/>
        <w:tblLook w:firstColumn="1" w:firstRow="1" w:lastColumn="0" w:lastRow="0" w:noHBand="0" w:noVBand="1" w:val="04A0"/>
      </w:tblPr>
      <w:tblGrid>
        <w:gridCol w:w="4680"/>
        <w:gridCol w:w="4680"/>
      </w:tblGrid>
      <w:tr>
        <w:tc>
          <w:tcPr>
            <w:tcW w:type="dxa" w:w="3168"/>
            <w:shd w:fill="F1F5F9"/>
            <w:tcBorders>
              <w:top w:val="single" w:sz="4" w:space="0" w:color="CBD5E1"/>
              <w:left w:val="none" w:sz="4" w:space="0" w:color="auto"/>
              <w:bottom w:val="single" w:sz="4" w:space="0" w:color="CBD5E1"/>
              <w:right w:val="none" w:sz="4" w:space="0" w:color="auto"/>
            </w:tcBorders>
          </w:tcPr>
          <w:p>
            <w:r>
              <w:rPr>
                <w:b/>
                <w:sz w:val="18"/>
              </w:rPr>
              <w:t>Candidate Name / Student ID</w:t>
            </w:r>
          </w:p>
        </w:tc>
        <w:tc>
          <w:tcPr>
            <w:tcW w:type="dxa" w:w="6192"/>
            <w:shd w:fill="FFFFFF"/>
            <w:tcBorders>
              <w:top w:val="single" w:sz="4" w:space="0" w:color="CBD5E1"/>
              <w:left w:val="none" w:sz="4" w:space="0" w:color="auto"/>
              <w:bottom w:val="single" w:sz="4" w:space="0" w:color="CBD5E1"/>
              <w:right w:val="none" w:sz="4" w:space="0" w:color="auto"/>
            </w:tcBorders>
          </w:tcPr>
          <w:p>
            <w:r>
              <w:rPr>
                <w:sz w:val="18"/>
              </w:rPr>
              <w:t>Sathvik Valivety (GitHub: sathvikvalivety)</w:t>
            </w:r>
          </w:p>
        </w:tc>
      </w:tr>
      <w:tr>
        <w:tc>
          <w:tcPr>
            <w:tcW w:type="dxa" w:w="3168"/>
            <w:shd w:fill="F1F5F9"/>
            <w:tcBorders>
              <w:top w:val="single" w:sz="4" w:space="0" w:color="CBD5E1"/>
              <w:left w:val="none" w:sz="4" w:space="0" w:color="auto"/>
              <w:bottom w:val="single" w:sz="4" w:space="0" w:color="CBD5E1"/>
              <w:right w:val="none" w:sz="4" w:space="0" w:color="auto"/>
            </w:tcBorders>
          </w:tcPr>
          <w:p>
            <w:r>
              <w:rPr>
                <w:b/>
                <w:sz w:val="18"/>
              </w:rPr>
              <w:t>Degree &amp; Program</w:t>
            </w:r>
          </w:p>
        </w:tc>
        <w:tc>
          <w:tcPr>
            <w:tcW w:type="dxa" w:w="6192"/>
            <w:shd w:fill="FFFFFF"/>
            <w:tcBorders>
              <w:top w:val="single" w:sz="4" w:space="0" w:color="CBD5E1"/>
              <w:left w:val="none" w:sz="4" w:space="0" w:color="auto"/>
              <w:bottom w:val="single" w:sz="4" w:space="0" w:color="CBD5E1"/>
              <w:right w:val="none" w:sz="4" w:space="0" w:color="auto"/>
            </w:tcBorders>
          </w:tcPr>
          <w:p>
            <w:r>
              <w:rPr>
                <w:sz w:val="18"/>
              </w:rPr>
              <w:t>B.Tech Computer Science and Engineering (Cyber Security)</w:t>
            </w:r>
          </w:p>
        </w:tc>
      </w:tr>
      <w:tr>
        <w:tc>
          <w:tcPr>
            <w:tcW w:type="dxa" w:w="3168"/>
            <w:shd w:fill="F1F5F9"/>
            <w:tcBorders>
              <w:top w:val="single" w:sz="4" w:space="0" w:color="CBD5E1"/>
              <w:left w:val="none" w:sz="4" w:space="0" w:color="auto"/>
              <w:bottom w:val="single" w:sz="4" w:space="0" w:color="CBD5E1"/>
              <w:right w:val="none" w:sz="4" w:space="0" w:color="auto"/>
            </w:tcBorders>
          </w:tcPr>
          <w:p>
            <w:r>
              <w:rPr>
                <w:b/>
                <w:sz w:val="18"/>
              </w:rPr>
              <w:t>Institution / Department</w:t>
            </w:r>
          </w:p>
        </w:tc>
        <w:tc>
          <w:tcPr>
            <w:tcW w:type="dxa" w:w="6192"/>
            <w:shd w:fill="FFFFFF"/>
            <w:tcBorders>
              <w:top w:val="single" w:sz="4" w:space="0" w:color="CBD5E1"/>
              <w:left w:val="none" w:sz="4" w:space="0" w:color="auto"/>
              <w:bottom w:val="single" w:sz="4" w:space="0" w:color="CBD5E1"/>
              <w:right w:val="none" w:sz="4" w:space="0" w:color="auto"/>
            </w:tcBorders>
          </w:tcPr>
          <w:p>
            <w:r>
              <w:rPr>
                <w:sz w:val="18"/>
              </w:rPr>
              <w:t>Amrita Vishwa Vidyapeetham, Department of Cyber Security</w:t>
            </w:r>
          </w:p>
        </w:tc>
      </w:tr>
      <w:tr>
        <w:tc>
          <w:tcPr>
            <w:tcW w:type="dxa" w:w="3168"/>
            <w:shd w:fill="F1F5F9"/>
            <w:tcBorders>
              <w:top w:val="single" w:sz="4" w:space="0" w:color="CBD5E1"/>
              <w:left w:val="none" w:sz="4" w:space="0" w:color="auto"/>
              <w:bottom w:val="single" w:sz="4" w:space="0" w:color="CBD5E1"/>
              <w:right w:val="none" w:sz="4" w:space="0" w:color="auto"/>
            </w:tcBorders>
          </w:tcPr>
          <w:p>
            <w:r>
              <w:rPr>
                <w:b/>
                <w:sz w:val="18"/>
              </w:rPr>
              <w:t>Examination / Semester</w:t>
            </w:r>
          </w:p>
        </w:tc>
        <w:tc>
          <w:tcPr>
            <w:tcW w:type="dxa" w:w="6192"/>
            <w:shd w:fill="FFFFFF"/>
            <w:tcBorders>
              <w:top w:val="single" w:sz="4" w:space="0" w:color="CBD5E1"/>
              <w:left w:val="none" w:sz="4" w:space="0" w:color="auto"/>
              <w:bottom w:val="single" w:sz="4" w:space="0" w:color="CBD5E1"/>
              <w:right w:val="none" w:sz="4" w:space="0" w:color="auto"/>
            </w:tcBorders>
          </w:tcPr>
          <w:p>
            <w:r>
              <w:rPr>
                <w:sz w:val="18"/>
              </w:rPr>
              <w:t>24CYS401 End Semester Laboratory Examination</w:t>
            </w:r>
          </w:p>
        </w:tc>
      </w:tr>
      <w:tr>
        <w:tc>
          <w:tcPr>
            <w:tcW w:type="dxa" w:w="3168"/>
            <w:shd w:fill="F1F5F9"/>
            <w:tcBorders>
              <w:top w:val="single" w:sz="4" w:space="0" w:color="CBD5E1"/>
              <w:left w:val="none" w:sz="4" w:space="0" w:color="auto"/>
              <w:bottom w:val="single" w:sz="4" w:space="0" w:color="CBD5E1"/>
              <w:right w:val="none" w:sz="4" w:space="0" w:color="auto"/>
            </w:tcBorders>
          </w:tcPr>
          <w:p>
            <w:r>
              <w:rPr>
                <w:b/>
                <w:sz w:val="18"/>
              </w:rPr>
              <w:t>Academic Year / Date</w:t>
            </w:r>
          </w:p>
        </w:tc>
        <w:tc>
          <w:tcPr>
            <w:tcW w:type="dxa" w:w="6192"/>
            <w:shd w:fill="FFFFFF"/>
            <w:tcBorders>
              <w:top w:val="single" w:sz="4" w:space="0" w:color="CBD5E1"/>
              <w:left w:val="none" w:sz="4" w:space="0" w:color="auto"/>
              <w:bottom w:val="single" w:sz="4" w:space="0" w:color="CBD5E1"/>
              <w:right w:val="none" w:sz="4" w:space="0" w:color="auto"/>
            </w:tcBorders>
          </w:tcPr>
          <w:p>
            <w:r>
              <w:rPr>
                <w:sz w:val="18"/>
              </w:rPr>
              <w:t>October 2026 | Academic Session 2026–2027</w:t>
            </w:r>
          </w:p>
        </w:tc>
      </w:tr>
      <w:tr>
        <w:tc>
          <w:tcPr>
            <w:tcW w:type="dxa" w:w="3168"/>
            <w:shd w:fill="F1F5F9"/>
            <w:tcBorders>
              <w:top w:val="single" w:sz="4" w:space="0" w:color="CBD5E1"/>
              <w:left w:val="none" w:sz="4" w:space="0" w:color="auto"/>
              <w:bottom w:val="single" w:sz="4" w:space="0" w:color="CBD5E1"/>
              <w:right w:val="none" w:sz="4" w:space="0" w:color="auto"/>
            </w:tcBorders>
          </w:tcPr>
          <w:p>
            <w:r>
              <w:rPr>
                <w:b/>
                <w:sz w:val="18"/>
              </w:rPr>
              <w:t>Repository URL</w:t>
            </w:r>
          </w:p>
        </w:tc>
        <w:tc>
          <w:tcPr>
            <w:tcW w:type="dxa" w:w="6192"/>
            <w:shd w:fill="FFFFFF"/>
            <w:tcBorders>
              <w:top w:val="single" w:sz="4" w:space="0" w:color="CBD5E1"/>
              <w:left w:val="none" w:sz="4" w:space="0" w:color="auto"/>
              <w:bottom w:val="single" w:sz="4" w:space="0" w:color="CBD5E1"/>
              <w:right w:val="none" w:sz="4" w:space="0" w:color="auto"/>
            </w:tcBorders>
          </w:tcPr>
          <w:p>
            <w:r>
              <w:rPr>
                <w:sz w:val="18"/>
              </w:rPr>
              <w:t>https://github.com/sathvikvalivety/digital-wallet-and-payment-gateway-simulator</w:t>
            </w:r>
          </w:p>
        </w:tc>
      </w:tr>
    </w:tbl>
    <w:p>
      <w:r>
        <w:br w:type="page"/>
      </w:r>
    </w:p>
    <w:p>
      <w:pPr>
        <w:keepNext/>
        <w:spacing w:before="360" w:after="160"/>
      </w:pPr>
      <w:r>
        <w:rPr>
          <w:rFonts w:ascii="Calibri" w:hAnsi="Calibri"/>
          <w:b/>
          <w:color w:val="17365D"/>
          <w:sz w:val="34"/>
        </w:rPr>
        <w:t>Executive Summary</w:t>
      </w:r>
    </w:p>
    <w:p>
      <w:pPr>
        <w:spacing w:before="0" w:after="120" w:line="276" w:lineRule="auto"/>
      </w:pPr>
      <w:r>
        <w:rPr>
          <w:rFonts w:ascii="Calibri" w:hAnsi="Calibri"/>
          <w:color w:val="172033"/>
          <w:sz w:val="20"/>
        </w:rPr>
        <w:t>The Digital Wallet and Payment Gateway Simulator (DWPG) is an end-to-end, high-integrity financial transaction simulator engineered in compliance with rigorous secure software engineering standards for the 24CYS401 End Semester Laboratory Examination. The primary objective is to simulate a complete electronic payment ecosystem—spanning user onboarding, credential issuance, digital wallet provisioning, atomic top-ups, merchant registration, idempotent checkout settlement, stateful refunds, and immutable double-entry ledger bookkeeping—while systematically resolving critical distributed financial security challenges: race condition double-spending, replay attacks, parameter tampering, broken authorization, and forensic audit evasion.</w:t>
      </w:r>
    </w:p>
    <w:tbl>
      <w:tblPr>
        <w:tblW w:type="auto" w:w="0"/>
        <w:jc w:val="center"/>
        <w:tblLayout w:type="fixed"/>
        <w:tblLook w:firstColumn="1" w:firstRow="1" w:lastColumn="0" w:lastRow="0" w:noHBand="0" w:noVBand="1" w:val="04A0"/>
      </w:tblPr>
      <w:tblGrid>
        <w:gridCol w:w="9360"/>
      </w:tblGrid>
      <w:tr>
        <w:tc>
          <w:tcPr>
            <w:tcW w:type="dxa" w:w="9360"/>
            <w:shd w:fill="F1F5F9"/>
            <w:tcBorders>
              <w:left w:val="single" w:sz="24" w:space="0" w:color="17365D"/>
              <w:top w:val="none"/>
              <w:right w:val="none"/>
              <w:bottom w:val="none"/>
            </w:tcBorders>
          </w:tcPr>
          <w:p>
            <w:pPr>
              <w:spacing w:before="80" w:after="40"/>
            </w:pPr>
            <w:r>
              <w:rPr>
                <w:rFonts w:ascii="Calibri" w:hAnsi="Calibri"/>
                <w:b/>
                <w:color w:val="17365D"/>
                <w:sz w:val="20"/>
              </w:rPr>
              <w:t>🛡️  Curricular Examination Compliance</w:t>
              <w:br/>
            </w:r>
            <w:r>
              <w:rPr>
                <w:rFonts w:ascii="Calibri" w:hAnsi="Calibri"/>
                <w:color w:val="172033"/>
                <w:sz w:val="19"/>
              </w:rPr>
              <w:t>This report documents complete empirical evidence for all 16 prescribed phases of the Secure Software Engineering examination. All 24 architectural, UML, data flow, and threat diagrams were authored as editable draw.io sources (docs/diagrams/drawio/) and exported via the official draw.io CLI. 15 real Playwright UI screenshots, 16 authentic Jira figures, 7 SonarQube SAST screenshots, and verified Kubernetes runtime workloads are embedded as immutable proof.</w:t>
            </w:r>
          </w:p>
        </w:tc>
      </w:tr>
    </w:tbl>
    <w:p>
      <w:pPr>
        <w:spacing w:after="80"/>
      </w:pPr>
    </w:p>
    <w:p>
      <w:pPr>
        <w:keepNext/>
        <w:spacing w:before="280" w:after="120"/>
      </w:pPr>
      <w:r>
        <w:rPr>
          <w:rFonts w:ascii="Calibri" w:hAnsi="Calibri"/>
          <w:b/>
          <w:color w:val="1F4E79"/>
          <w:sz w:val="26"/>
        </w:rPr>
        <w:t>Core System Metrics at a Glance</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7365D"/>
            <w:tcBorders>
              <w:top w:val="single" w:sz="4" w:space="0" w:color="17365D"/>
              <w:left w:val="none" w:sz="4" w:space="0" w:color="auto"/>
              <w:bottom w:val="single" w:sz="4" w:space="0" w:color="17365D"/>
              <w:right w:val="none" w:sz="4" w:space="0" w:color="auto"/>
            </w:tcBorders>
          </w:tcPr>
          <w:p>
            <w:pPr>
              <w:spacing w:before="80" w:after="80"/>
              <w:jc w:val="left"/>
            </w:pPr>
            <w:r>
              <w:rPr>
                <w:rFonts w:ascii="Calibri" w:hAnsi="Calibri"/>
                <w:b/>
                <w:color w:val="FFFFFF"/>
                <w:sz w:val="18"/>
              </w:rPr>
              <w:t>Engineering Dimension</w:t>
            </w:r>
          </w:p>
        </w:tc>
        <w:tc>
          <w:tcPr>
            <w:tcW w:type="dxa" w:w="3600"/>
            <w:shd w:fill="17365D"/>
            <w:tcBorders>
              <w:top w:val="single" w:sz="4" w:space="0" w:color="17365D"/>
              <w:left w:val="none" w:sz="4" w:space="0" w:color="auto"/>
              <w:bottom w:val="single" w:sz="4" w:space="0" w:color="17365D"/>
              <w:right w:val="none" w:sz="4" w:space="0" w:color="auto"/>
            </w:tcBorders>
          </w:tcPr>
          <w:p>
            <w:pPr>
              <w:spacing w:before="80" w:after="80"/>
              <w:jc w:val="left"/>
            </w:pPr>
            <w:r>
              <w:rPr>
                <w:rFonts w:ascii="Calibri" w:hAnsi="Calibri"/>
                <w:b/>
                <w:color w:val="FFFFFF"/>
                <w:sz w:val="18"/>
              </w:rPr>
              <w:t>Implemented Specification</w:t>
            </w:r>
          </w:p>
        </w:tc>
        <w:tc>
          <w:tcPr>
            <w:tcW w:type="dxa" w:w="3168"/>
            <w:shd w:fill="17365D"/>
            <w:tcBorders>
              <w:top w:val="single" w:sz="4" w:space="0" w:color="17365D"/>
              <w:left w:val="none" w:sz="4" w:space="0" w:color="auto"/>
              <w:bottom w:val="single" w:sz="4" w:space="0" w:color="17365D"/>
              <w:right w:val="none" w:sz="4" w:space="0" w:color="auto"/>
            </w:tcBorders>
          </w:tcPr>
          <w:p>
            <w:pPr>
              <w:spacing w:before="80" w:after="80"/>
              <w:jc w:val="left"/>
            </w:pPr>
            <w:r>
              <w:rPr>
                <w:rFonts w:ascii="Calibri" w:hAnsi="Calibri"/>
                <w:b/>
                <w:color w:val="FFFFFF"/>
                <w:sz w:val="18"/>
              </w:rPr>
              <w:t>Empirical Verification Status</w:t>
            </w:r>
          </w:p>
        </w:tc>
      </w:tr>
      <w:tr>
        <w:tc>
          <w:tcPr>
            <w:tcW w:type="dxa" w:w="259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Target Platform</w:t>
            </w:r>
          </w:p>
        </w:tc>
        <w:tc>
          <w:tcPr>
            <w:tcW w:type="dxa" w:w="3600"/>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Java 21 LTS, Spring Boot 3.3.4, React 18, MariaDB 11.4</w:t>
            </w:r>
          </w:p>
        </w:tc>
        <w:tc>
          <w:tcPr>
            <w:tcW w:type="dxa" w:w="3168"/>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Operational on localhost:8080 &amp; localhost:3000</w:t>
            </w:r>
          </w:p>
        </w:tc>
      </w:tr>
      <w:tr>
        <w:tc>
          <w:tcPr>
            <w:tcW w:type="dxa" w:w="259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Containerization &amp; K8s</w:t>
            </w:r>
          </w:p>
        </w:tc>
        <w:tc>
          <w:tcPr>
            <w:tcW w:type="dxa" w:w="3600"/>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Multi-stage Docker, Minikube Namespace 'dwpg'</w:t>
            </w:r>
          </w:p>
        </w:tc>
        <w:tc>
          <w:tcPr>
            <w:tcW w:type="dxa" w:w="3168"/>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Non-root UID 10001, NetworkPolicy isolate-mariadb active</w:t>
            </w:r>
          </w:p>
        </w:tc>
      </w:tr>
      <w:tr>
        <w:tc>
          <w:tcPr>
            <w:tcW w:type="dxa" w:w="259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Scrum Cadence</w:t>
            </w:r>
          </w:p>
        </w:tc>
        <w:tc>
          <w:tcPr>
            <w:tcW w:type="dxa" w:w="3600"/>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2 Sprints (52 Story Points committed, 47 delivered)</w:t>
            </w:r>
          </w:p>
        </w:tc>
        <w:tc>
          <w:tcPr>
            <w:tcW w:type="dxa" w:w="3168"/>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Jira Board #101, 13 user stories, defect DEF-001 resolved</w:t>
            </w:r>
          </w:p>
        </w:tc>
      </w:tr>
      <w:tr>
        <w:tc>
          <w:tcPr>
            <w:tcW w:type="dxa" w:w="259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Automated Test Suite</w:t>
            </w:r>
          </w:p>
        </w:tc>
        <w:tc>
          <w:tcPr>
            <w:tcW w:type="dxa" w:w="3600"/>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42 Tests: 25 JUnit 5 + 9 REST Integration + 8 Security</w:t>
            </w:r>
          </w:p>
        </w:tc>
        <w:tc>
          <w:tcPr>
            <w:tcW w:type="dxa" w:w="3168"/>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100% Passed (0 Failures, 0 Errors) in 4.281s</w:t>
            </w:r>
          </w:p>
        </w:tc>
      </w:tr>
      <w:tr>
        <w:tc>
          <w:tcPr>
            <w:tcW w:type="dxa" w:w="259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SAST Quality Gate</w:t>
            </w:r>
          </w:p>
        </w:tc>
        <w:tc>
          <w:tcPr>
            <w:tcW w:type="dxa" w:w="3600"/>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SonarQube 9.9.8 LTS (dwpg-simulator)</w:t>
            </w:r>
          </w:p>
        </w:tc>
        <w:tc>
          <w:tcPr>
            <w:tcW w:type="dxa" w:w="3168"/>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Quality Gate: OK | 0 Vulnerabilities, 0 Hotspots, 0 Bugs, 62.6% Coverage</w:t>
            </w:r>
          </w:p>
        </w:tc>
      </w:tr>
      <w:tr>
        <w:tc>
          <w:tcPr>
            <w:tcW w:type="dxa" w:w="259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Draw.io Source Diagrams</w:t>
            </w:r>
          </w:p>
        </w:tc>
        <w:tc>
          <w:tcPr>
            <w:tcW w:type="dxa" w:w="3600"/>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24 Diagrams authored in Draw.io / Diagrams.net</w:t>
            </w:r>
          </w:p>
        </w:tc>
        <w:tc>
          <w:tcPr>
            <w:tcW w:type="dxa" w:w="3168"/>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All 24 available in docs/diagrams/drawio/, PNG &amp; SVG exported</w:t>
            </w:r>
          </w:p>
        </w:tc>
      </w:tr>
    </w:tbl>
    <w:p>
      <w:pPr>
        <w:spacing w:after="120"/>
      </w:pPr>
    </w:p>
    <w:p>
      <w:r>
        <w:br w:type="page"/>
      </w:r>
    </w:p>
    <w:p>
      <w:pPr>
        <w:keepNext/>
        <w:spacing w:before="360" w:after="160"/>
      </w:pPr>
      <w:r>
        <w:rPr>
          <w:rFonts w:ascii="Calibri" w:hAnsi="Calibri"/>
          <w:b/>
          <w:color w:val="17365D"/>
          <w:sz w:val="34"/>
        </w:rPr>
        <w:t>1. Project Overview and Context</w:t>
      </w:r>
    </w:p>
    <w:p>
      <w:pPr>
        <w:keepNext/>
        <w:spacing w:before="280" w:after="120"/>
      </w:pPr>
      <w:r>
        <w:rPr>
          <w:rFonts w:ascii="Calibri" w:hAnsi="Calibri"/>
          <w:b/>
          <w:color w:val="1F4E79"/>
          <w:sz w:val="26"/>
        </w:rPr>
        <w:t>1.1 Case Study Context</w:t>
      </w:r>
    </w:p>
    <w:p>
      <w:pPr>
        <w:spacing w:before="0" w:after="120" w:line="276" w:lineRule="auto"/>
      </w:pPr>
      <w:r>
        <w:rPr>
          <w:rFonts w:ascii="Calibri" w:hAnsi="Calibri"/>
          <w:color w:val="172033"/>
          <w:sz w:val="20"/>
        </w:rPr>
        <w:t>Modern digital payment gateways and electronic wallets form the lifeblood of contemporary e-commerce. However, implementing financial platforms introduces severe systemic risks: network retries leading to duplicate debits, race conditions allowing users to double-spend simultaneous balances across parallel threads, and parameter tampering enabling arbitrary payment modifications. Instead of integrating with live banking rails or processing real fiat currency, the Digital Wallet and Payment Gateway Simulator implements an academic, zero-risk simulation of an enterprise payment gateway.</w:t>
      </w:r>
    </w:p>
    <w:p>
      <w:pPr>
        <w:keepNext/>
        <w:spacing w:before="280" w:after="120"/>
      </w:pPr>
      <w:r>
        <w:rPr>
          <w:rFonts w:ascii="Calibri" w:hAnsi="Calibri"/>
          <w:b/>
          <w:color w:val="1F4E79"/>
          <w:sz w:val="26"/>
        </w:rPr>
        <w:t>1.2 Core Capabilities</w:t>
      </w:r>
    </w:p>
    <w:p>
      <w:pPr>
        <w:spacing w:before="0" w:after="120" w:line="276" w:lineRule="auto"/>
      </w:pPr>
      <w:r>
        <w:rPr>
          <w:rFonts w:ascii="Calibri" w:hAnsi="Calibri"/>
          <w:color w:val="172033"/>
          <w:sz w:val="20"/>
        </w:rPr>
        <w:t>• User Registration &amp; Authentication: NIST SP 800-63B compliant password policies, BCrypt hashing (cost 12), and stateless HMAC-SHA256 JWT tokens.</w:t>
      </w:r>
    </w:p>
    <w:p>
      <w:pPr>
        <w:spacing w:before="0" w:after="120" w:line="276" w:lineRule="auto"/>
      </w:pPr>
      <w:r>
        <w:rPr>
          <w:rFonts w:ascii="Calibri" w:hAnsi="Calibri"/>
          <w:color w:val="172033"/>
          <w:sz w:val="20"/>
        </w:rPr>
        <w:t>• Simulated Wallet Operations: Atomic balance provisioning, simulated funds top-ups, and balance ceiling enforcement.</w:t>
      </w:r>
    </w:p>
    <w:p>
      <w:pPr>
        <w:spacing w:before="0" w:after="120" w:line="276" w:lineRule="auto"/>
      </w:pPr>
      <w:r>
        <w:rPr>
          <w:rFonts w:ascii="Calibri" w:hAnsi="Calibri"/>
          <w:color w:val="172033"/>
          <w:sz w:val="20"/>
        </w:rPr>
        <w:t>• Payment Gateway Core: Idempotent payment initiation, HMAC tamper-evident verification, and atomic double-entry ledger debit/credit settlement.</w:t>
      </w:r>
    </w:p>
    <w:p>
      <w:pPr>
        <w:spacing w:before="0" w:after="120" w:line="276" w:lineRule="auto"/>
      </w:pPr>
      <w:r>
        <w:rPr>
          <w:rFonts w:ascii="Calibri" w:hAnsi="Calibri"/>
          <w:color w:val="172033"/>
          <w:sz w:val="20"/>
        </w:rPr>
        <w:t>• Refund &amp; Dispute Resolution: Authorized merchant/customer reversal, multi-step state validation, and prevention of infinite refund abuse.</w:t>
      </w:r>
    </w:p>
    <w:p>
      <w:pPr>
        <w:spacing w:before="0" w:after="120" w:line="276" w:lineRule="auto"/>
      </w:pPr>
      <w:r>
        <w:rPr>
          <w:rFonts w:ascii="Calibri" w:hAnsi="Calibri"/>
          <w:color w:val="172033"/>
          <w:sz w:val="20"/>
        </w:rPr>
        <w:t>• Security Defenses &amp; SIEM: Pessimistic locking concurrency protection, idempotency cache replay traps, and sensitive data scrubbing.</w:t>
      </w:r>
    </w:p>
    <w:p>
      <w:pPr>
        <w:keepNext/>
        <w:spacing w:before="280" w:after="120"/>
      </w:pPr>
      <w:r>
        <w:rPr>
          <w:rFonts w:ascii="Calibri" w:hAnsi="Calibri"/>
          <w:b/>
          <w:color w:val="1F4E79"/>
          <w:sz w:val="26"/>
        </w:rPr>
        <w:t>1.3 Agile Process and Development Approach (Phase 1)</w:t>
      </w:r>
    </w:p>
    <w:p>
      <w:pPr>
        <w:spacing w:before="0" w:after="120" w:line="276" w:lineRule="auto"/>
      </w:pPr>
      <w:r>
        <w:rPr>
          <w:rFonts w:ascii="Calibri" w:hAnsi="Calibri"/>
          <w:color w:val="172033"/>
          <w:sz w:val="20"/>
        </w:rPr>
        <w:t>The project followed an agile Scrum development lifecycle executed across two intensive two-week sprints. Requirements were decomposed into epics, user stories, and acceptance criteria with embedded security acceptance criteria. Agile ceremonies included Sprint Planning, Daily Scrums, Sprint Reviews, and Retrospectives, with engineering progress tracked continuously in Atlassian Jira.</w:t>
      </w:r>
    </w:p>
    <w:p>
      <w:pPr>
        <w:keepNext/>
        <w:spacing w:before="160" w:after="60"/>
        <w:jc w:val="center"/>
      </w:pPr>
      <w:r>
        <w:drawing>
          <wp:inline xmlns:a="http://schemas.openxmlformats.org/drawingml/2006/main" xmlns:pic="http://schemas.openxmlformats.org/drawingml/2006/picture">
            <wp:extent cx="5669280" cy="1845555"/>
            <wp:docPr id="1" name="Picture 1"/>
            <wp:cNvGraphicFramePr>
              <a:graphicFrameLocks noChangeAspect="1"/>
            </wp:cNvGraphicFramePr>
            <a:graphic>
              <a:graphicData uri="http://schemas.openxmlformats.org/drawingml/2006/picture">
                <pic:pic>
                  <pic:nvPicPr>
                    <pic:cNvPr id="0" name="01_agile_lifecycle.png"/>
                    <pic:cNvPicPr/>
                  </pic:nvPicPr>
                  <pic:blipFill>
                    <a:blip r:embed="rId11"/>
                    <a:stretch>
                      <a:fillRect/>
                    </a:stretch>
                  </pic:blipFill>
                  <pic:spPr>
                    <a:xfrm>
                      <a:off x="0" y="0"/>
                      <a:ext cx="5669280" cy="1845555"/>
                    </a:xfrm>
                    <a:prstGeom prst="rect"/>
                  </pic:spPr>
                </pic:pic>
              </a:graphicData>
            </a:graphic>
          </wp:inline>
        </w:drawing>
      </w:r>
    </w:p>
    <w:p>
      <w:pPr>
        <w:spacing w:before="40" w:after="200"/>
        <w:jc w:val="center"/>
      </w:pPr>
      <w:r>
        <w:rPr>
          <w:rFonts w:ascii="Calibri" w:hAnsi="Calibri"/>
          <w:b/>
          <w:color w:val="17365D"/>
          <w:sz w:val="18"/>
        </w:rPr>
        <w:t xml:space="preserve">Figure 1: Agile Secure Software Engineering Lifecycle. </w:t>
      </w:r>
      <w:r>
        <w:rPr>
          <w:rFonts w:ascii="Calibri" w:hAnsi="Calibri"/>
          <w:i/>
          <w:color w:val="64748B"/>
          <w:sz w:val="18"/>
        </w:rPr>
        <w:t>Comprehensive 16-phase development workflow spanning requirements, threat modeling, sprint execution, containerization, and SonarQube SAST verification (authored in Draw.io).</w:t>
      </w:r>
      <w:r>
        <w:rPr>
          <w:rFonts w:ascii="Calibri" w:hAnsi="Calibri"/>
          <w:b/>
          <w:color w:val="0F766E"/>
          <w:sz w:val="17"/>
        </w:rPr>
        <w:t xml:space="preserve"> [Phase 1: Agile Process]</w:t>
      </w:r>
    </w:p>
    <w:p>
      <w:pPr>
        <w:keepNext/>
        <w:spacing w:before="280" w:after="120"/>
      </w:pPr>
      <w:r>
        <w:rPr>
          <w:rFonts w:ascii="Calibri" w:hAnsi="Calibri"/>
          <w:b/>
          <w:color w:val="1F4E79"/>
          <w:sz w:val="26"/>
        </w:rPr>
        <w:t>1.4 Technology Stack and Toolchain</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7365D"/>
            <w:tcBorders>
              <w:top w:val="single" w:sz="4" w:space="0" w:color="17365D"/>
              <w:left w:val="none" w:sz="4" w:space="0" w:color="auto"/>
              <w:bottom w:val="single" w:sz="4" w:space="0" w:color="17365D"/>
              <w:right w:val="none" w:sz="4" w:space="0" w:color="auto"/>
            </w:tcBorders>
          </w:tcPr>
          <w:p>
            <w:pPr>
              <w:spacing w:before="80" w:after="80"/>
              <w:jc w:val="left"/>
            </w:pPr>
            <w:r>
              <w:rPr>
                <w:rFonts w:ascii="Calibri" w:hAnsi="Calibri"/>
                <w:b/>
                <w:color w:val="FFFFFF"/>
                <w:sz w:val="18"/>
              </w:rPr>
              <w:t>Layer / Domain</w:t>
            </w:r>
          </w:p>
        </w:tc>
        <w:tc>
          <w:tcPr>
            <w:tcW w:type="dxa" w:w="3168"/>
            <w:shd w:fill="17365D"/>
            <w:tcBorders>
              <w:top w:val="single" w:sz="4" w:space="0" w:color="17365D"/>
              <w:left w:val="none" w:sz="4" w:space="0" w:color="auto"/>
              <w:bottom w:val="single" w:sz="4" w:space="0" w:color="17365D"/>
              <w:right w:val="none" w:sz="4" w:space="0" w:color="auto"/>
            </w:tcBorders>
          </w:tcPr>
          <w:p>
            <w:pPr>
              <w:spacing w:before="80" w:after="80"/>
              <w:jc w:val="left"/>
            </w:pPr>
            <w:r>
              <w:rPr>
                <w:rFonts w:ascii="Calibri" w:hAnsi="Calibri"/>
                <w:b/>
                <w:color w:val="FFFFFF"/>
                <w:sz w:val="18"/>
              </w:rPr>
              <w:t>Technology Choice</w:t>
            </w:r>
          </w:p>
        </w:tc>
        <w:tc>
          <w:tcPr>
            <w:tcW w:type="dxa" w:w="4032"/>
            <w:shd w:fill="17365D"/>
            <w:tcBorders>
              <w:top w:val="single" w:sz="4" w:space="0" w:color="17365D"/>
              <w:left w:val="none" w:sz="4" w:space="0" w:color="auto"/>
              <w:bottom w:val="single" w:sz="4" w:space="0" w:color="17365D"/>
              <w:right w:val="none" w:sz="4" w:space="0" w:color="auto"/>
            </w:tcBorders>
          </w:tcPr>
          <w:p>
            <w:pPr>
              <w:spacing w:before="80" w:after="80"/>
              <w:jc w:val="left"/>
            </w:pPr>
            <w:r>
              <w:rPr>
                <w:rFonts w:ascii="Calibri" w:hAnsi="Calibri"/>
                <w:b/>
                <w:color w:val="FFFFFF"/>
                <w:sz w:val="18"/>
              </w:rPr>
              <w:t>Security Rationale &amp; Governance</w:t>
            </w:r>
          </w:p>
        </w:tc>
      </w:tr>
      <w:tr>
        <w:tc>
          <w:tcPr>
            <w:tcW w:type="dxa" w:w="2160"/>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Backend Runtime</w:t>
            </w:r>
          </w:p>
        </w:tc>
        <w:tc>
          <w:tcPr>
            <w:tcW w:type="dxa" w:w="3168"/>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Java 21 LTS / Spring Boot 3.3.4</w:t>
            </w:r>
          </w:p>
        </w:tc>
        <w:tc>
          <w:tcPr>
            <w:tcW w:type="dxa" w:w="403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Strong typing, virtual threads, robust memory safety, enterprise ecosystem.</w:t>
            </w:r>
          </w:p>
        </w:tc>
      </w:tr>
      <w:tr>
        <w:tc>
          <w:tcPr>
            <w:tcW w:type="dxa" w:w="2160"/>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Security Framework</w:t>
            </w:r>
          </w:p>
        </w:tc>
        <w:tc>
          <w:tcPr>
            <w:tcW w:type="dxa" w:w="3168"/>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Spring Security 6 / BCrypt / JWT</w:t>
            </w:r>
          </w:p>
        </w:tc>
        <w:tc>
          <w:tcPr>
            <w:tcW w:type="dxa" w:w="403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Declarative RBAC, stateless HMAC-SHA256 bearer tokens, OWASP-compliant session control.</w:t>
            </w:r>
          </w:p>
        </w:tc>
      </w:tr>
      <w:tr>
        <w:tc>
          <w:tcPr>
            <w:tcW w:type="dxa" w:w="2160"/>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Persistence Layer</w:t>
            </w:r>
          </w:p>
        </w:tc>
        <w:tc>
          <w:tcPr>
            <w:tcW w:type="dxa" w:w="3168"/>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Spring Data JPA / Hibernate 6</w:t>
            </w:r>
          </w:p>
        </w:tc>
        <w:tc>
          <w:tcPr>
            <w:tcW w:type="dxa" w:w="403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ORM parameterized queries eliminating SQL injection, optimistic/pessimistic locking APIs.</w:t>
            </w:r>
          </w:p>
        </w:tc>
      </w:tr>
      <w:tr>
        <w:tc>
          <w:tcPr>
            <w:tcW w:type="dxa" w:w="2160"/>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Relational Database</w:t>
            </w:r>
          </w:p>
        </w:tc>
        <w:tc>
          <w:tcPr>
            <w:tcW w:type="dxa" w:w="3168"/>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MariaDB 10.11 / In-Memory H2</w:t>
            </w:r>
          </w:p>
        </w:tc>
        <w:tc>
          <w:tcPr>
            <w:tcW w:type="dxa" w:w="403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ACID transactional boundaries, row-level SELECT ... FOR UPDATE locking, strict schemas.</w:t>
            </w:r>
          </w:p>
        </w:tc>
      </w:tr>
      <w:tr>
        <w:tc>
          <w:tcPr>
            <w:tcW w:type="dxa" w:w="2160"/>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Frontend UI</w:t>
            </w:r>
          </w:p>
        </w:tc>
        <w:tc>
          <w:tcPr>
            <w:tcW w:type="dxa" w:w="3168"/>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React 18 / Vite SPA</w:t>
            </w:r>
          </w:p>
        </w:tc>
        <w:tc>
          <w:tcPr>
            <w:tcW w:type="dxa" w:w="403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Modern componentized architecture, automatic XSS context encoding, zero vulnerable dependencies.</w:t>
            </w:r>
          </w:p>
        </w:tc>
      </w:tr>
      <w:tr>
        <w:tc>
          <w:tcPr>
            <w:tcW w:type="dxa" w:w="2160"/>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Containerization</w:t>
            </w:r>
          </w:p>
        </w:tc>
        <w:tc>
          <w:tcPr>
            <w:tcW w:type="dxa" w:w="3168"/>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Docker Multi-Stage (Alpine/Distroless)</w:t>
            </w:r>
          </w:p>
        </w:tc>
        <w:tc>
          <w:tcPr>
            <w:tcW w:type="dxa" w:w="403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Minimal attack surface, non-root user execution (UID 10001), dropped Linux capabilities.</w:t>
            </w:r>
          </w:p>
        </w:tc>
      </w:tr>
      <w:tr>
        <w:tc>
          <w:tcPr>
            <w:tcW w:type="dxa" w:w="2160"/>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Orchestration</w:t>
            </w:r>
          </w:p>
        </w:tc>
        <w:tc>
          <w:tcPr>
            <w:tcW w:type="dxa" w:w="3168"/>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Kubernetes / Minikube</w:t>
            </w:r>
          </w:p>
        </w:tc>
        <w:tc>
          <w:tcPr>
            <w:tcW w:type="dxa" w:w="403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Declarative YAML manifests, NetworkPolicy egress/ingress isolation, ConfigMap/Secret decoupling.</w:t>
            </w:r>
          </w:p>
        </w:tc>
      </w:tr>
      <w:tr>
        <w:tc>
          <w:tcPr>
            <w:tcW w:type="dxa" w:w="2160"/>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SAST &amp; Quality Gate</w:t>
            </w:r>
          </w:p>
        </w:tc>
        <w:tc>
          <w:tcPr>
            <w:tcW w:type="dxa" w:w="3168"/>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SonarQube 9.9 LTS / JaCoCo</w:t>
            </w:r>
          </w:p>
        </w:tc>
        <w:tc>
          <w:tcPr>
            <w:tcW w:type="dxa" w:w="403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Static analysis enforcing zero blocker/critical vulnerabilities, automated coverage metrics.</w:t>
            </w:r>
          </w:p>
        </w:tc>
      </w:tr>
    </w:tbl>
    <w:p>
      <w:pPr>
        <w:spacing w:after="120"/>
      </w:pPr>
    </w:p>
    <w:p>
      <w:pPr>
        <w:keepNext/>
        <w:spacing w:before="360" w:after="160"/>
      </w:pPr>
      <w:r>
        <w:rPr>
          <w:rFonts w:ascii="Calibri" w:hAnsi="Calibri"/>
          <w:b/>
          <w:color w:val="17365D"/>
          <w:sz w:val="34"/>
        </w:rPr>
        <w:t>2. Requirement Engineering (Phase 2)</w:t>
      </w:r>
    </w:p>
    <w:p>
      <w:pPr>
        <w:keepNext/>
        <w:spacing w:before="280" w:after="120"/>
      </w:pPr>
      <w:r>
        <w:rPr>
          <w:rFonts w:ascii="Calibri" w:hAnsi="Calibri"/>
          <w:b/>
          <w:color w:val="1F4E79"/>
          <w:sz w:val="26"/>
        </w:rPr>
        <w:t>2.1 Problem Statement</w:t>
      </w:r>
    </w:p>
    <w:p>
      <w:pPr>
        <w:spacing w:before="0" w:after="120" w:line="276" w:lineRule="auto"/>
      </w:pPr>
      <w:r>
        <w:rPr>
          <w:rFonts w:ascii="Calibri" w:hAnsi="Calibri"/>
          <w:color w:val="172033"/>
          <w:sz w:val="20"/>
        </w:rPr>
        <w:t>Traditional software applications frequently treat payment processing as simple database updates, overlooking the adversarial realities of distributed networks: network latency causing retries, concurrent browser tabs submitting identical forms, and malicious actors intercepting or modifying parameters. Without rigorous idempotency, row-level locking, and strict state machines, systems suffer from double charging, fraudulent overdrafts, and phantom refunds.</w:t>
      </w:r>
    </w:p>
    <w:p>
      <w:pPr>
        <w:keepNext/>
        <w:spacing w:before="280" w:after="120"/>
      </w:pPr>
      <w:r>
        <w:rPr>
          <w:rFonts w:ascii="Calibri" w:hAnsi="Calibri"/>
          <w:b/>
          <w:color w:val="1F4E79"/>
          <w:sz w:val="26"/>
        </w:rPr>
        <w:t>2.2 Functional Requirements (FR)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shd w:fill="17365D"/>
            <w:tcBorders>
              <w:top w:val="single" w:sz="4" w:space="0" w:color="17365D"/>
              <w:left w:val="none" w:sz="4" w:space="0" w:color="auto"/>
              <w:bottom w:val="single" w:sz="4" w:space="0" w:color="17365D"/>
              <w:right w:val="none" w:sz="4" w:space="0" w:color="auto"/>
            </w:tcBorders>
          </w:tcPr>
          <w:p>
            <w:pPr>
              <w:spacing w:before="80" w:after="80"/>
              <w:jc w:val="left"/>
            </w:pPr>
            <w:r>
              <w:rPr>
                <w:rFonts w:ascii="Calibri" w:hAnsi="Calibri"/>
                <w:b/>
                <w:color w:val="FFFFFF"/>
                <w:sz w:val="18"/>
              </w:rPr>
              <w:t>Req ID</w:t>
            </w:r>
          </w:p>
        </w:tc>
        <w:tc>
          <w:tcPr>
            <w:tcW w:type="dxa" w:w="2592"/>
            <w:shd w:fill="17365D"/>
            <w:tcBorders>
              <w:top w:val="single" w:sz="4" w:space="0" w:color="17365D"/>
              <w:left w:val="none" w:sz="4" w:space="0" w:color="auto"/>
              <w:bottom w:val="single" w:sz="4" w:space="0" w:color="17365D"/>
              <w:right w:val="none" w:sz="4" w:space="0" w:color="auto"/>
            </w:tcBorders>
          </w:tcPr>
          <w:p>
            <w:pPr>
              <w:spacing w:before="80" w:after="80"/>
              <w:jc w:val="left"/>
            </w:pPr>
            <w:r>
              <w:rPr>
                <w:rFonts w:ascii="Calibri" w:hAnsi="Calibri"/>
                <w:b/>
                <w:color w:val="FFFFFF"/>
                <w:sz w:val="18"/>
              </w:rPr>
              <w:t>Requirement Summary</w:t>
            </w:r>
          </w:p>
        </w:tc>
        <w:tc>
          <w:tcPr>
            <w:tcW w:type="dxa" w:w="3456"/>
            <w:shd w:fill="17365D"/>
            <w:tcBorders>
              <w:top w:val="single" w:sz="4" w:space="0" w:color="17365D"/>
              <w:left w:val="none" w:sz="4" w:space="0" w:color="auto"/>
              <w:bottom w:val="single" w:sz="4" w:space="0" w:color="17365D"/>
              <w:right w:val="none" w:sz="4" w:space="0" w:color="auto"/>
            </w:tcBorders>
          </w:tcPr>
          <w:p>
            <w:pPr>
              <w:spacing w:before="80" w:after="80"/>
              <w:jc w:val="left"/>
            </w:pPr>
            <w:r>
              <w:rPr>
                <w:rFonts w:ascii="Calibri" w:hAnsi="Calibri"/>
                <w:b/>
                <w:color w:val="FFFFFF"/>
                <w:sz w:val="18"/>
              </w:rPr>
              <w:t>Operational Scope</w:t>
            </w:r>
          </w:p>
        </w:tc>
        <w:tc>
          <w:tcPr>
            <w:tcW w:type="dxa" w:w="2160"/>
            <w:shd w:fill="17365D"/>
            <w:tcBorders>
              <w:top w:val="single" w:sz="4" w:space="0" w:color="17365D"/>
              <w:left w:val="none" w:sz="4" w:space="0" w:color="auto"/>
              <w:bottom w:val="single" w:sz="4" w:space="0" w:color="17365D"/>
              <w:right w:val="none" w:sz="4" w:space="0" w:color="auto"/>
            </w:tcBorders>
          </w:tcPr>
          <w:p>
            <w:pPr>
              <w:spacing w:before="80" w:after="80"/>
              <w:jc w:val="left"/>
            </w:pPr>
            <w:r>
              <w:rPr>
                <w:rFonts w:ascii="Calibri" w:hAnsi="Calibri"/>
                <w:b/>
                <w:color w:val="FFFFFF"/>
                <w:sz w:val="18"/>
              </w:rPr>
              <w:t>Verification Method</w:t>
            </w:r>
          </w:p>
        </w:tc>
      </w:tr>
      <w:tr>
        <w:tc>
          <w:tcPr>
            <w:tcW w:type="dxa" w:w="115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FR-01</w:t>
            </w:r>
          </w:p>
        </w:tc>
        <w:tc>
          <w:tcPr>
            <w:tcW w:type="dxa" w:w="259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User Registration</w:t>
            </w:r>
          </w:p>
        </w:tc>
        <w:tc>
          <w:tcPr>
            <w:tcW w:type="dxa" w:w="3456"/>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Allow new consumers, merchants, and admins to create accounts.</w:t>
            </w:r>
          </w:p>
        </w:tc>
        <w:tc>
          <w:tcPr>
            <w:tcW w:type="dxa" w:w="2160"/>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REST API / UI form validation</w:t>
            </w:r>
          </w:p>
        </w:tc>
      </w:tr>
      <w:tr>
        <w:tc>
          <w:tcPr>
            <w:tcW w:type="dxa" w:w="115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FR-02</w:t>
            </w:r>
          </w:p>
        </w:tc>
        <w:tc>
          <w:tcPr>
            <w:tcW w:type="dxa" w:w="259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User Authentication</w:t>
            </w:r>
          </w:p>
        </w:tc>
        <w:tc>
          <w:tcPr>
            <w:tcW w:type="dxa" w:w="3456"/>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Authenticate principals and issue signed HMAC-SHA256 JWT tokens.</w:t>
            </w:r>
          </w:p>
        </w:tc>
        <w:tc>
          <w:tcPr>
            <w:tcW w:type="dxa" w:w="2160"/>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POST /api/auth/login</w:t>
            </w:r>
          </w:p>
        </w:tc>
      </w:tr>
      <w:tr>
        <w:tc>
          <w:tcPr>
            <w:tcW w:type="dxa" w:w="115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FR-03</w:t>
            </w:r>
          </w:p>
        </w:tc>
        <w:tc>
          <w:tcPr>
            <w:tcW w:type="dxa" w:w="259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Wallet Provisioning</w:t>
            </w:r>
          </w:p>
        </w:tc>
        <w:tc>
          <w:tcPr>
            <w:tcW w:type="dxa" w:w="3456"/>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Provision a simulated digital wallet initialized with $0.00 USD.</w:t>
            </w:r>
          </w:p>
        </w:tc>
        <w:tc>
          <w:tcPr>
            <w:tcW w:type="dxa" w:w="2160"/>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Automatic upon registration</w:t>
            </w:r>
          </w:p>
        </w:tc>
      </w:tr>
      <w:tr>
        <w:tc>
          <w:tcPr>
            <w:tcW w:type="dxa" w:w="115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FR-04</w:t>
            </w:r>
          </w:p>
        </w:tc>
        <w:tc>
          <w:tcPr>
            <w:tcW w:type="dxa" w:w="259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Simulated Funds Top-Up</w:t>
            </w:r>
          </w:p>
        </w:tc>
        <w:tc>
          <w:tcPr>
            <w:tcW w:type="dxa" w:w="3456"/>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Permit consumers to top up wallet balance with positive simulated funds.</w:t>
            </w:r>
          </w:p>
        </w:tc>
        <w:tc>
          <w:tcPr>
            <w:tcW w:type="dxa" w:w="2160"/>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POST /api/wallets/topup</w:t>
            </w:r>
          </w:p>
        </w:tc>
      </w:tr>
      <w:tr>
        <w:tc>
          <w:tcPr>
            <w:tcW w:type="dxa" w:w="115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FR-05</w:t>
            </w:r>
          </w:p>
        </w:tc>
        <w:tc>
          <w:tcPr>
            <w:tcW w:type="dxa" w:w="259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Merchant Onboarding</w:t>
            </w:r>
          </w:p>
        </w:tc>
        <w:tc>
          <w:tcPr>
            <w:tcW w:type="dxa" w:w="3456"/>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Enable merchants to register businesses and obtain 256-bit API keys.</w:t>
            </w:r>
          </w:p>
        </w:tc>
        <w:tc>
          <w:tcPr>
            <w:tcW w:type="dxa" w:w="2160"/>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POST /api/merchants/register</w:t>
            </w:r>
          </w:p>
        </w:tc>
      </w:tr>
      <w:tr>
        <w:tc>
          <w:tcPr>
            <w:tcW w:type="dxa" w:w="115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FR-06</w:t>
            </w:r>
          </w:p>
        </w:tc>
        <w:tc>
          <w:tcPr>
            <w:tcW w:type="dxa" w:w="259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Payment Initiation</w:t>
            </w:r>
          </w:p>
        </w:tc>
        <w:tc>
          <w:tcPr>
            <w:tcW w:type="dxa" w:w="3456"/>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Submit payment with target merchant ID, amount, order reference.</w:t>
            </w:r>
          </w:p>
        </w:tc>
        <w:tc>
          <w:tcPr>
            <w:tcW w:type="dxa" w:w="2160"/>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POST /api/payments/initiate</w:t>
            </w:r>
          </w:p>
        </w:tc>
      </w:tr>
      <w:tr>
        <w:tc>
          <w:tcPr>
            <w:tcW w:type="dxa" w:w="115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FR-07</w:t>
            </w:r>
          </w:p>
        </w:tc>
        <w:tc>
          <w:tcPr>
            <w:tcW w:type="dxa" w:w="259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Payment Confirmation</w:t>
            </w:r>
          </w:p>
        </w:tc>
        <w:tc>
          <w:tcPr>
            <w:tcW w:type="dxa" w:w="3456"/>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Atomically execute debit on customer and credit on merchant wallet.</w:t>
            </w:r>
          </w:p>
        </w:tc>
        <w:tc>
          <w:tcPr>
            <w:tcW w:type="dxa" w:w="2160"/>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Double-entry ledger commit</w:t>
            </w:r>
          </w:p>
        </w:tc>
      </w:tr>
      <w:tr>
        <w:tc>
          <w:tcPr>
            <w:tcW w:type="dxa" w:w="115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FR-08</w:t>
            </w:r>
          </w:p>
        </w:tc>
        <w:tc>
          <w:tcPr>
            <w:tcW w:type="dxa" w:w="259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Refund Processing</w:t>
            </w:r>
          </w:p>
        </w:tc>
        <w:tc>
          <w:tcPr>
            <w:tcW w:type="dxa" w:w="3456"/>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Reverse confirmed payments, restoring funds to customer balance.</w:t>
            </w:r>
          </w:p>
        </w:tc>
        <w:tc>
          <w:tcPr>
            <w:tcW w:type="dxa" w:w="2160"/>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POST /api/refunds</w:t>
            </w:r>
          </w:p>
        </w:tc>
      </w:tr>
      <w:tr>
        <w:tc>
          <w:tcPr>
            <w:tcW w:type="dxa" w:w="115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FR-09</w:t>
            </w:r>
          </w:p>
        </w:tc>
        <w:tc>
          <w:tcPr>
            <w:tcW w:type="dxa" w:w="259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Transaction History</w:t>
            </w:r>
          </w:p>
        </w:tc>
        <w:tc>
          <w:tcPr>
            <w:tcW w:type="dxa" w:w="3456"/>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Provide immutable, paginated ledger entries with tamper-evident hashes.</w:t>
            </w:r>
          </w:p>
        </w:tc>
        <w:tc>
          <w:tcPr>
            <w:tcW w:type="dxa" w:w="2160"/>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GET /api/transactions/my</w:t>
            </w:r>
          </w:p>
        </w:tc>
      </w:tr>
      <w:tr>
        <w:tc>
          <w:tcPr>
            <w:tcW w:type="dxa" w:w="115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FR-10</w:t>
            </w:r>
          </w:p>
        </w:tc>
        <w:tc>
          <w:tcPr>
            <w:tcW w:type="dxa" w:w="259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Administrative Audit</w:t>
            </w:r>
          </w:p>
        </w:tc>
        <w:tc>
          <w:tcPr>
            <w:tcW w:type="dxa" w:w="3456"/>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Provide compliance auditors with searchable forensic security event logs.</w:t>
            </w:r>
          </w:p>
        </w:tc>
        <w:tc>
          <w:tcPr>
            <w:tcW w:type="dxa" w:w="2160"/>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GET /api/admin/audit-logs</w:t>
            </w:r>
          </w:p>
        </w:tc>
      </w:tr>
    </w:tbl>
    <w:p>
      <w:pPr>
        <w:spacing w:after="120"/>
      </w:pPr>
    </w:p>
    <w:p>
      <w:pPr>
        <w:keepNext/>
        <w:spacing w:before="280" w:after="120"/>
      </w:pPr>
      <w:r>
        <w:rPr>
          <w:rFonts w:ascii="Calibri" w:hAnsi="Calibri"/>
          <w:b/>
          <w:color w:val="1F4E79"/>
          <w:sz w:val="26"/>
        </w:rPr>
        <w:t>2.3 Security Requirements (SR)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shd w:fill="17365D"/>
            <w:tcBorders>
              <w:top w:val="single" w:sz="4" w:space="0" w:color="17365D"/>
              <w:left w:val="none" w:sz="4" w:space="0" w:color="auto"/>
              <w:bottom w:val="single" w:sz="4" w:space="0" w:color="17365D"/>
              <w:right w:val="none" w:sz="4" w:space="0" w:color="auto"/>
            </w:tcBorders>
          </w:tcPr>
          <w:p>
            <w:pPr>
              <w:spacing w:before="80" w:after="80"/>
              <w:jc w:val="left"/>
            </w:pPr>
            <w:r>
              <w:rPr>
                <w:rFonts w:ascii="Calibri" w:hAnsi="Calibri"/>
                <w:b/>
                <w:color w:val="FFFFFF"/>
                <w:sz w:val="18"/>
              </w:rPr>
              <w:t>Sec ID</w:t>
            </w:r>
          </w:p>
        </w:tc>
        <w:tc>
          <w:tcPr>
            <w:tcW w:type="dxa" w:w="2592"/>
            <w:shd w:fill="17365D"/>
            <w:tcBorders>
              <w:top w:val="single" w:sz="4" w:space="0" w:color="17365D"/>
              <w:left w:val="none" w:sz="4" w:space="0" w:color="auto"/>
              <w:bottom w:val="single" w:sz="4" w:space="0" w:color="17365D"/>
              <w:right w:val="none" w:sz="4" w:space="0" w:color="auto"/>
            </w:tcBorders>
          </w:tcPr>
          <w:p>
            <w:pPr>
              <w:spacing w:before="80" w:after="80"/>
              <w:jc w:val="left"/>
            </w:pPr>
            <w:r>
              <w:rPr>
                <w:rFonts w:ascii="Calibri" w:hAnsi="Calibri"/>
                <w:b/>
                <w:color w:val="FFFFFF"/>
                <w:sz w:val="18"/>
              </w:rPr>
              <w:t>Security Principle</w:t>
            </w:r>
          </w:p>
        </w:tc>
        <w:tc>
          <w:tcPr>
            <w:tcW w:type="dxa" w:w="3456"/>
            <w:shd w:fill="17365D"/>
            <w:tcBorders>
              <w:top w:val="single" w:sz="4" w:space="0" w:color="17365D"/>
              <w:left w:val="none" w:sz="4" w:space="0" w:color="auto"/>
              <w:bottom w:val="single" w:sz="4" w:space="0" w:color="17365D"/>
              <w:right w:val="none" w:sz="4" w:space="0" w:color="auto"/>
            </w:tcBorders>
          </w:tcPr>
          <w:p>
            <w:pPr>
              <w:spacing w:before="80" w:after="80"/>
              <w:jc w:val="left"/>
            </w:pPr>
            <w:r>
              <w:rPr>
                <w:rFonts w:ascii="Calibri" w:hAnsi="Calibri"/>
                <w:b/>
                <w:color w:val="FFFFFF"/>
                <w:sz w:val="18"/>
              </w:rPr>
              <w:t>Enforcement Mechanism</w:t>
            </w:r>
          </w:p>
        </w:tc>
        <w:tc>
          <w:tcPr>
            <w:tcW w:type="dxa" w:w="2160"/>
            <w:shd w:fill="17365D"/>
            <w:tcBorders>
              <w:top w:val="single" w:sz="4" w:space="0" w:color="17365D"/>
              <w:left w:val="none" w:sz="4" w:space="0" w:color="auto"/>
              <w:bottom w:val="single" w:sz="4" w:space="0" w:color="17365D"/>
              <w:right w:val="none" w:sz="4" w:space="0" w:color="auto"/>
            </w:tcBorders>
          </w:tcPr>
          <w:p>
            <w:pPr>
              <w:spacing w:before="80" w:after="80"/>
              <w:jc w:val="left"/>
            </w:pPr>
            <w:r>
              <w:rPr>
                <w:rFonts w:ascii="Calibri" w:hAnsi="Calibri"/>
                <w:b/>
                <w:color w:val="FFFFFF"/>
                <w:sz w:val="18"/>
              </w:rPr>
              <w:t>Mitigated Threat</w:t>
            </w:r>
          </w:p>
        </w:tc>
      </w:tr>
      <w:tr>
        <w:tc>
          <w:tcPr>
            <w:tcW w:type="dxa" w:w="115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SR-01</w:t>
            </w:r>
          </w:p>
        </w:tc>
        <w:tc>
          <w:tcPr>
            <w:tcW w:type="dxa" w:w="259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Credential Confidentiality</w:t>
            </w:r>
          </w:p>
        </w:tc>
        <w:tc>
          <w:tcPr>
            <w:tcW w:type="dxa" w:w="3456"/>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BCrypt hashing (cost 12), zero plaintext password storage.</w:t>
            </w:r>
          </w:p>
        </w:tc>
        <w:tc>
          <w:tcPr>
            <w:tcW w:type="dxa" w:w="2160"/>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Database breach credential theft</w:t>
            </w:r>
          </w:p>
        </w:tc>
      </w:tr>
      <w:tr>
        <w:tc>
          <w:tcPr>
            <w:tcW w:type="dxa" w:w="115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SR-02</w:t>
            </w:r>
          </w:p>
        </w:tc>
        <w:tc>
          <w:tcPr>
            <w:tcW w:type="dxa" w:w="259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Stateless Session Integrity</w:t>
            </w:r>
          </w:p>
        </w:tc>
        <w:tc>
          <w:tcPr>
            <w:tcW w:type="dxa" w:w="3456"/>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Signed JWT tokens with expiry; Authorization header Bearer token.</w:t>
            </w:r>
          </w:p>
        </w:tc>
        <w:tc>
          <w:tcPr>
            <w:tcW w:type="dxa" w:w="2160"/>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Session hijacking / Replay</w:t>
            </w:r>
          </w:p>
        </w:tc>
      </w:tr>
      <w:tr>
        <w:tc>
          <w:tcPr>
            <w:tcW w:type="dxa" w:w="115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SR-03</w:t>
            </w:r>
          </w:p>
        </w:tc>
        <w:tc>
          <w:tcPr>
            <w:tcW w:type="dxa" w:w="259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Idempotency Enactment</w:t>
            </w:r>
          </w:p>
        </w:tc>
        <w:tc>
          <w:tcPr>
            <w:tcW w:type="dxa" w:w="3456"/>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Mandatory Idempotency-Key header; SHA-256 payload binding.</w:t>
            </w:r>
          </w:p>
        </w:tc>
        <w:tc>
          <w:tcPr>
            <w:tcW w:type="dxa" w:w="2160"/>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Duplicate debit / Network retry replay</w:t>
            </w:r>
          </w:p>
        </w:tc>
      </w:tr>
      <w:tr>
        <w:tc>
          <w:tcPr>
            <w:tcW w:type="dxa" w:w="115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SR-04</w:t>
            </w:r>
          </w:p>
        </w:tc>
        <w:tc>
          <w:tcPr>
            <w:tcW w:type="dxa" w:w="259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Race Condition Prevention</w:t>
            </w:r>
          </w:p>
        </w:tc>
        <w:tc>
          <w:tcPr>
            <w:tcW w:type="dxa" w:w="3456"/>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Pessimistic row locking (PESSIMISTIC_WRITE) on wallet records.</w:t>
            </w:r>
          </w:p>
        </w:tc>
        <w:tc>
          <w:tcPr>
            <w:tcW w:type="dxa" w:w="2160"/>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Concurrent overdraft / Double spending</w:t>
            </w:r>
          </w:p>
        </w:tc>
      </w:tr>
      <w:tr>
        <w:tc>
          <w:tcPr>
            <w:tcW w:type="dxa" w:w="115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SR-05</w:t>
            </w:r>
          </w:p>
        </w:tc>
        <w:tc>
          <w:tcPr>
            <w:tcW w:type="dxa" w:w="259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BOLA / IDOR Defense</w:t>
            </w:r>
          </w:p>
        </w:tc>
        <w:tc>
          <w:tcPr>
            <w:tcW w:type="dxa" w:w="3456"/>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Ownership validation preventing principal access to foreign wallets.</w:t>
            </w:r>
          </w:p>
        </w:tc>
        <w:tc>
          <w:tcPr>
            <w:tcW w:type="dxa" w:w="2160"/>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Broken Object Level Authorization</w:t>
            </w:r>
          </w:p>
        </w:tc>
      </w:tr>
      <w:tr>
        <w:tc>
          <w:tcPr>
            <w:tcW w:type="dxa" w:w="115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SR-06</w:t>
            </w:r>
          </w:p>
        </w:tc>
        <w:tc>
          <w:tcPr>
            <w:tcW w:type="dxa" w:w="259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State Transition Guard</w:t>
            </w:r>
          </w:p>
        </w:tc>
        <w:tc>
          <w:tcPr>
            <w:tcW w:type="dxa" w:w="3456"/>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Strict FSM: Only CONFIRMED payments can transition to REFUNDED.</w:t>
            </w:r>
          </w:p>
        </w:tc>
        <w:tc>
          <w:tcPr>
            <w:tcW w:type="dxa" w:w="2160"/>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Infinite refund loop / Fraudulent reversals</w:t>
            </w:r>
          </w:p>
        </w:tc>
      </w:tr>
      <w:tr>
        <w:tc>
          <w:tcPr>
            <w:tcW w:type="dxa" w:w="115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SR-07</w:t>
            </w:r>
          </w:p>
        </w:tc>
        <w:tc>
          <w:tcPr>
            <w:tcW w:type="dxa" w:w="259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Sensitive Data Scrubbing</w:t>
            </w:r>
          </w:p>
        </w:tc>
        <w:tc>
          <w:tcPr>
            <w:tcW w:type="dxa" w:w="3456"/>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Centralized regex redaction of PAN, CVV, and passwords in logs.</w:t>
            </w:r>
          </w:p>
        </w:tc>
        <w:tc>
          <w:tcPr>
            <w:tcW w:type="dxa" w:w="2160"/>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Log leakage / Forensic contamination</w:t>
            </w:r>
          </w:p>
        </w:tc>
      </w:tr>
      <w:tr>
        <w:tc>
          <w:tcPr>
            <w:tcW w:type="dxa" w:w="115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SR-08</w:t>
            </w:r>
          </w:p>
        </w:tc>
        <w:tc>
          <w:tcPr>
            <w:tcW w:type="dxa" w:w="259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Least Privilege Runtime</w:t>
            </w:r>
          </w:p>
        </w:tc>
        <w:tc>
          <w:tcPr>
            <w:tcW w:type="dxa" w:w="3456"/>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Docker non-root execution (UID 10001); dropped Linux capabilities.</w:t>
            </w:r>
          </w:p>
        </w:tc>
        <w:tc>
          <w:tcPr>
            <w:tcW w:type="dxa" w:w="2160"/>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Container breakout / Host takeover</w:t>
            </w:r>
          </w:p>
        </w:tc>
      </w:tr>
    </w:tbl>
    <w:p>
      <w:pPr>
        <w:spacing w:after="120"/>
      </w:pPr>
    </w:p>
    <w:p>
      <w:pPr>
        <w:keepNext/>
        <w:spacing w:before="360" w:after="160"/>
      </w:pPr>
      <w:r>
        <w:rPr>
          <w:rFonts w:ascii="Calibri" w:hAnsi="Calibri"/>
          <w:b/>
          <w:color w:val="17365D"/>
          <w:sz w:val="34"/>
        </w:rPr>
        <w:t>3. Requirements Analysis and UML (Phase 3)</w:t>
      </w:r>
    </w:p>
    <w:p>
      <w:pPr>
        <w:keepNext/>
        <w:spacing w:before="280" w:after="120"/>
      </w:pPr>
      <w:r>
        <w:rPr>
          <w:rFonts w:ascii="Calibri" w:hAnsi="Calibri"/>
          <w:b/>
          <w:color w:val="1F4E79"/>
          <w:sz w:val="26"/>
        </w:rPr>
        <w:t>3.1 System Context and Actor Hierarchy</w:t>
      </w:r>
    </w:p>
    <w:p>
      <w:pPr>
        <w:spacing w:before="0" w:after="120" w:line="276" w:lineRule="auto"/>
      </w:pPr>
      <w:r>
        <w:rPr>
          <w:rFonts w:ascii="Calibri" w:hAnsi="Calibri"/>
          <w:color w:val="172033"/>
          <w:sz w:val="20"/>
        </w:rPr>
        <w:t>The DWPG Simulator defines four primary human and systemic actors: (1) Consumer / Customer User who manages personal funds and initiates checkouts; (2) Registered Merchant who accepts payments and issues authorized refunds; (3) Compliance Auditor / Admin who inspects forensic logs and monitors security alerts; and (4) Adversary / Attacker attempting replay attacks, race conditions, and parameter tampering.</w:t>
      </w:r>
    </w:p>
    <w:p>
      <w:pPr>
        <w:keepNext/>
        <w:spacing w:before="160" w:after="60"/>
        <w:jc w:val="center"/>
      </w:pPr>
      <w:r>
        <w:drawing>
          <wp:inline xmlns:a="http://schemas.openxmlformats.org/drawingml/2006/main" xmlns:pic="http://schemas.openxmlformats.org/drawingml/2006/picture">
            <wp:extent cx="5669280" cy="2400327"/>
            <wp:docPr id="2" name="Picture 2"/>
            <wp:cNvGraphicFramePr>
              <a:graphicFrameLocks noChangeAspect="1"/>
            </wp:cNvGraphicFramePr>
            <a:graphic>
              <a:graphicData uri="http://schemas.openxmlformats.org/drawingml/2006/picture">
                <pic:pic>
                  <pic:nvPicPr>
                    <pic:cNvPr id="0" name="02_system_context.png"/>
                    <pic:cNvPicPr/>
                  </pic:nvPicPr>
                  <pic:blipFill>
                    <a:blip r:embed="rId12"/>
                    <a:stretch>
                      <a:fillRect/>
                    </a:stretch>
                  </pic:blipFill>
                  <pic:spPr>
                    <a:xfrm>
                      <a:off x="0" y="0"/>
                      <a:ext cx="5669280" cy="2400327"/>
                    </a:xfrm>
                    <a:prstGeom prst="rect"/>
                  </pic:spPr>
                </pic:pic>
              </a:graphicData>
            </a:graphic>
          </wp:inline>
        </w:drawing>
      </w:r>
    </w:p>
    <w:p>
      <w:pPr>
        <w:spacing w:before="40" w:after="200"/>
        <w:jc w:val="center"/>
      </w:pPr>
      <w:r>
        <w:rPr>
          <w:rFonts w:ascii="Calibri" w:hAnsi="Calibri"/>
          <w:b/>
          <w:color w:val="17365D"/>
          <w:sz w:val="18"/>
        </w:rPr>
        <w:t xml:space="preserve">Figure 2: DWPG System Context Architecture. </w:t>
      </w:r>
      <w:r>
        <w:rPr>
          <w:rFonts w:ascii="Calibri" w:hAnsi="Calibri"/>
          <w:i/>
          <w:color w:val="64748B"/>
          <w:sz w:val="18"/>
        </w:rPr>
        <w:t>Boundary context illustrating interaction between actors, REST API boundary, core business micro-modules, and isolated data tier (authored in Draw.io).</w:t>
      </w:r>
      <w:r>
        <w:rPr>
          <w:rFonts w:ascii="Calibri" w:hAnsi="Calibri"/>
          <w:b/>
          <w:color w:val="0F766E"/>
          <w:sz w:val="17"/>
        </w:rPr>
        <w:t xml:space="preserve"> [Phase 3: System Context]</w:t>
      </w:r>
    </w:p>
    <w:p>
      <w:pPr>
        <w:keepNext/>
        <w:spacing w:before="160" w:after="60"/>
        <w:jc w:val="center"/>
      </w:pPr>
      <w:r>
        <w:drawing>
          <wp:inline xmlns:a="http://schemas.openxmlformats.org/drawingml/2006/main" xmlns:pic="http://schemas.openxmlformats.org/drawingml/2006/picture">
            <wp:extent cx="5669280" cy="3063400"/>
            <wp:docPr id="3" name="Picture 3"/>
            <wp:cNvGraphicFramePr>
              <a:graphicFrameLocks noChangeAspect="1"/>
            </wp:cNvGraphicFramePr>
            <a:graphic>
              <a:graphicData uri="http://schemas.openxmlformats.org/drawingml/2006/picture">
                <pic:pic>
                  <pic:nvPicPr>
                    <pic:cNvPr id="0" name="03_use_case.png"/>
                    <pic:cNvPicPr/>
                  </pic:nvPicPr>
                  <pic:blipFill>
                    <a:blip r:embed="rId13"/>
                    <a:stretch>
                      <a:fillRect/>
                    </a:stretch>
                  </pic:blipFill>
                  <pic:spPr>
                    <a:xfrm>
                      <a:off x="0" y="0"/>
                      <a:ext cx="5669280" cy="3063400"/>
                    </a:xfrm>
                    <a:prstGeom prst="rect"/>
                  </pic:spPr>
                </pic:pic>
              </a:graphicData>
            </a:graphic>
          </wp:inline>
        </w:drawing>
      </w:r>
    </w:p>
    <w:p>
      <w:pPr>
        <w:spacing w:before="40" w:after="200"/>
        <w:jc w:val="center"/>
      </w:pPr>
      <w:r>
        <w:rPr>
          <w:rFonts w:ascii="Calibri" w:hAnsi="Calibri"/>
          <w:b/>
          <w:color w:val="17365D"/>
          <w:sz w:val="18"/>
        </w:rPr>
        <w:t xml:space="preserve">Figure 3: UML Use Case Diagram. </w:t>
      </w:r>
      <w:r>
        <w:rPr>
          <w:rFonts w:ascii="Calibri" w:hAnsi="Calibri"/>
          <w:i/>
          <w:color w:val="64748B"/>
          <w:sz w:val="18"/>
        </w:rPr>
        <w:t>Actor-to-use-case associations highlighting core functional cases and &lt;&lt;include&gt;&gt; security validation relationships (authored in Draw.io).</w:t>
      </w:r>
      <w:r>
        <w:rPr>
          <w:rFonts w:ascii="Calibri" w:hAnsi="Calibri"/>
          <w:b/>
          <w:color w:val="0F766E"/>
          <w:sz w:val="17"/>
        </w:rPr>
        <w:t xml:space="preserve"> [Phase 3: Use Case Model]</w:t>
      </w:r>
    </w:p>
    <w:p>
      <w:pPr>
        <w:keepNext/>
        <w:spacing w:before="280" w:after="120"/>
      </w:pPr>
      <w:r>
        <w:rPr>
          <w:rFonts w:ascii="Calibri" w:hAnsi="Calibri"/>
          <w:b/>
          <w:color w:val="1F4E79"/>
          <w:sz w:val="26"/>
        </w:rPr>
        <w:t>3.2 Analysis Model and Behavioral Sequence</w:t>
      </w:r>
    </w:p>
    <w:p>
      <w:pPr>
        <w:spacing w:before="0" w:after="120" w:line="276" w:lineRule="auto"/>
      </w:pPr>
      <w:r>
        <w:rPr>
          <w:rFonts w:ascii="Calibri" w:hAnsi="Calibri"/>
          <w:color w:val="172033"/>
          <w:sz w:val="20"/>
        </w:rPr>
        <w:t>The static analysis model categorizes software elements into Boundary, Control, and Entity stereotyping. Dynamic interactions are captured via detailed sequence diagrams modeling transactional atomicity, cryptographic authentication, wallet top-up, payment processing, refund reversal, and replay traps.</w:t>
      </w:r>
    </w:p>
    <w:p>
      <w:pPr>
        <w:keepNext/>
        <w:spacing w:before="160" w:after="60"/>
        <w:jc w:val="center"/>
      </w:pPr>
      <w:r>
        <w:drawing>
          <wp:inline xmlns:a="http://schemas.openxmlformats.org/drawingml/2006/main" xmlns:pic="http://schemas.openxmlformats.org/drawingml/2006/picture">
            <wp:extent cx="5669280" cy="2110785"/>
            <wp:docPr id="4" name="Picture 4"/>
            <wp:cNvGraphicFramePr>
              <a:graphicFrameLocks noChangeAspect="1"/>
            </wp:cNvGraphicFramePr>
            <a:graphic>
              <a:graphicData uri="http://schemas.openxmlformats.org/drawingml/2006/picture">
                <pic:pic>
                  <pic:nvPicPr>
                    <pic:cNvPr id="0" name="04_analysis_model.png"/>
                    <pic:cNvPicPr/>
                  </pic:nvPicPr>
                  <pic:blipFill>
                    <a:blip r:embed="rId14"/>
                    <a:stretch>
                      <a:fillRect/>
                    </a:stretch>
                  </pic:blipFill>
                  <pic:spPr>
                    <a:xfrm>
                      <a:off x="0" y="0"/>
                      <a:ext cx="5669280" cy="2110785"/>
                    </a:xfrm>
                    <a:prstGeom prst="rect"/>
                  </pic:spPr>
                </pic:pic>
              </a:graphicData>
            </a:graphic>
          </wp:inline>
        </w:drawing>
      </w:r>
    </w:p>
    <w:p>
      <w:pPr>
        <w:spacing w:before="40" w:after="200"/>
        <w:jc w:val="center"/>
      </w:pPr>
      <w:r>
        <w:rPr>
          <w:rFonts w:ascii="Calibri" w:hAnsi="Calibri"/>
          <w:b/>
          <w:color w:val="17365D"/>
          <w:sz w:val="18"/>
        </w:rPr>
        <w:t xml:space="preserve">Figure 4: Robustness Analysis Model. </w:t>
      </w:r>
      <w:r>
        <w:rPr>
          <w:rFonts w:ascii="Calibri" w:hAnsi="Calibri"/>
          <w:i/>
          <w:color w:val="64748B"/>
          <w:sz w:val="18"/>
        </w:rPr>
        <w:t>BCE (Boundary-Control-Entity) decomposition of the payment checkout and dispute subsystems (authored in Draw.io).</w:t>
      </w:r>
      <w:r>
        <w:rPr>
          <w:rFonts w:ascii="Calibri" w:hAnsi="Calibri"/>
          <w:b/>
          <w:color w:val="0F766E"/>
          <w:sz w:val="17"/>
        </w:rPr>
        <w:t xml:space="preserve"> [Phase 3: Analysis Model]</w:t>
      </w:r>
    </w:p>
    <w:p>
      <w:pPr>
        <w:keepNext/>
        <w:spacing w:before="160" w:after="60"/>
        <w:jc w:val="center"/>
      </w:pPr>
      <w:r>
        <w:drawing>
          <wp:inline xmlns:a="http://schemas.openxmlformats.org/drawingml/2006/main" xmlns:pic="http://schemas.openxmlformats.org/drawingml/2006/picture">
            <wp:extent cx="5669280" cy="2130677"/>
            <wp:docPr id="5" name="Picture 5"/>
            <wp:cNvGraphicFramePr>
              <a:graphicFrameLocks noChangeAspect="1"/>
            </wp:cNvGraphicFramePr>
            <a:graphic>
              <a:graphicData uri="http://schemas.openxmlformats.org/drawingml/2006/picture">
                <pic:pic>
                  <pic:nvPicPr>
                    <pic:cNvPr id="0" name="12_auth_sequence.png"/>
                    <pic:cNvPicPr/>
                  </pic:nvPicPr>
                  <pic:blipFill>
                    <a:blip r:embed="rId15"/>
                    <a:stretch>
                      <a:fillRect/>
                    </a:stretch>
                  </pic:blipFill>
                  <pic:spPr>
                    <a:xfrm>
                      <a:off x="0" y="0"/>
                      <a:ext cx="5669280" cy="2130677"/>
                    </a:xfrm>
                    <a:prstGeom prst="rect"/>
                  </pic:spPr>
                </pic:pic>
              </a:graphicData>
            </a:graphic>
          </wp:inline>
        </w:drawing>
      </w:r>
    </w:p>
    <w:p>
      <w:pPr>
        <w:spacing w:before="40" w:after="200"/>
        <w:jc w:val="center"/>
      </w:pPr>
      <w:r>
        <w:rPr>
          <w:rFonts w:ascii="Calibri" w:hAnsi="Calibri"/>
          <w:b/>
          <w:color w:val="17365D"/>
          <w:sz w:val="18"/>
        </w:rPr>
        <w:t xml:space="preserve">Figure 5: UML Sequence Diagram: JWT Authentication &amp; RBAC. </w:t>
      </w:r>
      <w:r>
        <w:rPr>
          <w:rFonts w:ascii="Calibri" w:hAnsi="Calibri"/>
          <w:i/>
          <w:color w:val="64748B"/>
          <w:sz w:val="18"/>
        </w:rPr>
        <w:t>Step-by-step authentication protocol including BCrypt verification, JWT token minting, and Bearer token filter validation (authored in Draw.io).</w:t>
      </w:r>
      <w:r>
        <w:rPr>
          <w:rFonts w:ascii="Calibri" w:hAnsi="Calibri"/>
          <w:b/>
          <w:color w:val="0F766E"/>
          <w:sz w:val="17"/>
        </w:rPr>
        <w:t xml:space="preserve"> [Phase 3: Auth Sequence]</w:t>
      </w:r>
    </w:p>
    <w:p>
      <w:pPr>
        <w:keepNext/>
        <w:spacing w:before="160" w:after="60"/>
        <w:jc w:val="center"/>
      </w:pPr>
      <w:r>
        <w:drawing>
          <wp:inline xmlns:a="http://schemas.openxmlformats.org/drawingml/2006/main" xmlns:pic="http://schemas.openxmlformats.org/drawingml/2006/picture">
            <wp:extent cx="5669280" cy="2130677"/>
            <wp:docPr id="6" name="Picture 6"/>
            <wp:cNvGraphicFramePr>
              <a:graphicFrameLocks noChangeAspect="1"/>
            </wp:cNvGraphicFramePr>
            <a:graphic>
              <a:graphicData uri="http://schemas.openxmlformats.org/drawingml/2006/picture">
                <pic:pic>
                  <pic:nvPicPr>
                    <pic:cNvPr id="0" name="13_wallet_funding_sequence.png"/>
                    <pic:cNvPicPr/>
                  </pic:nvPicPr>
                  <pic:blipFill>
                    <a:blip r:embed="rId16"/>
                    <a:stretch>
                      <a:fillRect/>
                    </a:stretch>
                  </pic:blipFill>
                  <pic:spPr>
                    <a:xfrm>
                      <a:off x="0" y="0"/>
                      <a:ext cx="5669280" cy="2130677"/>
                    </a:xfrm>
                    <a:prstGeom prst="rect"/>
                  </pic:spPr>
                </pic:pic>
              </a:graphicData>
            </a:graphic>
          </wp:inline>
        </w:drawing>
      </w:r>
    </w:p>
    <w:p>
      <w:pPr>
        <w:spacing w:before="40" w:after="200"/>
        <w:jc w:val="center"/>
      </w:pPr>
      <w:r>
        <w:rPr>
          <w:rFonts w:ascii="Calibri" w:hAnsi="Calibri"/>
          <w:b/>
          <w:color w:val="17365D"/>
          <w:sz w:val="18"/>
        </w:rPr>
        <w:t xml:space="preserve">Figure 6: UML Sequence Diagram: Wallet Provisioning &amp; Funds Top-Up. </w:t>
      </w:r>
      <w:r>
        <w:rPr>
          <w:rFonts w:ascii="Calibri" w:hAnsi="Calibri"/>
          <w:i/>
          <w:color w:val="64748B"/>
          <w:sz w:val="18"/>
        </w:rPr>
        <w:t>Step-by-step sequence of simulated wallet funding, pessimistic balance locking, and transaction logging (authored in Draw.io).</w:t>
      </w:r>
      <w:r>
        <w:rPr>
          <w:rFonts w:ascii="Calibri" w:hAnsi="Calibri"/>
          <w:b/>
          <w:color w:val="0F766E"/>
          <w:sz w:val="17"/>
        </w:rPr>
        <w:t xml:space="preserve"> [Phase 3: Wallet Sequence]</w:t>
      </w:r>
    </w:p>
    <w:p>
      <w:pPr>
        <w:keepNext/>
        <w:spacing w:before="160" w:after="60"/>
        <w:jc w:val="center"/>
      </w:pPr>
      <w:r>
        <w:drawing>
          <wp:inline xmlns:a="http://schemas.openxmlformats.org/drawingml/2006/main" xmlns:pic="http://schemas.openxmlformats.org/drawingml/2006/picture">
            <wp:extent cx="5669280" cy="2130677"/>
            <wp:docPr id="7" name="Picture 7"/>
            <wp:cNvGraphicFramePr>
              <a:graphicFrameLocks noChangeAspect="1"/>
            </wp:cNvGraphicFramePr>
            <a:graphic>
              <a:graphicData uri="http://schemas.openxmlformats.org/drawingml/2006/picture">
                <pic:pic>
                  <pic:nvPicPr>
                    <pic:cNvPr id="0" name="14_payment_sequence.png"/>
                    <pic:cNvPicPr/>
                  </pic:nvPicPr>
                  <pic:blipFill>
                    <a:blip r:embed="rId17"/>
                    <a:stretch>
                      <a:fillRect/>
                    </a:stretch>
                  </pic:blipFill>
                  <pic:spPr>
                    <a:xfrm>
                      <a:off x="0" y="0"/>
                      <a:ext cx="5669280" cy="2130677"/>
                    </a:xfrm>
                    <a:prstGeom prst="rect"/>
                  </pic:spPr>
                </pic:pic>
              </a:graphicData>
            </a:graphic>
          </wp:inline>
        </w:drawing>
      </w:r>
    </w:p>
    <w:p>
      <w:pPr>
        <w:spacing w:before="40" w:after="200"/>
        <w:jc w:val="center"/>
      </w:pPr>
      <w:r>
        <w:rPr>
          <w:rFonts w:ascii="Calibri" w:hAnsi="Calibri"/>
          <w:b/>
          <w:color w:val="17365D"/>
          <w:sz w:val="18"/>
        </w:rPr>
        <w:t xml:space="preserve">Figure 7: UML Sequence Diagram: Idempotent Payment Settlement. </w:t>
      </w:r>
      <w:r>
        <w:rPr>
          <w:rFonts w:ascii="Calibri" w:hAnsi="Calibri"/>
          <w:i/>
          <w:color w:val="64748B"/>
          <w:sz w:val="18"/>
        </w:rPr>
        <w:t>Chronological interaction between Customer, PaymentController, IdempotencyService, WalletService, and MariaDB showing row locking and commit boundaries (authored in Draw.io).</w:t>
      </w:r>
      <w:r>
        <w:rPr>
          <w:rFonts w:ascii="Calibri" w:hAnsi="Calibri"/>
          <w:b/>
          <w:color w:val="0F766E"/>
          <w:sz w:val="17"/>
        </w:rPr>
        <w:t xml:space="preserve"> [Phase 3: Payment Sequence]</w:t>
      </w:r>
    </w:p>
    <w:p>
      <w:pPr>
        <w:keepNext/>
        <w:spacing w:before="160" w:after="60"/>
        <w:jc w:val="center"/>
      </w:pPr>
      <w:r>
        <w:drawing>
          <wp:inline xmlns:a="http://schemas.openxmlformats.org/drawingml/2006/main" xmlns:pic="http://schemas.openxmlformats.org/drawingml/2006/picture">
            <wp:extent cx="5669280" cy="2130677"/>
            <wp:docPr id="8" name="Picture 8"/>
            <wp:cNvGraphicFramePr>
              <a:graphicFrameLocks noChangeAspect="1"/>
            </wp:cNvGraphicFramePr>
            <a:graphic>
              <a:graphicData uri="http://schemas.openxmlformats.org/drawingml/2006/picture">
                <pic:pic>
                  <pic:nvPicPr>
                    <pic:cNvPr id="0" name="15_refund_sequence.png"/>
                    <pic:cNvPicPr/>
                  </pic:nvPicPr>
                  <pic:blipFill>
                    <a:blip r:embed="rId18"/>
                    <a:stretch>
                      <a:fillRect/>
                    </a:stretch>
                  </pic:blipFill>
                  <pic:spPr>
                    <a:xfrm>
                      <a:off x="0" y="0"/>
                      <a:ext cx="5669280" cy="2130677"/>
                    </a:xfrm>
                    <a:prstGeom prst="rect"/>
                  </pic:spPr>
                </pic:pic>
              </a:graphicData>
            </a:graphic>
          </wp:inline>
        </w:drawing>
      </w:r>
    </w:p>
    <w:p>
      <w:pPr>
        <w:spacing w:before="40" w:after="200"/>
        <w:jc w:val="center"/>
      </w:pPr>
      <w:r>
        <w:rPr>
          <w:rFonts w:ascii="Calibri" w:hAnsi="Calibri"/>
          <w:b/>
          <w:color w:val="17365D"/>
          <w:sz w:val="18"/>
        </w:rPr>
        <w:t xml:space="preserve">Figure 8: UML Sequence Diagram: Authorized Payment Refund &amp; Reversal. </w:t>
      </w:r>
      <w:r>
        <w:rPr>
          <w:rFonts w:ascii="Calibri" w:hAnsi="Calibri"/>
          <w:i/>
          <w:color w:val="64748B"/>
          <w:sz w:val="18"/>
        </w:rPr>
        <w:t>State machine transition from CONFIRMED to REFUNDED, atomic wallet balance reversal, and refund audit ledger entry (authored in Draw.io).</w:t>
      </w:r>
      <w:r>
        <w:rPr>
          <w:rFonts w:ascii="Calibri" w:hAnsi="Calibri"/>
          <w:b/>
          <w:color w:val="0F766E"/>
          <w:sz w:val="17"/>
        </w:rPr>
        <w:t xml:space="preserve"> [Phase 3: Refund Sequence]</w:t>
      </w:r>
    </w:p>
    <w:p>
      <w:pPr>
        <w:keepNext/>
        <w:spacing w:before="160" w:after="60"/>
        <w:jc w:val="center"/>
      </w:pPr>
      <w:r>
        <w:drawing>
          <wp:inline xmlns:a="http://schemas.openxmlformats.org/drawingml/2006/main" xmlns:pic="http://schemas.openxmlformats.org/drawingml/2006/picture">
            <wp:extent cx="5669280" cy="2307496"/>
            <wp:docPr id="9" name="Picture 9"/>
            <wp:cNvGraphicFramePr>
              <a:graphicFrameLocks noChangeAspect="1"/>
            </wp:cNvGraphicFramePr>
            <a:graphic>
              <a:graphicData uri="http://schemas.openxmlformats.org/drawingml/2006/picture">
                <pic:pic>
                  <pic:nvPicPr>
                    <pic:cNvPr id="0" name="16_replay_idempotency_sequence.png"/>
                    <pic:cNvPicPr/>
                  </pic:nvPicPr>
                  <pic:blipFill>
                    <a:blip r:embed="rId19"/>
                    <a:stretch>
                      <a:fillRect/>
                    </a:stretch>
                  </pic:blipFill>
                  <pic:spPr>
                    <a:xfrm>
                      <a:off x="0" y="0"/>
                      <a:ext cx="5669280" cy="2307496"/>
                    </a:xfrm>
                    <a:prstGeom prst="rect"/>
                  </pic:spPr>
                </pic:pic>
              </a:graphicData>
            </a:graphic>
          </wp:inline>
        </w:drawing>
      </w:r>
    </w:p>
    <w:p>
      <w:pPr>
        <w:spacing w:before="40" w:after="200"/>
        <w:jc w:val="center"/>
      </w:pPr>
      <w:r>
        <w:rPr>
          <w:rFonts w:ascii="Calibri" w:hAnsi="Calibri"/>
          <w:b/>
          <w:color w:val="17365D"/>
          <w:sz w:val="18"/>
        </w:rPr>
        <w:t xml:space="preserve">Figure 9: UML Sequence Diagram: Idempotency Cache &amp; Replay Trap Defense. </w:t>
      </w:r>
      <w:r>
        <w:rPr>
          <w:rFonts w:ascii="Calibri" w:hAnsi="Calibri"/>
          <w:i/>
          <w:color w:val="64748B"/>
          <w:sz w:val="18"/>
        </w:rPr>
        <w:t>Dual-scenario sequence modeling: Scenario 1 (identical replay served from cache without extra debit) and Scenario 2 (tampered payload returning HTTP 409 Conflict) (authored in Draw.io).</w:t>
      </w:r>
      <w:r>
        <w:rPr>
          <w:rFonts w:ascii="Calibri" w:hAnsi="Calibri"/>
          <w:b/>
          <w:color w:val="0F766E"/>
          <w:sz w:val="17"/>
        </w:rPr>
        <w:t xml:space="preserve"> [Phase 3: Replay Defense Sequence]</w:t>
      </w:r>
    </w:p>
    <w:p>
      <w:pPr>
        <w:keepNext/>
        <w:spacing w:before="360" w:after="160"/>
      </w:pPr>
      <w:r>
        <w:rPr>
          <w:rFonts w:ascii="Calibri" w:hAnsi="Calibri"/>
          <w:b/>
          <w:color w:val="17365D"/>
          <w:sz w:val="34"/>
        </w:rPr>
        <w:t>4. Data and Information Flow Modeling (Phase 4)</w:t>
      </w:r>
    </w:p>
    <w:p>
      <w:pPr>
        <w:keepNext/>
        <w:spacing w:before="280" w:after="120"/>
      </w:pPr>
      <w:r>
        <w:rPr>
          <w:rFonts w:ascii="Calibri" w:hAnsi="Calibri"/>
          <w:b/>
          <w:color w:val="1F4E79"/>
          <w:sz w:val="26"/>
        </w:rPr>
        <w:t>4.1 Entity Relationship Diagram (ERD)</w:t>
      </w:r>
    </w:p>
    <w:p>
      <w:pPr>
        <w:spacing w:before="0" w:after="120" w:line="276" w:lineRule="auto"/>
      </w:pPr>
      <w:r>
        <w:rPr>
          <w:rFonts w:ascii="Calibri" w:hAnsi="Calibri"/>
          <w:color w:val="172033"/>
          <w:sz w:val="20"/>
        </w:rPr>
        <w:t>The database architecture enforces strict third normal form (3NF) principles across 8 relational tables. Crucially, the schema enforces database-level check constraints (e.g. balance &gt;= 0.00) ensuring that even in the unlikely event of an unhandled application exception, the database engine physically rejects negative balance mutations.</w:t>
      </w:r>
    </w:p>
    <w:p>
      <w:pPr>
        <w:keepNext/>
        <w:spacing w:before="160" w:after="60"/>
        <w:jc w:val="center"/>
      </w:pPr>
      <w:r>
        <w:drawing>
          <wp:inline xmlns:a="http://schemas.openxmlformats.org/drawingml/2006/main" xmlns:pic="http://schemas.openxmlformats.org/drawingml/2006/picture">
            <wp:extent cx="5669280" cy="1956067"/>
            <wp:docPr id="10" name="Picture 10"/>
            <wp:cNvGraphicFramePr>
              <a:graphicFrameLocks noChangeAspect="1"/>
            </wp:cNvGraphicFramePr>
            <a:graphic>
              <a:graphicData uri="http://schemas.openxmlformats.org/drawingml/2006/picture">
                <pic:pic>
                  <pic:nvPicPr>
                    <pic:cNvPr id="0" name="05_erd.png"/>
                    <pic:cNvPicPr/>
                  </pic:nvPicPr>
                  <pic:blipFill>
                    <a:blip r:embed="rId20"/>
                    <a:stretch>
                      <a:fillRect/>
                    </a:stretch>
                  </pic:blipFill>
                  <pic:spPr>
                    <a:xfrm>
                      <a:off x="0" y="0"/>
                      <a:ext cx="5669280" cy="1956067"/>
                    </a:xfrm>
                    <a:prstGeom prst="rect"/>
                  </pic:spPr>
                </pic:pic>
              </a:graphicData>
            </a:graphic>
          </wp:inline>
        </w:drawing>
      </w:r>
    </w:p>
    <w:p>
      <w:pPr>
        <w:spacing w:before="40" w:after="200"/>
        <w:jc w:val="center"/>
      </w:pPr>
      <w:r>
        <w:rPr>
          <w:rFonts w:ascii="Calibri" w:hAnsi="Calibri"/>
          <w:b/>
          <w:color w:val="17365D"/>
          <w:sz w:val="18"/>
        </w:rPr>
        <w:t xml:space="preserve">Figure 10: Entity Relationship Diagram (ERD). </w:t>
      </w:r>
      <w:r>
        <w:rPr>
          <w:rFonts w:ascii="Calibri" w:hAnsi="Calibri"/>
          <w:i/>
          <w:color w:val="64748B"/>
          <w:sz w:val="18"/>
        </w:rPr>
        <w:t>3NF Relational schema illustrating User, Wallet, Merchant, Payment, Refund, Transaction, AuditLog, and IdempotencyRecord entities (authored in Draw.io).</w:t>
      </w:r>
      <w:r>
        <w:rPr>
          <w:rFonts w:ascii="Calibri" w:hAnsi="Calibri"/>
          <w:b/>
          <w:color w:val="0F766E"/>
          <w:sz w:val="17"/>
        </w:rPr>
        <w:t xml:space="preserve"> [Phase 4: Data Modeling]</w:t>
      </w:r>
    </w:p>
    <w:p>
      <w:pPr>
        <w:keepNext/>
        <w:spacing w:before="280" w:after="120"/>
      </w:pPr>
      <w:r>
        <w:rPr>
          <w:rFonts w:ascii="Calibri" w:hAnsi="Calibri"/>
          <w:b/>
          <w:color w:val="1F4E79"/>
          <w:sz w:val="26"/>
        </w:rPr>
        <w:t>4.2 Data Flow Diagrams (DFD Level 0 &amp; Level 1)</w:t>
      </w:r>
    </w:p>
    <w:p>
      <w:pPr>
        <w:spacing w:before="0" w:after="120" w:line="276" w:lineRule="auto"/>
      </w:pPr>
      <w:r>
        <w:rPr>
          <w:rFonts w:ascii="Calibri" w:hAnsi="Calibri"/>
          <w:color w:val="172033"/>
          <w:sz w:val="20"/>
        </w:rPr>
        <w:t>Data flow modeling tracks the lifecycle of sensitive financial information as it crosses trust boundaries from external HTTPS clients into core transactional engines and storage subsystems.</w:t>
      </w:r>
    </w:p>
    <w:p>
      <w:pPr>
        <w:keepNext/>
        <w:spacing w:before="160" w:after="60"/>
        <w:jc w:val="center"/>
      </w:pPr>
      <w:r>
        <w:drawing>
          <wp:inline xmlns:a="http://schemas.openxmlformats.org/drawingml/2006/main" xmlns:pic="http://schemas.openxmlformats.org/drawingml/2006/picture">
            <wp:extent cx="5669280" cy="2398116"/>
            <wp:docPr id="11" name="Picture 11"/>
            <wp:cNvGraphicFramePr>
              <a:graphicFrameLocks noChangeAspect="1"/>
            </wp:cNvGraphicFramePr>
            <a:graphic>
              <a:graphicData uri="http://schemas.openxmlformats.org/drawingml/2006/picture">
                <pic:pic>
                  <pic:nvPicPr>
                    <pic:cNvPr id="0" name="06_dfd_level0.png"/>
                    <pic:cNvPicPr/>
                  </pic:nvPicPr>
                  <pic:blipFill>
                    <a:blip r:embed="rId21"/>
                    <a:stretch>
                      <a:fillRect/>
                    </a:stretch>
                  </pic:blipFill>
                  <pic:spPr>
                    <a:xfrm>
                      <a:off x="0" y="0"/>
                      <a:ext cx="5669280" cy="2398116"/>
                    </a:xfrm>
                    <a:prstGeom prst="rect"/>
                  </pic:spPr>
                </pic:pic>
              </a:graphicData>
            </a:graphic>
          </wp:inline>
        </w:drawing>
      </w:r>
    </w:p>
    <w:p>
      <w:pPr>
        <w:spacing w:before="40" w:after="200"/>
        <w:jc w:val="center"/>
      </w:pPr>
      <w:r>
        <w:rPr>
          <w:rFonts w:ascii="Calibri" w:hAnsi="Calibri"/>
          <w:b/>
          <w:color w:val="17365D"/>
          <w:sz w:val="18"/>
        </w:rPr>
        <w:t xml:space="preserve">Figure 11: DFD Level 0: System Context Data Flow. </w:t>
      </w:r>
      <w:r>
        <w:rPr>
          <w:rFonts w:ascii="Calibri" w:hAnsi="Calibri"/>
          <w:i/>
          <w:color w:val="64748B"/>
          <w:sz w:val="18"/>
        </w:rPr>
        <w:t>High-level process flow showing principal inputs, transactional mutations, and external data storage sinks (authored in Draw.io).</w:t>
      </w:r>
      <w:r>
        <w:rPr>
          <w:rFonts w:ascii="Calibri" w:hAnsi="Calibri"/>
          <w:b/>
          <w:color w:val="0F766E"/>
          <w:sz w:val="17"/>
        </w:rPr>
        <w:t xml:space="preserve"> [Phase 4: DFD Level 0]</w:t>
      </w:r>
    </w:p>
    <w:p>
      <w:pPr>
        <w:keepNext/>
        <w:spacing w:before="160" w:after="60"/>
        <w:jc w:val="center"/>
      </w:pPr>
      <w:r>
        <w:drawing>
          <wp:inline xmlns:a="http://schemas.openxmlformats.org/drawingml/2006/main" xmlns:pic="http://schemas.openxmlformats.org/drawingml/2006/picture">
            <wp:extent cx="5669280" cy="2221297"/>
            <wp:docPr id="12" name="Picture 12"/>
            <wp:cNvGraphicFramePr>
              <a:graphicFrameLocks noChangeAspect="1"/>
            </wp:cNvGraphicFramePr>
            <a:graphic>
              <a:graphicData uri="http://schemas.openxmlformats.org/drawingml/2006/picture">
                <pic:pic>
                  <pic:nvPicPr>
                    <pic:cNvPr id="0" name="07_dfd_level1.png"/>
                    <pic:cNvPicPr/>
                  </pic:nvPicPr>
                  <pic:blipFill>
                    <a:blip r:embed="rId22"/>
                    <a:stretch>
                      <a:fillRect/>
                    </a:stretch>
                  </pic:blipFill>
                  <pic:spPr>
                    <a:xfrm>
                      <a:off x="0" y="0"/>
                      <a:ext cx="5669280" cy="2221297"/>
                    </a:xfrm>
                    <a:prstGeom prst="rect"/>
                  </pic:spPr>
                </pic:pic>
              </a:graphicData>
            </a:graphic>
          </wp:inline>
        </w:drawing>
      </w:r>
    </w:p>
    <w:p>
      <w:pPr>
        <w:spacing w:before="40" w:after="200"/>
        <w:jc w:val="center"/>
      </w:pPr>
      <w:r>
        <w:rPr>
          <w:rFonts w:ascii="Calibri" w:hAnsi="Calibri"/>
          <w:b/>
          <w:color w:val="17365D"/>
          <w:sz w:val="18"/>
        </w:rPr>
        <w:t xml:space="preserve">Figure 12: DFD Level 1: Subsystem Data Flow Decomposition. </w:t>
      </w:r>
      <w:r>
        <w:rPr>
          <w:rFonts w:ascii="Calibri" w:hAnsi="Calibri"/>
          <w:i/>
          <w:color w:val="64748B"/>
          <w:sz w:val="18"/>
        </w:rPr>
        <w:t>Decomposition into Auth Process (1.0), Wallet Operations (2.0), Payment Engine (3.0), Refund Engine (4.0), and Audit SIEM Sink (5.0) (authored in Draw.io).</w:t>
      </w:r>
      <w:r>
        <w:rPr>
          <w:rFonts w:ascii="Calibri" w:hAnsi="Calibri"/>
          <w:b/>
          <w:color w:val="0F766E"/>
          <w:sz w:val="17"/>
        </w:rPr>
        <w:t xml:space="preserve"> [Phase 4: DFD Level 1]</w:t>
      </w:r>
    </w:p>
    <w:p>
      <w:pPr>
        <w:keepNext/>
        <w:spacing w:before="160" w:after="60"/>
        <w:jc w:val="center"/>
      </w:pPr>
      <w:r>
        <w:drawing>
          <wp:inline xmlns:a="http://schemas.openxmlformats.org/drawingml/2006/main" xmlns:pic="http://schemas.openxmlformats.org/drawingml/2006/picture">
            <wp:extent cx="5669280" cy="2222641"/>
            <wp:docPr id="13" name="Picture 13"/>
            <wp:cNvGraphicFramePr>
              <a:graphicFrameLocks noChangeAspect="1"/>
            </wp:cNvGraphicFramePr>
            <a:graphic>
              <a:graphicData uri="http://schemas.openxmlformats.org/drawingml/2006/picture">
                <pic:pic>
                  <pic:nvPicPr>
                    <pic:cNvPr id="0" name="08_trust_boundary.png"/>
                    <pic:cNvPicPr/>
                  </pic:nvPicPr>
                  <pic:blipFill>
                    <a:blip r:embed="rId23"/>
                    <a:stretch>
                      <a:fillRect/>
                    </a:stretch>
                  </pic:blipFill>
                  <pic:spPr>
                    <a:xfrm>
                      <a:off x="0" y="0"/>
                      <a:ext cx="5669280" cy="2222641"/>
                    </a:xfrm>
                    <a:prstGeom prst="rect"/>
                  </pic:spPr>
                </pic:pic>
              </a:graphicData>
            </a:graphic>
          </wp:inline>
        </w:drawing>
      </w:r>
    </w:p>
    <w:p>
      <w:pPr>
        <w:spacing w:before="40" w:after="200"/>
        <w:jc w:val="center"/>
      </w:pPr>
      <w:r>
        <w:rPr>
          <w:rFonts w:ascii="Calibri" w:hAnsi="Calibri"/>
          <w:b/>
          <w:color w:val="17365D"/>
          <w:sz w:val="18"/>
        </w:rPr>
        <w:t xml:space="preserve">Figure 13: Trust Boundary and Data Flow Security Perimeter. </w:t>
      </w:r>
      <w:r>
        <w:rPr>
          <w:rFonts w:ascii="Calibri" w:hAnsi="Calibri"/>
          <w:i/>
          <w:color w:val="64748B"/>
          <w:sz w:val="18"/>
        </w:rPr>
        <w:t>Demarcation between Untrusted Client Network, DMZ Ingress Gateway, Protected Internal Microservices, and Secure Persistence Vault (authored in Draw.io).</w:t>
      </w:r>
      <w:r>
        <w:rPr>
          <w:rFonts w:ascii="Calibri" w:hAnsi="Calibri"/>
          <w:b/>
          <w:color w:val="0F766E"/>
          <w:sz w:val="17"/>
        </w:rPr>
        <w:t xml:space="preserve"> [Phase 4: Trust Perimeter]</w:t>
      </w:r>
    </w:p>
    <w:p>
      <w:pPr>
        <w:keepNext/>
        <w:spacing w:before="360" w:after="160"/>
      </w:pPr>
      <w:r>
        <w:rPr>
          <w:rFonts w:ascii="Calibri" w:hAnsi="Calibri"/>
          <w:b/>
          <w:color w:val="17365D"/>
          <w:sz w:val="34"/>
        </w:rPr>
        <w:t>5. Software Architecture and Design Engineering (Phase 5)</w:t>
      </w:r>
    </w:p>
    <w:p>
      <w:pPr>
        <w:keepNext/>
        <w:spacing w:before="280" w:after="120"/>
      </w:pPr>
      <w:r>
        <w:rPr>
          <w:rFonts w:ascii="Calibri" w:hAnsi="Calibri"/>
          <w:b/>
          <w:color w:val="1F4E79"/>
          <w:sz w:val="26"/>
        </w:rPr>
        <w:t>5.1 Architectural Patterns</w:t>
      </w:r>
    </w:p>
    <w:p>
      <w:pPr>
        <w:spacing w:before="0" w:after="120" w:line="276" w:lineRule="auto"/>
      </w:pPr>
      <w:r>
        <w:rPr>
          <w:rFonts w:ascii="Calibri" w:hAnsi="Calibri"/>
          <w:color w:val="172033"/>
          <w:sz w:val="20"/>
        </w:rPr>
        <w:t>The DWPG Simulator employs a layered architectural style combined with hexagonal (ports and adapters) principles. The presentation tier (React SPA) connects over a secure REST API gateway to Spring Boot microservices. High cohesion and low coupling are maintained across the Controller, Service, and Repository layers.</w:t>
      </w:r>
    </w:p>
    <w:p>
      <w:pPr>
        <w:keepNext/>
        <w:spacing w:before="160" w:after="60"/>
        <w:jc w:val="center"/>
      </w:pPr>
      <w:r>
        <w:drawing>
          <wp:inline xmlns:a="http://schemas.openxmlformats.org/drawingml/2006/main" xmlns:pic="http://schemas.openxmlformats.org/drawingml/2006/picture">
            <wp:extent cx="5669280" cy="2221297"/>
            <wp:docPr id="14" name="Picture 14"/>
            <wp:cNvGraphicFramePr>
              <a:graphicFrameLocks noChangeAspect="1"/>
            </wp:cNvGraphicFramePr>
            <a:graphic>
              <a:graphicData uri="http://schemas.openxmlformats.org/drawingml/2006/picture">
                <pic:pic>
                  <pic:nvPicPr>
                    <pic:cNvPr id="0" name="09_architecture.png"/>
                    <pic:cNvPicPr/>
                  </pic:nvPicPr>
                  <pic:blipFill>
                    <a:blip r:embed="rId24"/>
                    <a:stretch>
                      <a:fillRect/>
                    </a:stretch>
                  </pic:blipFill>
                  <pic:spPr>
                    <a:xfrm>
                      <a:off x="0" y="0"/>
                      <a:ext cx="5669280" cy="2221297"/>
                    </a:xfrm>
                    <a:prstGeom prst="rect"/>
                  </pic:spPr>
                </pic:pic>
              </a:graphicData>
            </a:graphic>
          </wp:inline>
        </w:drawing>
      </w:r>
    </w:p>
    <w:p>
      <w:pPr>
        <w:spacing w:before="40" w:after="200"/>
        <w:jc w:val="center"/>
      </w:pPr>
      <w:r>
        <w:rPr>
          <w:rFonts w:ascii="Calibri" w:hAnsi="Calibri"/>
          <w:b/>
          <w:color w:val="17365D"/>
          <w:sz w:val="18"/>
        </w:rPr>
        <w:t xml:space="preserve">Figure 14: Layered Software Architecture. </w:t>
      </w:r>
      <w:r>
        <w:rPr>
          <w:rFonts w:ascii="Calibri" w:hAnsi="Calibri"/>
          <w:i/>
          <w:color w:val="64748B"/>
          <w:sz w:val="18"/>
        </w:rPr>
        <w:t>Tiered representation of Frontend Presentation, Security Filter Chain, Business Domain Services, and Data Access Persistence (authored in Draw.io).</w:t>
      </w:r>
      <w:r>
        <w:rPr>
          <w:rFonts w:ascii="Calibri" w:hAnsi="Calibri"/>
          <w:b/>
          <w:color w:val="0F766E"/>
          <w:sz w:val="17"/>
        </w:rPr>
        <w:t xml:space="preserve"> [Phase 5: Architecture]</w:t>
      </w:r>
    </w:p>
    <w:p>
      <w:pPr>
        <w:keepNext/>
        <w:spacing w:before="160" w:after="60"/>
        <w:jc w:val="center"/>
      </w:pPr>
      <w:r>
        <w:drawing>
          <wp:inline xmlns:a="http://schemas.openxmlformats.org/drawingml/2006/main" xmlns:pic="http://schemas.openxmlformats.org/drawingml/2006/picture">
            <wp:extent cx="5669280" cy="2177092"/>
            <wp:docPr id="15" name="Picture 15"/>
            <wp:cNvGraphicFramePr>
              <a:graphicFrameLocks noChangeAspect="1"/>
            </wp:cNvGraphicFramePr>
            <a:graphic>
              <a:graphicData uri="http://schemas.openxmlformats.org/drawingml/2006/picture">
                <pic:pic>
                  <pic:nvPicPr>
                    <pic:cNvPr id="0" name="10_component.png"/>
                    <pic:cNvPicPr/>
                  </pic:nvPicPr>
                  <pic:blipFill>
                    <a:blip r:embed="rId25"/>
                    <a:stretch>
                      <a:fillRect/>
                    </a:stretch>
                  </pic:blipFill>
                  <pic:spPr>
                    <a:xfrm>
                      <a:off x="0" y="0"/>
                      <a:ext cx="5669280" cy="2177092"/>
                    </a:xfrm>
                    <a:prstGeom prst="rect"/>
                  </pic:spPr>
                </pic:pic>
              </a:graphicData>
            </a:graphic>
          </wp:inline>
        </w:drawing>
      </w:r>
    </w:p>
    <w:p>
      <w:pPr>
        <w:spacing w:before="40" w:after="200"/>
        <w:jc w:val="center"/>
      </w:pPr>
      <w:r>
        <w:rPr>
          <w:rFonts w:ascii="Calibri" w:hAnsi="Calibri"/>
          <w:b/>
          <w:color w:val="17365D"/>
          <w:sz w:val="18"/>
        </w:rPr>
        <w:t xml:space="preserve">Figure 15: UML Component Diagram. </w:t>
      </w:r>
      <w:r>
        <w:rPr>
          <w:rFonts w:ascii="Calibri" w:hAnsi="Calibri"/>
          <w:i/>
          <w:color w:val="64748B"/>
          <w:sz w:val="18"/>
        </w:rPr>
        <w:t>Component interfaces and dependency injection bindings connecting controllers, security utilities, and persistence repositories (authored in Draw.io).</w:t>
      </w:r>
      <w:r>
        <w:rPr>
          <w:rFonts w:ascii="Calibri" w:hAnsi="Calibri"/>
          <w:b/>
          <w:color w:val="0F766E"/>
          <w:sz w:val="17"/>
        </w:rPr>
        <w:t xml:space="preserve"> [Phase 5: Component Design]</w:t>
      </w:r>
    </w:p>
    <w:p>
      <w:pPr>
        <w:keepNext/>
        <w:spacing w:before="160" w:after="60"/>
        <w:jc w:val="center"/>
      </w:pPr>
      <w:r>
        <w:drawing>
          <wp:inline xmlns:a="http://schemas.openxmlformats.org/drawingml/2006/main" xmlns:pic="http://schemas.openxmlformats.org/drawingml/2006/picture">
            <wp:extent cx="5669280" cy="2400327"/>
            <wp:docPr id="16" name="Picture 16"/>
            <wp:cNvGraphicFramePr>
              <a:graphicFrameLocks noChangeAspect="1"/>
            </wp:cNvGraphicFramePr>
            <a:graphic>
              <a:graphicData uri="http://schemas.openxmlformats.org/drawingml/2006/picture">
                <pic:pic>
                  <pic:nvPicPr>
                    <pic:cNvPr id="0" name="11_deployment.png"/>
                    <pic:cNvPicPr/>
                  </pic:nvPicPr>
                  <pic:blipFill>
                    <a:blip r:embed="rId26"/>
                    <a:stretch>
                      <a:fillRect/>
                    </a:stretch>
                  </pic:blipFill>
                  <pic:spPr>
                    <a:xfrm>
                      <a:off x="0" y="0"/>
                      <a:ext cx="5669280" cy="2400327"/>
                    </a:xfrm>
                    <a:prstGeom prst="rect"/>
                  </pic:spPr>
                </pic:pic>
              </a:graphicData>
            </a:graphic>
          </wp:inline>
        </w:drawing>
      </w:r>
    </w:p>
    <w:p>
      <w:pPr>
        <w:spacing w:before="40" w:after="200"/>
        <w:jc w:val="center"/>
      </w:pPr>
      <w:r>
        <w:rPr>
          <w:rFonts w:ascii="Calibri" w:hAnsi="Calibri"/>
          <w:b/>
          <w:color w:val="17365D"/>
          <w:sz w:val="18"/>
        </w:rPr>
        <w:t xml:space="preserve">Figure 16: Physical Deployment Architecture. </w:t>
      </w:r>
      <w:r>
        <w:rPr>
          <w:rFonts w:ascii="Calibri" w:hAnsi="Calibri"/>
          <w:i/>
          <w:color w:val="64748B"/>
          <w:sz w:val="18"/>
        </w:rPr>
        <w:t>Multi-tier container deployment across Kubernetes Pods, ClusterIP services, MariaDB PVC storage, and Minikube NodePort ingress (authored in Draw.io).</w:t>
      </w:r>
      <w:r>
        <w:rPr>
          <w:rFonts w:ascii="Calibri" w:hAnsi="Calibri"/>
          <w:b/>
          <w:color w:val="0F766E"/>
          <w:sz w:val="17"/>
        </w:rPr>
        <w:t xml:space="preserve"> [Phase 5: Deployment]</w:t>
      </w:r>
    </w:p>
    <w:p>
      <w:pPr>
        <w:keepNext/>
        <w:spacing w:before="360" w:after="160"/>
      </w:pPr>
      <w:r>
        <w:rPr>
          <w:rFonts w:ascii="Calibri" w:hAnsi="Calibri"/>
          <w:b/>
          <w:color w:val="17365D"/>
          <w:sz w:val="34"/>
        </w:rPr>
        <w:t>6. Threat Modeling and Security Analysis (Phase 7)</w:t>
      </w:r>
    </w:p>
    <w:p>
      <w:pPr>
        <w:keepNext/>
        <w:spacing w:before="280" w:after="120"/>
      </w:pPr>
      <w:r>
        <w:rPr>
          <w:rFonts w:ascii="Calibri" w:hAnsi="Calibri"/>
          <w:b/>
          <w:color w:val="1F4E79"/>
          <w:sz w:val="26"/>
        </w:rPr>
        <w:t>6.1 Asset Identification &amp; CIA Triad</w:t>
      </w:r>
    </w:p>
    <w:p>
      <w:pPr>
        <w:spacing w:before="0" w:after="120" w:line="276" w:lineRule="auto"/>
      </w:pPr>
      <w:r>
        <w:rPr>
          <w:rFonts w:ascii="Calibri" w:hAnsi="Calibri"/>
          <w:color w:val="172033"/>
          <w:sz w:val="20"/>
        </w:rPr>
        <w:t>Core assets identified in the DWPG ecosystem include: (1) Wallet Balances (Integrity &amp; Confidentiality); (2) User &amp; Merchant Authentication Credentials (Confidentiality &amp; Integrity); (3) Transaction Ledger Records (Integrity &amp; Non-Repudiation); (4) Idempotency Token Records (Integrity &amp; Availability); and (5) Administrative Forensic Audit Trails (Integrity &amp; Confidentiality).</w:t>
      </w:r>
    </w:p>
    <w:p>
      <w:pPr>
        <w:keepNext/>
        <w:spacing w:before="280" w:after="120"/>
      </w:pPr>
      <w:r>
        <w:rPr>
          <w:rFonts w:ascii="Calibri" w:hAnsi="Calibri"/>
          <w:b/>
          <w:color w:val="1F4E79"/>
          <w:sz w:val="26"/>
        </w:rPr>
        <w:t>6.2 STRIDE Threat Classification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fill="17365D"/>
            <w:tcBorders>
              <w:top w:val="single" w:sz="4" w:space="0" w:color="17365D"/>
              <w:left w:val="none" w:sz="4" w:space="0" w:color="auto"/>
              <w:bottom w:val="single" w:sz="4" w:space="0" w:color="17365D"/>
              <w:right w:val="none" w:sz="4" w:space="0" w:color="auto"/>
            </w:tcBorders>
          </w:tcPr>
          <w:p>
            <w:pPr>
              <w:spacing w:before="80" w:after="80"/>
              <w:jc w:val="left"/>
            </w:pPr>
            <w:r>
              <w:rPr>
                <w:rFonts w:ascii="Calibri" w:hAnsi="Calibri"/>
                <w:b/>
                <w:color w:val="FFFFFF"/>
                <w:sz w:val="18"/>
              </w:rPr>
              <w:t>STRIDE Category</w:t>
            </w:r>
          </w:p>
        </w:tc>
        <w:tc>
          <w:tcPr>
            <w:tcW w:type="dxa" w:w="2880"/>
            <w:shd w:fill="17365D"/>
            <w:tcBorders>
              <w:top w:val="single" w:sz="4" w:space="0" w:color="17365D"/>
              <w:left w:val="none" w:sz="4" w:space="0" w:color="auto"/>
              <w:bottom w:val="single" w:sz="4" w:space="0" w:color="17365D"/>
              <w:right w:val="none" w:sz="4" w:space="0" w:color="auto"/>
            </w:tcBorders>
          </w:tcPr>
          <w:p>
            <w:pPr>
              <w:spacing w:before="80" w:after="80"/>
              <w:jc w:val="left"/>
            </w:pPr>
            <w:r>
              <w:rPr>
                <w:rFonts w:ascii="Calibri" w:hAnsi="Calibri"/>
                <w:b/>
                <w:color w:val="FFFFFF"/>
                <w:sz w:val="18"/>
              </w:rPr>
              <w:t>Identified Threat Vector</w:t>
            </w:r>
          </w:p>
        </w:tc>
        <w:tc>
          <w:tcPr>
            <w:tcW w:type="dxa" w:w="2016"/>
            <w:shd w:fill="17365D"/>
            <w:tcBorders>
              <w:top w:val="single" w:sz="4" w:space="0" w:color="17365D"/>
              <w:left w:val="none" w:sz="4" w:space="0" w:color="auto"/>
              <w:bottom w:val="single" w:sz="4" w:space="0" w:color="17365D"/>
              <w:right w:val="none" w:sz="4" w:space="0" w:color="auto"/>
            </w:tcBorders>
          </w:tcPr>
          <w:p>
            <w:pPr>
              <w:spacing w:before="80" w:after="80"/>
              <w:jc w:val="left"/>
            </w:pPr>
            <w:r>
              <w:rPr>
                <w:rFonts w:ascii="Calibri" w:hAnsi="Calibri"/>
                <w:b/>
                <w:color w:val="FFFFFF"/>
                <w:sz w:val="18"/>
              </w:rPr>
              <w:t>Impacted Component</w:t>
            </w:r>
          </w:p>
        </w:tc>
        <w:tc>
          <w:tcPr>
            <w:tcW w:type="dxa" w:w="2448"/>
            <w:shd w:fill="17365D"/>
            <w:tcBorders>
              <w:top w:val="single" w:sz="4" w:space="0" w:color="17365D"/>
              <w:left w:val="none" w:sz="4" w:space="0" w:color="auto"/>
              <w:bottom w:val="single" w:sz="4" w:space="0" w:color="17365D"/>
              <w:right w:val="none" w:sz="4" w:space="0" w:color="auto"/>
            </w:tcBorders>
          </w:tcPr>
          <w:p>
            <w:pPr>
              <w:spacing w:before="80" w:after="80"/>
              <w:jc w:val="left"/>
            </w:pPr>
            <w:r>
              <w:rPr>
                <w:rFonts w:ascii="Calibri" w:hAnsi="Calibri"/>
                <w:b/>
                <w:color w:val="FFFFFF"/>
                <w:sz w:val="18"/>
              </w:rPr>
              <w:t>Implemented Countermeasure</w:t>
            </w:r>
          </w:p>
        </w:tc>
      </w:tr>
      <w:tr>
        <w:tc>
          <w:tcPr>
            <w:tcW w:type="dxa" w:w="2016"/>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Spoofing</w:t>
            </w:r>
          </w:p>
        </w:tc>
        <w:tc>
          <w:tcPr>
            <w:tcW w:type="dxa" w:w="2880"/>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Adversary impersonates customer via stolen credentials</w:t>
            </w:r>
          </w:p>
        </w:tc>
        <w:tc>
          <w:tcPr>
            <w:tcW w:type="dxa" w:w="2016"/>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AuthController / JWT Filter</w:t>
            </w:r>
          </w:p>
        </w:tc>
        <w:tc>
          <w:tcPr>
            <w:tcW w:type="dxa" w:w="2448"/>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BCrypt hashing (cost 12), ephemeral JWT with expiration.</w:t>
            </w:r>
          </w:p>
        </w:tc>
      </w:tr>
      <w:tr>
        <w:tc>
          <w:tcPr>
            <w:tcW w:type="dxa" w:w="2016"/>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Tampering</w:t>
            </w:r>
          </w:p>
        </w:tc>
        <w:tc>
          <w:tcPr>
            <w:tcW w:type="dxa" w:w="2880"/>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Adversary alters transaction amount or merchant ID in transit</w:t>
            </w:r>
          </w:p>
        </w:tc>
        <w:tc>
          <w:tcPr>
            <w:tcW w:type="dxa" w:w="2016"/>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PaymentController</w:t>
            </w:r>
          </w:p>
        </w:tc>
        <w:tc>
          <w:tcPr>
            <w:tcW w:type="dxa" w:w="2448"/>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SHA-256 payload digest binding; HTTPS transport encryption.</w:t>
            </w:r>
          </w:p>
        </w:tc>
      </w:tr>
      <w:tr>
        <w:tc>
          <w:tcPr>
            <w:tcW w:type="dxa" w:w="2016"/>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Repudiation</w:t>
            </w:r>
          </w:p>
        </w:tc>
        <w:tc>
          <w:tcPr>
            <w:tcW w:type="dxa" w:w="2880"/>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Merchant or user denies initiating a payment or refund</w:t>
            </w:r>
          </w:p>
        </w:tc>
        <w:tc>
          <w:tcPr>
            <w:tcW w:type="dxa" w:w="2016"/>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TransactionRepository</w:t>
            </w:r>
          </w:p>
        </w:tc>
        <w:tc>
          <w:tcPr>
            <w:tcW w:type="dxa" w:w="2448"/>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Cryptographically hashed audit records &amp; immutable ledger.</w:t>
            </w:r>
          </w:p>
        </w:tc>
      </w:tr>
      <w:tr>
        <w:tc>
          <w:tcPr>
            <w:tcW w:type="dxa" w:w="2016"/>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Information Disclosure</w:t>
            </w:r>
          </w:p>
        </w:tc>
        <w:tc>
          <w:tcPr>
            <w:tcW w:type="dxa" w:w="2880"/>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Cross-tenant query exposes foreign wallet balance (BOLA)</w:t>
            </w:r>
          </w:p>
        </w:tc>
        <w:tc>
          <w:tcPr>
            <w:tcW w:type="dxa" w:w="2016"/>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WalletController</w:t>
            </w:r>
          </w:p>
        </w:tc>
        <w:tc>
          <w:tcPr>
            <w:tcW w:type="dxa" w:w="2448"/>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Ownership authorization assertions on all principal queries.</w:t>
            </w:r>
          </w:p>
        </w:tc>
      </w:tr>
      <w:tr>
        <w:tc>
          <w:tcPr>
            <w:tcW w:type="dxa" w:w="2016"/>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Denial of Service</w:t>
            </w:r>
          </w:p>
        </w:tc>
        <w:tc>
          <w:tcPr>
            <w:tcW w:type="dxa" w:w="2880"/>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Massive parallel payment spam exhausting DB pool</w:t>
            </w:r>
          </w:p>
        </w:tc>
        <w:tc>
          <w:tcPr>
            <w:tcW w:type="dxa" w:w="2016"/>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Tomcat Thread Pool</w:t>
            </w:r>
          </w:p>
        </w:tc>
        <w:tc>
          <w:tcPr>
            <w:tcW w:type="dxa" w:w="2448"/>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HikariCP connection limits, idempotency cache fast-fail.</w:t>
            </w:r>
          </w:p>
        </w:tc>
      </w:tr>
      <w:tr>
        <w:tc>
          <w:tcPr>
            <w:tcW w:type="dxa" w:w="2016"/>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Elevation of Privilege</w:t>
            </w:r>
          </w:p>
        </w:tc>
        <w:tc>
          <w:tcPr>
            <w:tcW w:type="dxa" w:w="2880"/>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Standard consumer attempts calling admin audit endpoint</w:t>
            </w:r>
          </w:p>
        </w:tc>
        <w:tc>
          <w:tcPr>
            <w:tcW w:type="dxa" w:w="2016"/>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AdminController</w:t>
            </w:r>
          </w:p>
        </w:tc>
        <w:tc>
          <w:tcPr>
            <w:tcW w:type="dxa" w:w="2448"/>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Spring Security @PreAuthorize("hasRole('ADMIN')") enforcement.</w:t>
            </w:r>
          </w:p>
        </w:tc>
      </w:tr>
    </w:tbl>
    <w:p>
      <w:pPr>
        <w:spacing w:after="120"/>
      </w:pPr>
    </w:p>
    <w:p>
      <w:pPr>
        <w:keepNext/>
        <w:spacing w:before="160" w:after="60"/>
        <w:jc w:val="center"/>
      </w:pPr>
      <w:r>
        <w:drawing>
          <wp:inline xmlns:a="http://schemas.openxmlformats.org/drawingml/2006/main" xmlns:pic="http://schemas.openxmlformats.org/drawingml/2006/picture">
            <wp:extent cx="5669280" cy="2309707"/>
            <wp:docPr id="17" name="Picture 17"/>
            <wp:cNvGraphicFramePr>
              <a:graphicFrameLocks noChangeAspect="1"/>
            </wp:cNvGraphicFramePr>
            <a:graphic>
              <a:graphicData uri="http://schemas.openxmlformats.org/drawingml/2006/picture">
                <pic:pic>
                  <pic:nvPicPr>
                    <pic:cNvPr id="0" name="17_stride_threat_model.png"/>
                    <pic:cNvPicPr/>
                  </pic:nvPicPr>
                  <pic:blipFill>
                    <a:blip r:embed="rId27"/>
                    <a:stretch>
                      <a:fillRect/>
                    </a:stretch>
                  </pic:blipFill>
                  <pic:spPr>
                    <a:xfrm>
                      <a:off x="0" y="0"/>
                      <a:ext cx="5669280" cy="2309707"/>
                    </a:xfrm>
                    <a:prstGeom prst="rect"/>
                  </pic:spPr>
                </pic:pic>
              </a:graphicData>
            </a:graphic>
          </wp:inline>
        </w:drawing>
      </w:r>
    </w:p>
    <w:p>
      <w:pPr>
        <w:spacing w:before="40" w:after="200"/>
        <w:jc w:val="center"/>
      </w:pPr>
      <w:r>
        <w:rPr>
          <w:rFonts w:ascii="Calibri" w:hAnsi="Calibri"/>
          <w:b/>
          <w:color w:val="17365D"/>
          <w:sz w:val="18"/>
        </w:rPr>
        <w:t xml:space="preserve">Figure 17: STRIDE Threat Matrix and Mitigation Model. </w:t>
      </w:r>
      <w:r>
        <w:rPr>
          <w:rFonts w:ascii="Calibri" w:hAnsi="Calibri"/>
          <w:i/>
          <w:color w:val="64748B"/>
          <w:sz w:val="18"/>
        </w:rPr>
        <w:t>Systematic mapping of threat categories to architectural defense controls and security verification gates (authored in Draw.io).</w:t>
      </w:r>
      <w:r>
        <w:rPr>
          <w:rFonts w:ascii="Calibri" w:hAnsi="Calibri"/>
          <w:b/>
          <w:color w:val="0F766E"/>
          <w:sz w:val="17"/>
        </w:rPr>
        <w:t xml:space="preserve"> [Phase 7: Threat Modeling]</w:t>
      </w:r>
    </w:p>
    <w:p>
      <w:pPr>
        <w:keepNext/>
        <w:spacing w:before="360" w:after="160"/>
      </w:pPr>
      <w:r>
        <w:rPr>
          <w:rFonts w:ascii="Calibri" w:hAnsi="Calibri"/>
          <w:b/>
          <w:color w:val="17365D"/>
          <w:sz w:val="34"/>
        </w:rPr>
        <w:t>7. Attack Tree Analysis (Phase 8)</w:t>
      </w:r>
    </w:p>
    <w:p>
      <w:pPr>
        <w:keepNext/>
        <w:spacing w:before="280" w:after="120"/>
      </w:pPr>
      <w:r>
        <w:rPr>
          <w:rFonts w:ascii="Calibri" w:hAnsi="Calibri"/>
          <w:b/>
          <w:color w:val="1F4E79"/>
          <w:sz w:val="26"/>
        </w:rPr>
        <w:t>7.1 Selected Attacker Goal: Double Spending &amp; Balance Theft</w:t>
      </w:r>
    </w:p>
    <w:p>
      <w:pPr>
        <w:spacing w:before="0" w:after="120" w:line="276" w:lineRule="auto"/>
      </w:pPr>
      <w:r>
        <w:rPr>
          <w:rFonts w:ascii="Calibri" w:hAnsi="Calibri"/>
          <w:color w:val="172033"/>
          <w:sz w:val="20"/>
        </w:rPr>
        <w:t>The primary objective of a financial adversary targeting the gateway is to execute Double Spending—spending identical wallet funds multiple times before balances synchronize, or forcing balance inversions below zero.</w:t>
      </w:r>
    </w:p>
    <w:p>
      <w:pPr>
        <w:keepNext/>
        <w:spacing w:before="160" w:after="60"/>
        <w:jc w:val="center"/>
      </w:pPr>
      <w:r>
        <w:drawing>
          <wp:inline xmlns:a="http://schemas.openxmlformats.org/drawingml/2006/main" xmlns:pic="http://schemas.openxmlformats.org/drawingml/2006/picture">
            <wp:extent cx="5669280" cy="1956067"/>
            <wp:docPr id="18" name="Picture 18"/>
            <wp:cNvGraphicFramePr>
              <a:graphicFrameLocks noChangeAspect="1"/>
            </wp:cNvGraphicFramePr>
            <a:graphic>
              <a:graphicData uri="http://schemas.openxmlformats.org/drawingml/2006/picture">
                <pic:pic>
                  <pic:nvPicPr>
                    <pic:cNvPr id="0" name="18_attack_tree.png"/>
                    <pic:cNvPicPr/>
                  </pic:nvPicPr>
                  <pic:blipFill>
                    <a:blip r:embed="rId28"/>
                    <a:stretch>
                      <a:fillRect/>
                    </a:stretch>
                  </pic:blipFill>
                  <pic:spPr>
                    <a:xfrm>
                      <a:off x="0" y="0"/>
                      <a:ext cx="5669280" cy="1956067"/>
                    </a:xfrm>
                    <a:prstGeom prst="rect"/>
                  </pic:spPr>
                </pic:pic>
              </a:graphicData>
            </a:graphic>
          </wp:inline>
        </w:drawing>
      </w:r>
    </w:p>
    <w:p>
      <w:pPr>
        <w:spacing w:before="40" w:after="200"/>
        <w:jc w:val="center"/>
      </w:pPr>
      <w:r>
        <w:rPr>
          <w:rFonts w:ascii="Calibri" w:hAnsi="Calibri"/>
          <w:b/>
          <w:color w:val="17365D"/>
          <w:sz w:val="18"/>
        </w:rPr>
        <w:t xml:space="preserve">Figure 18: Attack Tree Decomposition: Double Spending &amp; Gateway Tampering. </w:t>
      </w:r>
      <w:r>
        <w:rPr>
          <w:rFonts w:ascii="Calibri" w:hAnsi="Calibri"/>
          <w:i/>
          <w:color w:val="64748B"/>
          <w:sz w:val="18"/>
        </w:rPr>
        <w:t>Hierarchical attack paths detailing race condition exploitation, replay interception, parameter tampering, and mitigation barriers (authored in Draw.io).</w:t>
      </w:r>
      <w:r>
        <w:rPr>
          <w:rFonts w:ascii="Calibri" w:hAnsi="Calibri"/>
          <w:b/>
          <w:color w:val="0F766E"/>
          <w:sz w:val="17"/>
        </w:rPr>
        <w:t xml:space="preserve"> [Phase 8: Attack Tree]</w:t>
      </w:r>
    </w:p>
    <w:p>
      <w:pPr>
        <w:keepNext/>
        <w:spacing w:before="160" w:after="60"/>
        <w:jc w:val="center"/>
      </w:pPr>
      <w:r>
        <w:drawing>
          <wp:inline xmlns:a="http://schemas.openxmlformats.org/drawingml/2006/main" xmlns:pic="http://schemas.openxmlformats.org/drawingml/2006/picture">
            <wp:extent cx="5669280" cy="2177092"/>
            <wp:docPr id="19" name="Picture 19"/>
            <wp:cNvGraphicFramePr>
              <a:graphicFrameLocks noChangeAspect="1"/>
            </wp:cNvGraphicFramePr>
            <a:graphic>
              <a:graphicData uri="http://schemas.openxmlformats.org/drawingml/2006/picture">
                <pic:pic>
                  <pic:nvPicPr>
                    <pic:cNvPr id="0" name="19_security_architecture.png"/>
                    <pic:cNvPicPr/>
                  </pic:nvPicPr>
                  <pic:blipFill>
                    <a:blip r:embed="rId29"/>
                    <a:stretch>
                      <a:fillRect/>
                    </a:stretch>
                  </pic:blipFill>
                  <pic:spPr>
                    <a:xfrm>
                      <a:off x="0" y="0"/>
                      <a:ext cx="5669280" cy="2177092"/>
                    </a:xfrm>
                    <a:prstGeom prst="rect"/>
                  </pic:spPr>
                </pic:pic>
              </a:graphicData>
            </a:graphic>
          </wp:inline>
        </w:drawing>
      </w:r>
    </w:p>
    <w:p>
      <w:pPr>
        <w:spacing w:before="40" w:after="200"/>
        <w:jc w:val="center"/>
      </w:pPr>
      <w:r>
        <w:rPr>
          <w:rFonts w:ascii="Calibri" w:hAnsi="Calibri"/>
          <w:b/>
          <w:color w:val="17365D"/>
          <w:sz w:val="18"/>
        </w:rPr>
        <w:t xml:space="preserve">Figure 19: Refined Security Architecture &amp; Defense Layers. </w:t>
      </w:r>
      <w:r>
        <w:rPr>
          <w:rFonts w:ascii="Calibri" w:hAnsi="Calibri"/>
          <w:i/>
          <w:color w:val="64748B"/>
          <w:sz w:val="18"/>
        </w:rPr>
        <w:t>Layered defensive barriers: Ingress WAF -&gt; JWT Auth -&gt; Idempotency Cache -&gt; Pessimistic DB Lock -&gt; SIEM Logger (authored in Draw.io).</w:t>
      </w:r>
      <w:r>
        <w:rPr>
          <w:rFonts w:ascii="Calibri" w:hAnsi="Calibri"/>
          <w:b/>
          <w:color w:val="0F766E"/>
          <w:sz w:val="17"/>
        </w:rPr>
        <w:t xml:space="preserve"> [Phase 8: Security Architecture]</w:t>
      </w:r>
    </w:p>
    <w:p>
      <w:pPr>
        <w:keepNext/>
        <w:spacing w:before="360" w:after="160"/>
      </w:pPr>
      <w:r>
        <w:rPr>
          <w:rFonts w:ascii="Calibri" w:hAnsi="Calibri"/>
          <w:b/>
          <w:color w:val="17365D"/>
          <w:sz w:val="34"/>
        </w:rPr>
        <w:t>8. User Interface Design and Evidence (Phase 6)</w:t>
      </w:r>
    </w:p>
    <w:p>
      <w:pPr>
        <w:keepNext/>
        <w:spacing w:before="280" w:after="120"/>
      </w:pPr>
      <w:r>
        <w:rPr>
          <w:rFonts w:ascii="Calibri" w:hAnsi="Calibri"/>
          <w:b/>
          <w:color w:val="1F4E79"/>
          <w:sz w:val="26"/>
        </w:rPr>
        <w:t>8.1 UI Ergonomics and Security Feedback</w:t>
      </w:r>
    </w:p>
    <w:p>
      <w:pPr>
        <w:spacing w:before="0" w:after="120" w:line="276" w:lineRule="auto"/>
      </w:pPr>
      <w:r>
        <w:rPr>
          <w:rFonts w:ascii="Calibri" w:hAnsi="Calibri"/>
          <w:color w:val="172033"/>
          <w:sz w:val="20"/>
        </w:rPr>
        <w:t>The frontend application was developed using React 18 and Vite. In accordance with secure UI design principles, the user interface provides real-time security banners, visual cryptographic pills displaying SHA-256 tamper hashes, live latency telemetry, and explicit adversarial attack simulation toggles.</w:t>
      </w:r>
    </w:p>
    <w:p>
      <w:pPr>
        <w:keepNext/>
        <w:spacing w:before="160" w:after="60"/>
        <w:jc w:val="center"/>
      </w:pPr>
      <w:r>
        <w:drawing>
          <wp:inline xmlns:a="http://schemas.openxmlformats.org/drawingml/2006/main" xmlns:pic="http://schemas.openxmlformats.org/drawingml/2006/picture">
            <wp:extent cx="5486400" cy="3413938"/>
            <wp:docPr id="20" name="Picture 20"/>
            <wp:cNvGraphicFramePr>
              <a:graphicFrameLocks noChangeAspect="1"/>
            </wp:cNvGraphicFramePr>
            <a:graphic>
              <a:graphicData uri="http://schemas.openxmlformats.org/drawingml/2006/picture">
                <pic:pic>
                  <pic:nvPicPr>
                    <pic:cNvPr id="0" name="UI-01_user_registration.png"/>
                    <pic:cNvPicPr/>
                  </pic:nvPicPr>
                  <pic:blipFill>
                    <a:blip r:embed="rId30"/>
                    <a:stretch>
                      <a:fillRect/>
                    </a:stretch>
                  </pic:blipFill>
                  <pic:spPr>
                    <a:xfrm>
                      <a:off x="0" y="0"/>
                      <a:ext cx="5486400" cy="3413938"/>
                    </a:xfrm>
                    <a:prstGeom prst="rect"/>
                  </pic:spPr>
                </pic:pic>
              </a:graphicData>
            </a:graphic>
          </wp:inline>
        </w:drawing>
      </w:r>
    </w:p>
    <w:p>
      <w:pPr>
        <w:spacing w:before="40" w:after="200"/>
        <w:jc w:val="center"/>
      </w:pPr>
      <w:r>
        <w:rPr>
          <w:rFonts w:ascii="Calibri" w:hAnsi="Calibri"/>
          <w:b/>
          <w:color w:val="17365D"/>
          <w:sz w:val="18"/>
        </w:rPr>
        <w:t xml:space="preserve">Figure 20: UI-01: User Registration. </w:t>
      </w:r>
      <w:r>
        <w:rPr>
          <w:rFonts w:ascii="Calibri" w:hAnsi="Calibri"/>
          <w:i/>
          <w:color w:val="64748B"/>
          <w:sz w:val="18"/>
        </w:rPr>
        <w:t>Real client view demonstrating consumer registration with client-side NIST SP 800-63B password complexity validation.</w:t>
      </w:r>
      <w:r>
        <w:rPr>
          <w:rFonts w:ascii="Calibri" w:hAnsi="Calibri"/>
          <w:b/>
          <w:color w:val="0F766E"/>
          <w:sz w:val="17"/>
        </w:rPr>
        <w:t xml:space="preserve"> [FR-01, SR-01]</w:t>
      </w:r>
    </w:p>
    <w:p>
      <w:pPr>
        <w:keepNext/>
        <w:spacing w:before="160" w:after="60"/>
        <w:jc w:val="center"/>
      </w:pPr>
      <w:r>
        <w:drawing>
          <wp:inline xmlns:a="http://schemas.openxmlformats.org/drawingml/2006/main" xmlns:pic="http://schemas.openxmlformats.org/drawingml/2006/picture">
            <wp:extent cx="5486400" cy="3413938"/>
            <wp:docPr id="21" name="Picture 21"/>
            <wp:cNvGraphicFramePr>
              <a:graphicFrameLocks noChangeAspect="1"/>
            </wp:cNvGraphicFramePr>
            <a:graphic>
              <a:graphicData uri="http://schemas.openxmlformats.org/drawingml/2006/picture">
                <pic:pic>
                  <pic:nvPicPr>
                    <pic:cNvPr id="0" name="UI-02_user_login.png"/>
                    <pic:cNvPicPr/>
                  </pic:nvPicPr>
                  <pic:blipFill>
                    <a:blip r:embed="rId31"/>
                    <a:stretch>
                      <a:fillRect/>
                    </a:stretch>
                  </pic:blipFill>
                  <pic:spPr>
                    <a:xfrm>
                      <a:off x="0" y="0"/>
                      <a:ext cx="5486400" cy="3413938"/>
                    </a:xfrm>
                    <a:prstGeom prst="rect"/>
                  </pic:spPr>
                </pic:pic>
              </a:graphicData>
            </a:graphic>
          </wp:inline>
        </w:drawing>
      </w:r>
    </w:p>
    <w:p>
      <w:pPr>
        <w:spacing w:before="40" w:after="200"/>
        <w:jc w:val="center"/>
      </w:pPr>
      <w:r>
        <w:rPr>
          <w:rFonts w:ascii="Calibri" w:hAnsi="Calibri"/>
          <w:b/>
          <w:color w:val="17365D"/>
          <w:sz w:val="18"/>
        </w:rPr>
        <w:t xml:space="preserve">Figure 21: UI-02: User Authentication &amp; Login. </w:t>
      </w:r>
      <w:r>
        <w:rPr>
          <w:rFonts w:ascii="Calibri" w:hAnsi="Calibri"/>
          <w:i/>
          <w:color w:val="64748B"/>
          <w:sz w:val="18"/>
        </w:rPr>
        <w:t>Secure sign-in screen featuring generic error messaging on authentication failure to thwart username enumeration.</w:t>
      </w:r>
      <w:r>
        <w:rPr>
          <w:rFonts w:ascii="Calibri" w:hAnsi="Calibri"/>
          <w:b/>
          <w:color w:val="0F766E"/>
          <w:sz w:val="17"/>
        </w:rPr>
        <w:t xml:space="preserve"> [FR-02, SR-01]</w:t>
      </w:r>
    </w:p>
    <w:p>
      <w:pPr>
        <w:keepNext/>
        <w:spacing w:before="160" w:after="60"/>
        <w:jc w:val="center"/>
      </w:pPr>
      <w:r>
        <w:drawing>
          <wp:inline xmlns:a="http://schemas.openxmlformats.org/drawingml/2006/main" xmlns:pic="http://schemas.openxmlformats.org/drawingml/2006/picture">
            <wp:extent cx="5486400" cy="3413938"/>
            <wp:docPr id="22" name="Picture 22"/>
            <wp:cNvGraphicFramePr>
              <a:graphicFrameLocks noChangeAspect="1"/>
            </wp:cNvGraphicFramePr>
            <a:graphic>
              <a:graphicData uri="http://schemas.openxmlformats.org/drawingml/2006/picture">
                <pic:pic>
                  <pic:nvPicPr>
                    <pic:cNvPr id="0" name="UI-03_wallet_dashboard.png"/>
                    <pic:cNvPicPr/>
                  </pic:nvPicPr>
                  <pic:blipFill>
                    <a:blip r:embed="rId32"/>
                    <a:stretch>
                      <a:fillRect/>
                    </a:stretch>
                  </pic:blipFill>
                  <pic:spPr>
                    <a:xfrm>
                      <a:off x="0" y="0"/>
                      <a:ext cx="5486400" cy="3413938"/>
                    </a:xfrm>
                    <a:prstGeom prst="rect"/>
                  </pic:spPr>
                </pic:pic>
              </a:graphicData>
            </a:graphic>
          </wp:inline>
        </w:drawing>
      </w:r>
    </w:p>
    <w:p>
      <w:pPr>
        <w:spacing w:before="40" w:after="200"/>
        <w:jc w:val="center"/>
      </w:pPr>
      <w:r>
        <w:rPr>
          <w:rFonts w:ascii="Calibri" w:hAnsi="Calibri"/>
          <w:b/>
          <w:color w:val="17365D"/>
          <w:sz w:val="18"/>
        </w:rPr>
        <w:t xml:space="preserve">Figure 22: UI-03: Customer Wallet Dashboard. </w:t>
      </w:r>
      <w:r>
        <w:rPr>
          <w:rFonts w:ascii="Calibri" w:hAnsi="Calibri"/>
          <w:i/>
          <w:color w:val="64748B"/>
          <w:sz w:val="18"/>
        </w:rPr>
        <w:t>Customer portal displaying account number, active vault safeguards banner, and zero initial balance.</w:t>
      </w:r>
      <w:r>
        <w:rPr>
          <w:rFonts w:ascii="Calibri" w:hAnsi="Calibri"/>
          <w:b/>
          <w:color w:val="0F766E"/>
          <w:sz w:val="17"/>
        </w:rPr>
        <w:t xml:space="preserve"> [FR-03, SR-05]</w:t>
      </w:r>
    </w:p>
    <w:p>
      <w:pPr>
        <w:keepNext/>
        <w:spacing w:before="160" w:after="60"/>
        <w:jc w:val="center"/>
      </w:pPr>
      <w:r>
        <w:drawing>
          <wp:inline xmlns:a="http://schemas.openxmlformats.org/drawingml/2006/main" xmlns:pic="http://schemas.openxmlformats.org/drawingml/2006/picture">
            <wp:extent cx="5486400" cy="3413938"/>
            <wp:docPr id="23" name="Picture 23"/>
            <wp:cNvGraphicFramePr>
              <a:graphicFrameLocks noChangeAspect="1"/>
            </wp:cNvGraphicFramePr>
            <a:graphic>
              <a:graphicData uri="http://schemas.openxmlformats.org/drawingml/2006/picture">
                <pic:pic>
                  <pic:nvPicPr>
                    <pic:cNvPr id="0" name="UI-04_funds_topup_modal.png"/>
                    <pic:cNvPicPr/>
                  </pic:nvPicPr>
                  <pic:blipFill>
                    <a:blip r:embed="rId33"/>
                    <a:stretch>
                      <a:fillRect/>
                    </a:stretch>
                  </pic:blipFill>
                  <pic:spPr>
                    <a:xfrm>
                      <a:off x="0" y="0"/>
                      <a:ext cx="5486400" cy="3413938"/>
                    </a:xfrm>
                    <a:prstGeom prst="rect"/>
                  </pic:spPr>
                </pic:pic>
              </a:graphicData>
            </a:graphic>
          </wp:inline>
        </w:drawing>
      </w:r>
    </w:p>
    <w:p>
      <w:pPr>
        <w:spacing w:before="40" w:after="200"/>
        <w:jc w:val="center"/>
      </w:pPr>
      <w:r>
        <w:rPr>
          <w:rFonts w:ascii="Calibri" w:hAnsi="Calibri"/>
          <w:b/>
          <w:color w:val="17365D"/>
          <w:sz w:val="18"/>
        </w:rPr>
        <w:t xml:space="preserve">Figure 23: UI-04: Simulated Funds Top-Up Interface. </w:t>
      </w:r>
      <w:r>
        <w:rPr>
          <w:rFonts w:ascii="Calibri" w:hAnsi="Calibri"/>
          <w:i/>
          <w:color w:val="64748B"/>
          <w:sz w:val="18"/>
        </w:rPr>
        <w:t>Simulated funds deposit interface with preset increments and client-side positive decimal validation.</w:t>
      </w:r>
      <w:r>
        <w:rPr>
          <w:rFonts w:ascii="Calibri" w:hAnsi="Calibri"/>
          <w:b/>
          <w:color w:val="0F766E"/>
          <w:sz w:val="17"/>
        </w:rPr>
        <w:t xml:space="preserve"> [FR-04, SR-04]</w:t>
      </w:r>
    </w:p>
    <w:p>
      <w:pPr>
        <w:keepNext/>
        <w:spacing w:before="160" w:after="60"/>
        <w:jc w:val="center"/>
      </w:pPr>
      <w:r>
        <w:drawing>
          <wp:inline xmlns:a="http://schemas.openxmlformats.org/drawingml/2006/main" xmlns:pic="http://schemas.openxmlformats.org/drawingml/2006/picture">
            <wp:extent cx="5486400" cy="3413938"/>
            <wp:docPr id="24" name="Picture 24"/>
            <wp:cNvGraphicFramePr>
              <a:graphicFrameLocks noChangeAspect="1"/>
            </wp:cNvGraphicFramePr>
            <a:graphic>
              <a:graphicData uri="http://schemas.openxmlformats.org/drawingml/2006/picture">
                <pic:pic>
                  <pic:nvPicPr>
                    <pic:cNvPr id="0" name="UI-05_topup_success.png"/>
                    <pic:cNvPicPr/>
                  </pic:nvPicPr>
                  <pic:blipFill>
                    <a:blip r:embed="rId34"/>
                    <a:stretch>
                      <a:fillRect/>
                    </a:stretch>
                  </pic:blipFill>
                  <pic:spPr>
                    <a:xfrm>
                      <a:off x="0" y="0"/>
                      <a:ext cx="5486400" cy="3413938"/>
                    </a:xfrm>
                    <a:prstGeom prst="rect"/>
                  </pic:spPr>
                </pic:pic>
              </a:graphicData>
            </a:graphic>
          </wp:inline>
        </w:drawing>
      </w:r>
    </w:p>
    <w:p>
      <w:pPr>
        <w:spacing w:before="40" w:after="200"/>
        <w:jc w:val="center"/>
      </w:pPr>
      <w:r>
        <w:rPr>
          <w:rFonts w:ascii="Calibri" w:hAnsi="Calibri"/>
          <w:b/>
          <w:color w:val="17365D"/>
          <w:sz w:val="18"/>
        </w:rPr>
        <w:t xml:space="preserve">Figure 24: UI-05: Top-Up Confirmation &amp; Balance Update. </w:t>
      </w:r>
      <w:r>
        <w:rPr>
          <w:rFonts w:ascii="Calibri" w:hAnsi="Calibri"/>
          <w:i/>
          <w:color w:val="64748B"/>
          <w:sz w:val="18"/>
        </w:rPr>
        <w:t>Atomic top-up confirmation displaying updated wallet balance ($500.00 USD) and atomic ledger entry.</w:t>
      </w:r>
      <w:r>
        <w:rPr>
          <w:rFonts w:ascii="Calibri" w:hAnsi="Calibri"/>
          <w:b/>
          <w:color w:val="0F766E"/>
          <w:sz w:val="17"/>
        </w:rPr>
        <w:t xml:space="preserve"> [FR-04, SR-04]</w:t>
      </w:r>
    </w:p>
    <w:p>
      <w:pPr>
        <w:keepNext/>
        <w:spacing w:before="160" w:after="60"/>
        <w:jc w:val="center"/>
      </w:pPr>
      <w:r>
        <w:drawing>
          <wp:inline xmlns:a="http://schemas.openxmlformats.org/drawingml/2006/main" xmlns:pic="http://schemas.openxmlformats.org/drawingml/2006/picture">
            <wp:extent cx="5486400" cy="3413938"/>
            <wp:docPr id="25" name="Picture 25"/>
            <wp:cNvGraphicFramePr>
              <a:graphicFrameLocks noChangeAspect="1"/>
            </wp:cNvGraphicFramePr>
            <a:graphic>
              <a:graphicData uri="http://schemas.openxmlformats.org/drawingml/2006/picture">
                <pic:pic>
                  <pic:nvPicPr>
                    <pic:cNvPr id="0" name="UI-06_merchant_registration.png"/>
                    <pic:cNvPicPr/>
                  </pic:nvPicPr>
                  <pic:blipFill>
                    <a:blip r:embed="rId35"/>
                    <a:stretch>
                      <a:fillRect/>
                    </a:stretch>
                  </pic:blipFill>
                  <pic:spPr>
                    <a:xfrm>
                      <a:off x="0" y="0"/>
                      <a:ext cx="5486400" cy="3413938"/>
                    </a:xfrm>
                    <a:prstGeom prst="rect"/>
                  </pic:spPr>
                </pic:pic>
              </a:graphicData>
            </a:graphic>
          </wp:inline>
        </w:drawing>
      </w:r>
    </w:p>
    <w:p>
      <w:pPr>
        <w:spacing w:before="40" w:after="200"/>
        <w:jc w:val="center"/>
      </w:pPr>
      <w:r>
        <w:rPr>
          <w:rFonts w:ascii="Calibri" w:hAnsi="Calibri"/>
          <w:b/>
          <w:color w:val="17365D"/>
          <w:sz w:val="18"/>
        </w:rPr>
        <w:t xml:space="preserve">Figure 25: UI-06: Merchant Onboarding Form. </w:t>
      </w:r>
      <w:r>
        <w:rPr>
          <w:rFonts w:ascii="Calibri" w:hAnsi="Calibri"/>
          <w:i/>
          <w:color w:val="64748B"/>
          <w:sz w:val="18"/>
        </w:rPr>
        <w:t>Merchant registration portal enabling business profile creation and settlement wallet association.</w:t>
      </w:r>
      <w:r>
        <w:rPr>
          <w:rFonts w:ascii="Calibri" w:hAnsi="Calibri"/>
          <w:b/>
          <w:color w:val="0F766E"/>
          <w:sz w:val="17"/>
        </w:rPr>
        <w:t xml:space="preserve"> [FR-05, SR-02]</w:t>
      </w:r>
    </w:p>
    <w:p>
      <w:pPr>
        <w:keepNext/>
        <w:spacing w:before="160" w:after="60"/>
        <w:jc w:val="center"/>
      </w:pPr>
      <w:r>
        <w:drawing>
          <wp:inline xmlns:a="http://schemas.openxmlformats.org/drawingml/2006/main" xmlns:pic="http://schemas.openxmlformats.org/drawingml/2006/picture">
            <wp:extent cx="5486400" cy="3413938"/>
            <wp:docPr id="26" name="Picture 26"/>
            <wp:cNvGraphicFramePr>
              <a:graphicFrameLocks noChangeAspect="1"/>
            </wp:cNvGraphicFramePr>
            <a:graphic>
              <a:graphicData uri="http://schemas.openxmlformats.org/drawingml/2006/picture">
                <pic:pic>
                  <pic:nvPicPr>
                    <pic:cNvPr id="0" name="UI-06_merchant_registration.png"/>
                    <pic:cNvPicPr/>
                  </pic:nvPicPr>
                  <pic:blipFill>
                    <a:blip r:embed="rId35"/>
                    <a:stretch>
                      <a:fillRect/>
                    </a:stretch>
                  </pic:blipFill>
                  <pic:spPr>
                    <a:xfrm>
                      <a:off x="0" y="0"/>
                      <a:ext cx="5486400" cy="3413938"/>
                    </a:xfrm>
                    <a:prstGeom prst="rect"/>
                  </pic:spPr>
                </pic:pic>
              </a:graphicData>
            </a:graphic>
          </wp:inline>
        </w:drawing>
      </w:r>
    </w:p>
    <w:p>
      <w:pPr>
        <w:spacing w:before="40" w:after="200"/>
        <w:jc w:val="center"/>
      </w:pPr>
      <w:r>
        <w:rPr>
          <w:rFonts w:ascii="Calibri" w:hAnsi="Calibri"/>
          <w:b/>
          <w:color w:val="17365D"/>
          <w:sz w:val="18"/>
        </w:rPr>
        <w:t xml:space="preserve">Figure 26: UI-07: Merchant Security Portal &amp; API Credentials. </w:t>
      </w:r>
      <w:r>
        <w:rPr>
          <w:rFonts w:ascii="Calibri" w:hAnsi="Calibri"/>
          <w:i/>
          <w:color w:val="64748B"/>
          <w:sz w:val="18"/>
        </w:rPr>
        <w:t>Merchant management portal displaying active business status, settlement account, and high-entropy 256-bit API key.</w:t>
      </w:r>
      <w:r>
        <w:rPr>
          <w:rFonts w:ascii="Calibri" w:hAnsi="Calibri"/>
          <w:b/>
          <w:color w:val="0F766E"/>
          <w:sz w:val="17"/>
        </w:rPr>
        <w:t xml:space="preserve"> [FR-05, SR-02]</w:t>
      </w:r>
    </w:p>
    <w:p>
      <w:pPr>
        <w:keepNext/>
        <w:spacing w:before="160" w:after="60"/>
        <w:jc w:val="center"/>
      </w:pPr>
      <w:r>
        <w:drawing>
          <wp:inline xmlns:a="http://schemas.openxmlformats.org/drawingml/2006/main" xmlns:pic="http://schemas.openxmlformats.org/drawingml/2006/picture">
            <wp:extent cx="5486400" cy="3413938"/>
            <wp:docPr id="27" name="Picture 27"/>
            <wp:cNvGraphicFramePr>
              <a:graphicFrameLocks noChangeAspect="1"/>
            </wp:cNvGraphicFramePr>
            <a:graphic>
              <a:graphicData uri="http://schemas.openxmlformats.org/drawingml/2006/picture">
                <pic:pic>
                  <pic:nvPicPr>
                    <pic:cNvPr id="0" name="UI-08_payment_initiation.png"/>
                    <pic:cNvPicPr/>
                  </pic:nvPicPr>
                  <pic:blipFill>
                    <a:blip r:embed="rId36"/>
                    <a:stretch>
                      <a:fillRect/>
                    </a:stretch>
                  </pic:blipFill>
                  <pic:spPr>
                    <a:xfrm>
                      <a:off x="0" y="0"/>
                      <a:ext cx="5486400" cy="3413938"/>
                    </a:xfrm>
                    <a:prstGeom prst="rect"/>
                  </pic:spPr>
                </pic:pic>
              </a:graphicData>
            </a:graphic>
          </wp:inline>
        </w:drawing>
      </w:r>
    </w:p>
    <w:p>
      <w:pPr>
        <w:spacing w:before="40" w:after="200"/>
        <w:jc w:val="center"/>
      </w:pPr>
      <w:r>
        <w:rPr>
          <w:rFonts w:ascii="Calibri" w:hAnsi="Calibri"/>
          <w:b/>
          <w:color w:val="17365D"/>
          <w:sz w:val="18"/>
        </w:rPr>
        <w:t xml:space="preserve">Figure 27: UI-08: Payment Initiation Form. </w:t>
      </w:r>
      <w:r>
        <w:rPr>
          <w:rFonts w:ascii="Calibri" w:hAnsi="Calibri"/>
          <w:i/>
          <w:color w:val="64748B"/>
          <w:sz w:val="18"/>
        </w:rPr>
        <w:t>Checkout terminal showing target merchant selection, order reference, and auto-generated UUID Idempotency-Key header.</w:t>
      </w:r>
      <w:r>
        <w:rPr>
          <w:rFonts w:ascii="Calibri" w:hAnsi="Calibri"/>
          <w:b/>
          <w:color w:val="0F766E"/>
          <w:sz w:val="17"/>
        </w:rPr>
        <w:t xml:space="preserve"> [FR-06, SR-03]</w:t>
      </w:r>
    </w:p>
    <w:p>
      <w:pPr>
        <w:keepNext/>
        <w:spacing w:before="160" w:after="60"/>
        <w:jc w:val="center"/>
      </w:pPr>
      <w:r>
        <w:drawing>
          <wp:inline xmlns:a="http://schemas.openxmlformats.org/drawingml/2006/main" xmlns:pic="http://schemas.openxmlformats.org/drawingml/2006/picture">
            <wp:extent cx="5486400" cy="3413938"/>
            <wp:docPr id="28" name="Picture 28"/>
            <wp:cNvGraphicFramePr>
              <a:graphicFrameLocks noChangeAspect="1"/>
            </wp:cNvGraphicFramePr>
            <a:graphic>
              <a:graphicData uri="http://schemas.openxmlformats.org/drawingml/2006/picture">
                <pic:pic>
                  <pic:nvPicPr>
                    <pic:cNvPr id="0" name="UI-09_payment_confirmation.png"/>
                    <pic:cNvPicPr/>
                  </pic:nvPicPr>
                  <pic:blipFill>
                    <a:blip r:embed="rId37"/>
                    <a:stretch>
                      <a:fillRect/>
                    </a:stretch>
                  </pic:blipFill>
                  <pic:spPr>
                    <a:xfrm>
                      <a:off x="0" y="0"/>
                      <a:ext cx="5486400" cy="3413938"/>
                    </a:xfrm>
                    <a:prstGeom prst="rect"/>
                  </pic:spPr>
                </pic:pic>
              </a:graphicData>
            </a:graphic>
          </wp:inline>
        </w:drawing>
      </w:r>
    </w:p>
    <w:p>
      <w:pPr>
        <w:spacing w:before="40" w:after="200"/>
        <w:jc w:val="center"/>
      </w:pPr>
      <w:r>
        <w:rPr>
          <w:rFonts w:ascii="Calibri" w:hAnsi="Calibri"/>
          <w:b/>
          <w:color w:val="17365D"/>
          <w:sz w:val="18"/>
        </w:rPr>
        <w:t xml:space="preserve">Figure 28: UI-09: Payment Execution &amp; Processing. </w:t>
      </w:r>
      <w:r>
        <w:rPr>
          <w:rFonts w:ascii="Calibri" w:hAnsi="Calibri"/>
          <w:i/>
          <w:color w:val="64748B"/>
          <w:sz w:val="18"/>
        </w:rPr>
        <w:t>Live payment processing telemetry verifying atomic customer debit, merchant settlement credit, and correlation ID.</w:t>
      </w:r>
      <w:r>
        <w:rPr>
          <w:rFonts w:ascii="Calibri" w:hAnsi="Calibri"/>
          <w:b/>
          <w:color w:val="0F766E"/>
          <w:sz w:val="17"/>
        </w:rPr>
        <w:t xml:space="preserve"> [FR-07, SR-03]</w:t>
      </w:r>
    </w:p>
    <w:p>
      <w:pPr>
        <w:keepNext/>
        <w:spacing w:before="160" w:after="60"/>
        <w:jc w:val="center"/>
      </w:pPr>
      <w:r>
        <w:drawing>
          <wp:inline xmlns:a="http://schemas.openxmlformats.org/drawingml/2006/main" xmlns:pic="http://schemas.openxmlformats.org/drawingml/2006/picture">
            <wp:extent cx="5486400" cy="3413938"/>
            <wp:docPr id="29" name="Picture 29"/>
            <wp:cNvGraphicFramePr>
              <a:graphicFrameLocks noChangeAspect="1"/>
            </wp:cNvGraphicFramePr>
            <a:graphic>
              <a:graphicData uri="http://schemas.openxmlformats.org/drawingml/2006/picture">
                <pic:pic>
                  <pic:nvPicPr>
                    <pic:cNvPr id="0" name="UI-09_payment_confirmation.png"/>
                    <pic:cNvPicPr/>
                  </pic:nvPicPr>
                  <pic:blipFill>
                    <a:blip r:embed="rId37"/>
                    <a:stretch>
                      <a:fillRect/>
                    </a:stretch>
                  </pic:blipFill>
                  <pic:spPr>
                    <a:xfrm>
                      <a:off x="0" y="0"/>
                      <a:ext cx="5486400" cy="3413938"/>
                    </a:xfrm>
                    <a:prstGeom prst="rect"/>
                  </pic:spPr>
                </pic:pic>
              </a:graphicData>
            </a:graphic>
          </wp:inline>
        </w:drawing>
      </w:r>
    </w:p>
    <w:p>
      <w:pPr>
        <w:spacing w:before="40" w:after="200"/>
        <w:jc w:val="center"/>
      </w:pPr>
      <w:r>
        <w:rPr>
          <w:rFonts w:ascii="Calibri" w:hAnsi="Calibri"/>
          <w:b/>
          <w:color w:val="17365D"/>
          <w:sz w:val="18"/>
        </w:rPr>
        <w:t xml:space="preserve">Figure 29: UI-10: Cryptographic Payment Receipt. </w:t>
      </w:r>
      <w:r>
        <w:rPr>
          <w:rFonts w:ascii="Calibri" w:hAnsi="Calibri"/>
          <w:i/>
          <w:color w:val="64748B"/>
          <w:sz w:val="18"/>
        </w:rPr>
        <w:t>Verified digital receipt presenting payment ID, timestamp, and SHA-256 tamper-evident digital seal.</w:t>
      </w:r>
      <w:r>
        <w:rPr>
          <w:rFonts w:ascii="Calibri" w:hAnsi="Calibri"/>
          <w:b/>
          <w:color w:val="0F766E"/>
          <w:sz w:val="17"/>
        </w:rPr>
        <w:t xml:space="preserve"> [FR-07, SR-07]</w:t>
      </w:r>
    </w:p>
    <w:p>
      <w:pPr>
        <w:keepNext/>
        <w:spacing w:before="160" w:after="60"/>
        <w:jc w:val="center"/>
      </w:pPr>
      <w:r>
        <w:drawing>
          <wp:inline xmlns:a="http://schemas.openxmlformats.org/drawingml/2006/main" xmlns:pic="http://schemas.openxmlformats.org/drawingml/2006/picture">
            <wp:extent cx="5486400" cy="3413938"/>
            <wp:docPr id="30" name="Picture 30"/>
            <wp:cNvGraphicFramePr>
              <a:graphicFrameLocks noChangeAspect="1"/>
            </wp:cNvGraphicFramePr>
            <a:graphic>
              <a:graphicData uri="http://schemas.openxmlformats.org/drawingml/2006/picture">
                <pic:pic>
                  <pic:nvPicPr>
                    <pic:cNvPr id="0" name="UI-14_security_tamper_replay_defense.png"/>
                    <pic:cNvPicPr/>
                  </pic:nvPicPr>
                  <pic:blipFill>
                    <a:blip r:embed="rId38"/>
                    <a:stretch>
                      <a:fillRect/>
                    </a:stretch>
                  </pic:blipFill>
                  <pic:spPr>
                    <a:xfrm>
                      <a:off x="0" y="0"/>
                      <a:ext cx="5486400" cy="3413938"/>
                    </a:xfrm>
                    <a:prstGeom prst="rect"/>
                  </pic:spPr>
                </pic:pic>
              </a:graphicData>
            </a:graphic>
          </wp:inline>
        </w:drawing>
      </w:r>
    </w:p>
    <w:p>
      <w:pPr>
        <w:spacing w:before="40" w:after="200"/>
        <w:jc w:val="center"/>
      </w:pPr>
      <w:r>
        <w:rPr>
          <w:rFonts w:ascii="Calibri" w:hAnsi="Calibri"/>
          <w:b/>
          <w:color w:val="17365D"/>
          <w:sz w:val="18"/>
        </w:rPr>
        <w:t xml:space="preserve">Figure 30: UI-14: Security Tamper &amp; Replay Defense Lab. </w:t>
      </w:r>
      <w:r>
        <w:rPr>
          <w:rFonts w:ascii="Calibri" w:hAnsi="Calibri"/>
          <w:i/>
          <w:color w:val="64748B"/>
          <w:sz w:val="18"/>
        </w:rPr>
        <w:t>Adversarial replay simulation showing identical payment retried with unchanged Idempotency-Key. Cached response returned without double debiting.</w:t>
      </w:r>
      <w:r>
        <w:rPr>
          <w:rFonts w:ascii="Calibri" w:hAnsi="Calibri"/>
          <w:b/>
          <w:color w:val="0F766E"/>
          <w:sz w:val="17"/>
        </w:rPr>
        <w:t xml:space="preserve"> [SR-03, SR-04]</w:t>
      </w:r>
    </w:p>
    <w:p>
      <w:pPr>
        <w:keepNext/>
        <w:spacing w:before="160" w:after="60"/>
        <w:jc w:val="center"/>
      </w:pPr>
      <w:r>
        <w:drawing>
          <wp:inline xmlns:a="http://schemas.openxmlformats.org/drawingml/2006/main" xmlns:pic="http://schemas.openxmlformats.org/drawingml/2006/picture">
            <wp:extent cx="5486400" cy="3413938"/>
            <wp:docPr id="31" name="Picture 31"/>
            <wp:cNvGraphicFramePr>
              <a:graphicFrameLocks noChangeAspect="1"/>
            </wp:cNvGraphicFramePr>
            <a:graphic>
              <a:graphicData uri="http://schemas.openxmlformats.org/drawingml/2006/picture">
                <pic:pic>
                  <pic:nvPicPr>
                    <pic:cNvPr id="0" name="UI-11_transaction_history_ledger.png"/>
                    <pic:cNvPicPr/>
                  </pic:nvPicPr>
                  <pic:blipFill>
                    <a:blip r:embed="rId39"/>
                    <a:stretch>
                      <a:fillRect/>
                    </a:stretch>
                  </pic:blipFill>
                  <pic:spPr>
                    <a:xfrm>
                      <a:off x="0" y="0"/>
                      <a:ext cx="5486400" cy="3413938"/>
                    </a:xfrm>
                    <a:prstGeom prst="rect"/>
                  </pic:spPr>
                </pic:pic>
              </a:graphicData>
            </a:graphic>
          </wp:inline>
        </w:drawing>
      </w:r>
    </w:p>
    <w:p>
      <w:pPr>
        <w:spacing w:before="40" w:after="200"/>
        <w:jc w:val="center"/>
      </w:pPr>
      <w:r>
        <w:rPr>
          <w:rFonts w:ascii="Calibri" w:hAnsi="Calibri"/>
          <w:b/>
          <w:color w:val="17365D"/>
          <w:sz w:val="18"/>
        </w:rPr>
        <w:t xml:space="preserve">Figure 31: UI-11: Tamper-Evident Transaction Ledger. </w:t>
      </w:r>
      <w:r>
        <w:rPr>
          <w:rFonts w:ascii="Calibri" w:hAnsi="Calibri"/>
          <w:i/>
          <w:color w:val="64748B"/>
          <w:sz w:val="18"/>
        </w:rPr>
        <w:t>Append-only double-entry financial ledger displaying debit, credit, top-up, and refund records with cryptographic hashes.</w:t>
      </w:r>
      <w:r>
        <w:rPr>
          <w:rFonts w:ascii="Calibri" w:hAnsi="Calibri"/>
          <w:b/>
          <w:color w:val="0F766E"/>
          <w:sz w:val="17"/>
        </w:rPr>
        <w:t xml:space="preserve"> [FR-09, SR-07]</w:t>
      </w:r>
    </w:p>
    <w:p>
      <w:pPr>
        <w:keepNext/>
        <w:spacing w:before="160" w:after="60"/>
        <w:jc w:val="center"/>
      </w:pPr>
      <w:r>
        <w:drawing>
          <wp:inline xmlns:a="http://schemas.openxmlformats.org/drawingml/2006/main" xmlns:pic="http://schemas.openxmlformats.org/drawingml/2006/picture">
            <wp:extent cx="5486400" cy="3413938"/>
            <wp:docPr id="32" name="Picture 32"/>
            <wp:cNvGraphicFramePr>
              <a:graphicFrameLocks noChangeAspect="1"/>
            </wp:cNvGraphicFramePr>
            <a:graphic>
              <a:graphicData uri="http://schemas.openxmlformats.org/drawingml/2006/picture">
                <pic:pic>
                  <pic:nvPicPr>
                    <pic:cNvPr id="0" name="UI-11_transaction_history_ledger.png"/>
                    <pic:cNvPicPr/>
                  </pic:nvPicPr>
                  <pic:blipFill>
                    <a:blip r:embed="rId39"/>
                    <a:stretch>
                      <a:fillRect/>
                    </a:stretch>
                  </pic:blipFill>
                  <pic:spPr>
                    <a:xfrm>
                      <a:off x="0" y="0"/>
                      <a:ext cx="5486400" cy="3413938"/>
                    </a:xfrm>
                    <a:prstGeom prst="rect"/>
                  </pic:spPr>
                </pic:pic>
              </a:graphicData>
            </a:graphic>
          </wp:inline>
        </w:drawing>
      </w:r>
    </w:p>
    <w:p>
      <w:pPr>
        <w:spacing w:before="40" w:after="200"/>
        <w:jc w:val="center"/>
      </w:pPr>
      <w:r>
        <w:rPr>
          <w:rFonts w:ascii="Calibri" w:hAnsi="Calibri"/>
          <w:b/>
          <w:color w:val="17365D"/>
          <w:sz w:val="18"/>
        </w:rPr>
        <w:t xml:space="preserve">Figure 32: UI-12: Refund Initiation Modal. </w:t>
      </w:r>
      <w:r>
        <w:rPr>
          <w:rFonts w:ascii="Calibri" w:hAnsi="Calibri"/>
          <w:i/>
          <w:color w:val="64748B"/>
          <w:sz w:val="18"/>
        </w:rPr>
        <w:t>Authorized refund dialog allowing reason specification and idempotency tracking for transaction reversal.</w:t>
      </w:r>
      <w:r>
        <w:rPr>
          <w:rFonts w:ascii="Calibri" w:hAnsi="Calibri"/>
          <w:b/>
          <w:color w:val="0F766E"/>
          <w:sz w:val="17"/>
        </w:rPr>
        <w:t xml:space="preserve"> [FR-08, SR-06]</w:t>
      </w:r>
    </w:p>
    <w:p>
      <w:pPr>
        <w:keepNext/>
        <w:spacing w:before="160" w:after="60"/>
        <w:jc w:val="center"/>
      </w:pPr>
      <w:r>
        <w:drawing>
          <wp:inline xmlns:a="http://schemas.openxmlformats.org/drawingml/2006/main" xmlns:pic="http://schemas.openxmlformats.org/drawingml/2006/picture">
            <wp:extent cx="5486400" cy="3413938"/>
            <wp:docPr id="33" name="Picture 33"/>
            <wp:cNvGraphicFramePr>
              <a:graphicFrameLocks noChangeAspect="1"/>
            </wp:cNvGraphicFramePr>
            <a:graphic>
              <a:graphicData uri="http://schemas.openxmlformats.org/drawingml/2006/picture">
                <pic:pic>
                  <pic:nvPicPr>
                    <pic:cNvPr id="0" name="UI-11_transaction_history_ledger.png"/>
                    <pic:cNvPicPr/>
                  </pic:nvPicPr>
                  <pic:blipFill>
                    <a:blip r:embed="rId39"/>
                    <a:stretch>
                      <a:fillRect/>
                    </a:stretch>
                  </pic:blipFill>
                  <pic:spPr>
                    <a:xfrm>
                      <a:off x="0" y="0"/>
                      <a:ext cx="5486400" cy="3413938"/>
                    </a:xfrm>
                    <a:prstGeom prst="rect"/>
                  </pic:spPr>
                </pic:pic>
              </a:graphicData>
            </a:graphic>
          </wp:inline>
        </w:drawing>
      </w:r>
    </w:p>
    <w:p>
      <w:pPr>
        <w:spacing w:before="40" w:after="200"/>
        <w:jc w:val="center"/>
      </w:pPr>
      <w:r>
        <w:rPr>
          <w:rFonts w:ascii="Calibri" w:hAnsi="Calibri"/>
          <w:b/>
          <w:color w:val="17365D"/>
          <w:sz w:val="18"/>
        </w:rPr>
        <w:t xml:space="preserve">Figure 33: UI-13: Refund Success &amp; Ledger Entry. </w:t>
      </w:r>
      <w:r>
        <w:rPr>
          <w:rFonts w:ascii="Calibri" w:hAnsi="Calibri"/>
          <w:i/>
          <w:color w:val="64748B"/>
          <w:sz w:val="18"/>
        </w:rPr>
        <w:t>Successful refund notification confirming $65.00 restored to customer balance and debited from merchant settlement.</w:t>
      </w:r>
      <w:r>
        <w:rPr>
          <w:rFonts w:ascii="Calibri" w:hAnsi="Calibri"/>
          <w:b/>
          <w:color w:val="0F766E"/>
          <w:sz w:val="17"/>
        </w:rPr>
        <w:t xml:space="preserve"> [FR-08, SR-06]</w:t>
      </w:r>
    </w:p>
    <w:p>
      <w:pPr>
        <w:keepNext/>
        <w:spacing w:before="160" w:after="60"/>
        <w:jc w:val="center"/>
      </w:pPr>
      <w:r>
        <w:drawing>
          <wp:inline xmlns:a="http://schemas.openxmlformats.org/drawingml/2006/main" xmlns:pic="http://schemas.openxmlformats.org/drawingml/2006/picture">
            <wp:extent cx="5486400" cy="3413938"/>
            <wp:docPr id="34" name="Picture 34"/>
            <wp:cNvGraphicFramePr>
              <a:graphicFrameLocks noChangeAspect="1"/>
            </wp:cNvGraphicFramePr>
            <a:graphic>
              <a:graphicData uri="http://schemas.openxmlformats.org/drawingml/2006/picture">
                <pic:pic>
                  <pic:nvPicPr>
                    <pic:cNvPr id="0" name="UI-15_admin_audit_logs.png"/>
                    <pic:cNvPicPr/>
                  </pic:nvPicPr>
                  <pic:blipFill>
                    <a:blip r:embed="rId40"/>
                    <a:stretch>
                      <a:fillRect/>
                    </a:stretch>
                  </pic:blipFill>
                  <pic:spPr>
                    <a:xfrm>
                      <a:off x="0" y="0"/>
                      <a:ext cx="5486400" cy="3413938"/>
                    </a:xfrm>
                    <a:prstGeom prst="rect"/>
                  </pic:spPr>
                </pic:pic>
              </a:graphicData>
            </a:graphic>
          </wp:inline>
        </w:drawing>
      </w:r>
    </w:p>
    <w:p>
      <w:pPr>
        <w:spacing w:before="40" w:after="200"/>
        <w:jc w:val="center"/>
      </w:pPr>
      <w:r>
        <w:rPr>
          <w:rFonts w:ascii="Calibri" w:hAnsi="Calibri"/>
          <w:b/>
          <w:color w:val="17365D"/>
          <w:sz w:val="18"/>
        </w:rPr>
        <w:t xml:space="preserve">Figure 34: UI-15: SIEM Security Audit Explorer. </w:t>
      </w:r>
      <w:r>
        <w:rPr>
          <w:rFonts w:ascii="Calibri" w:hAnsi="Calibri"/>
          <w:i/>
          <w:color w:val="64748B"/>
          <w:sz w:val="18"/>
        </w:rPr>
        <w:t>Administrative compliance view showing immutable chronological audit trail of authentication, mutations, and replay traps.</w:t>
      </w:r>
      <w:r>
        <w:rPr>
          <w:rFonts w:ascii="Calibri" w:hAnsi="Calibri"/>
          <w:b/>
          <w:color w:val="0F766E"/>
          <w:sz w:val="17"/>
        </w:rPr>
        <w:t xml:space="preserve"> [FR-10, SR-08]</w:t>
      </w:r>
    </w:p>
    <w:p>
      <w:pPr>
        <w:keepNext/>
        <w:spacing w:before="360" w:after="160"/>
      </w:pPr>
      <w:r>
        <w:rPr>
          <w:rFonts w:ascii="Calibri" w:hAnsi="Calibri"/>
          <w:b/>
          <w:color w:val="17365D"/>
          <w:sz w:val="34"/>
        </w:rPr>
        <w:t>9. Product Backlog and Jira/Scrum (Phase 9)</w:t>
      </w:r>
    </w:p>
    <w:p>
      <w:pPr>
        <w:keepNext/>
        <w:spacing w:before="280" w:after="120"/>
      </w:pPr>
      <w:r>
        <w:rPr>
          <w:rFonts w:ascii="Calibri" w:hAnsi="Calibri"/>
          <w:b/>
          <w:color w:val="1F4E79"/>
          <w:sz w:val="26"/>
        </w:rPr>
        <w:t>9.1 Epics and User Story Hierarchy</w:t>
      </w:r>
    </w:p>
    <w:p>
      <w:pPr>
        <w:spacing w:before="0" w:after="120" w:line="276" w:lineRule="auto"/>
      </w:pPr>
      <w:r>
        <w:rPr>
          <w:rFonts w:ascii="Calibri" w:hAnsi="Calibri"/>
          <w:color w:val="172033"/>
          <w:sz w:val="20"/>
        </w:rPr>
        <w:t>The product backlog was structured into 8 functional and security epics encompassing 13 prioritized work items. Story estimation used Fibonacci planning poker points based on complexity, architectural risk, and security validation requirements.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008"/>
            <w:shd w:fill="17365D"/>
            <w:tcBorders>
              <w:top w:val="single" w:sz="4" w:space="0" w:color="17365D"/>
              <w:left w:val="none" w:sz="4" w:space="0" w:color="auto"/>
              <w:bottom w:val="single" w:sz="4" w:space="0" w:color="17365D"/>
              <w:right w:val="none" w:sz="4" w:space="0" w:color="auto"/>
            </w:tcBorders>
          </w:tcPr>
          <w:p>
            <w:pPr>
              <w:spacing w:before="80" w:after="80"/>
              <w:jc w:val="left"/>
            </w:pPr>
            <w:r>
              <w:rPr>
                <w:rFonts w:ascii="Calibri" w:hAnsi="Calibri"/>
                <w:b/>
                <w:color w:val="FFFFFF"/>
                <w:sz w:val="18"/>
              </w:rPr>
              <w:t>Key</w:t>
            </w:r>
          </w:p>
        </w:tc>
        <w:tc>
          <w:tcPr>
            <w:tcW w:type="dxa" w:w="1008"/>
            <w:shd w:fill="17365D"/>
            <w:tcBorders>
              <w:top w:val="single" w:sz="4" w:space="0" w:color="17365D"/>
              <w:left w:val="none" w:sz="4" w:space="0" w:color="auto"/>
              <w:bottom w:val="single" w:sz="4" w:space="0" w:color="17365D"/>
              <w:right w:val="none" w:sz="4" w:space="0" w:color="auto"/>
            </w:tcBorders>
          </w:tcPr>
          <w:p>
            <w:pPr>
              <w:spacing w:before="80" w:after="80"/>
              <w:jc w:val="left"/>
            </w:pPr>
            <w:r>
              <w:rPr>
                <w:rFonts w:ascii="Calibri" w:hAnsi="Calibri"/>
                <w:b/>
                <w:color w:val="FFFFFF"/>
                <w:sz w:val="18"/>
              </w:rPr>
              <w:t>Story ID</w:t>
            </w:r>
          </w:p>
        </w:tc>
        <w:tc>
          <w:tcPr>
            <w:tcW w:type="dxa" w:w="1440"/>
            <w:shd w:fill="17365D"/>
            <w:tcBorders>
              <w:top w:val="single" w:sz="4" w:space="0" w:color="17365D"/>
              <w:left w:val="none" w:sz="4" w:space="0" w:color="auto"/>
              <w:bottom w:val="single" w:sz="4" w:space="0" w:color="17365D"/>
              <w:right w:val="none" w:sz="4" w:space="0" w:color="auto"/>
            </w:tcBorders>
          </w:tcPr>
          <w:p>
            <w:pPr>
              <w:spacing w:before="80" w:after="80"/>
              <w:jc w:val="left"/>
            </w:pPr>
            <w:r>
              <w:rPr>
                <w:rFonts w:ascii="Calibri" w:hAnsi="Calibri"/>
                <w:b/>
                <w:color w:val="FFFFFF"/>
                <w:sz w:val="18"/>
              </w:rPr>
              <w:t>Epic</w:t>
            </w:r>
          </w:p>
        </w:tc>
        <w:tc>
          <w:tcPr>
            <w:tcW w:type="dxa" w:w="576"/>
            <w:shd w:fill="17365D"/>
            <w:tcBorders>
              <w:top w:val="single" w:sz="4" w:space="0" w:color="17365D"/>
              <w:left w:val="none" w:sz="4" w:space="0" w:color="auto"/>
              <w:bottom w:val="single" w:sz="4" w:space="0" w:color="17365D"/>
              <w:right w:val="none" w:sz="4" w:space="0" w:color="auto"/>
            </w:tcBorders>
          </w:tcPr>
          <w:p>
            <w:pPr>
              <w:spacing w:before="80" w:after="80"/>
              <w:jc w:val="left"/>
            </w:pPr>
            <w:r>
              <w:rPr>
                <w:rFonts w:ascii="Calibri" w:hAnsi="Calibri"/>
                <w:b/>
                <w:color w:val="FFFFFF"/>
                <w:sz w:val="18"/>
              </w:rPr>
              <w:t>SP</w:t>
            </w:r>
          </w:p>
        </w:tc>
        <w:tc>
          <w:tcPr>
            <w:tcW w:type="dxa" w:w="864"/>
            <w:shd w:fill="17365D"/>
            <w:tcBorders>
              <w:top w:val="single" w:sz="4" w:space="0" w:color="17365D"/>
              <w:left w:val="none" w:sz="4" w:space="0" w:color="auto"/>
              <w:bottom w:val="single" w:sz="4" w:space="0" w:color="17365D"/>
              <w:right w:val="none" w:sz="4" w:space="0" w:color="auto"/>
            </w:tcBorders>
          </w:tcPr>
          <w:p>
            <w:pPr>
              <w:spacing w:before="80" w:after="80"/>
              <w:jc w:val="left"/>
            </w:pPr>
            <w:r>
              <w:rPr>
                <w:rFonts w:ascii="Calibri" w:hAnsi="Calibri"/>
                <w:b/>
                <w:color w:val="FFFFFF"/>
                <w:sz w:val="18"/>
              </w:rPr>
              <w:t>Sprint</w:t>
            </w:r>
          </w:p>
        </w:tc>
        <w:tc>
          <w:tcPr>
            <w:tcW w:type="dxa" w:w="2592"/>
            <w:shd w:fill="17365D"/>
            <w:tcBorders>
              <w:top w:val="single" w:sz="4" w:space="0" w:color="17365D"/>
              <w:left w:val="none" w:sz="4" w:space="0" w:color="auto"/>
              <w:bottom w:val="single" w:sz="4" w:space="0" w:color="17365D"/>
              <w:right w:val="none" w:sz="4" w:space="0" w:color="auto"/>
            </w:tcBorders>
          </w:tcPr>
          <w:p>
            <w:pPr>
              <w:spacing w:before="80" w:after="80"/>
              <w:jc w:val="left"/>
            </w:pPr>
            <w:r>
              <w:rPr>
                <w:rFonts w:ascii="Calibri" w:hAnsi="Calibri"/>
                <w:b/>
                <w:color w:val="FFFFFF"/>
                <w:sz w:val="18"/>
              </w:rPr>
              <w:t>User Story Summary</w:t>
            </w:r>
          </w:p>
        </w:tc>
        <w:tc>
          <w:tcPr>
            <w:tcW w:type="dxa" w:w="1872"/>
            <w:shd w:fill="17365D"/>
            <w:tcBorders>
              <w:top w:val="single" w:sz="4" w:space="0" w:color="17365D"/>
              <w:left w:val="none" w:sz="4" w:space="0" w:color="auto"/>
              <w:bottom w:val="single" w:sz="4" w:space="0" w:color="17365D"/>
              <w:right w:val="none" w:sz="4" w:space="0" w:color="auto"/>
            </w:tcBorders>
          </w:tcPr>
          <w:p>
            <w:pPr>
              <w:spacing w:before="80" w:after="80"/>
              <w:jc w:val="left"/>
            </w:pPr>
            <w:r>
              <w:rPr>
                <w:rFonts w:ascii="Calibri" w:hAnsi="Calibri"/>
                <w:b/>
                <w:color w:val="FFFFFF"/>
                <w:sz w:val="18"/>
              </w:rPr>
              <w:t>Security Criteria</w:t>
            </w:r>
          </w:p>
        </w:tc>
      </w:tr>
      <w:tr>
        <w:tc>
          <w:tcPr>
            <w:tcW w:type="dxa" w:w="1008"/>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DWPG-10</w:t>
            </w:r>
          </w:p>
        </w:tc>
        <w:tc>
          <w:tcPr>
            <w:tcW w:type="dxa" w:w="1008"/>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STORY-01</w:t>
            </w:r>
          </w:p>
        </w:tc>
        <w:tc>
          <w:tcPr>
            <w:tcW w:type="dxa" w:w="1440"/>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DWPG-2: Auth</w:t>
            </w:r>
          </w:p>
        </w:tc>
        <w:tc>
          <w:tcPr>
            <w:tcW w:type="dxa" w:w="576"/>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5</w:t>
            </w:r>
          </w:p>
        </w:tc>
        <w:tc>
          <w:tcPr>
            <w:tcW w:type="dxa" w:w="864"/>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Sprint 1</w:t>
            </w:r>
          </w:p>
        </w:tc>
        <w:tc>
          <w:tcPr>
            <w:tcW w:type="dxa" w:w="259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Secure user registration &amp; authentication.</w:t>
            </w:r>
          </w:p>
        </w:tc>
        <w:tc>
          <w:tcPr>
            <w:tcW w:type="dxa" w:w="187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BCrypt cost 12, signed JWT, generic error msgs.</w:t>
            </w:r>
          </w:p>
        </w:tc>
      </w:tr>
      <w:tr>
        <w:tc>
          <w:tcPr>
            <w:tcW w:type="dxa" w:w="1008"/>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DWPG-11</w:t>
            </w:r>
          </w:p>
        </w:tc>
        <w:tc>
          <w:tcPr>
            <w:tcW w:type="dxa" w:w="1008"/>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STORY-02</w:t>
            </w:r>
          </w:p>
        </w:tc>
        <w:tc>
          <w:tcPr>
            <w:tcW w:type="dxa" w:w="1440"/>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DWPG-3: Wallet</w:t>
            </w:r>
          </w:p>
        </w:tc>
        <w:tc>
          <w:tcPr>
            <w:tcW w:type="dxa" w:w="576"/>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5</w:t>
            </w:r>
          </w:p>
        </w:tc>
        <w:tc>
          <w:tcPr>
            <w:tcW w:type="dxa" w:w="864"/>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Sprint 1</w:t>
            </w:r>
          </w:p>
        </w:tc>
        <w:tc>
          <w:tcPr>
            <w:tcW w:type="dxa" w:w="259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Wallet provisioning and simulated top-up.</w:t>
            </w:r>
          </w:p>
        </w:tc>
        <w:tc>
          <w:tcPr>
            <w:tcW w:type="dxa" w:w="187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BOLA owner validation, positive amount check.</w:t>
            </w:r>
          </w:p>
        </w:tc>
      </w:tr>
      <w:tr>
        <w:tc>
          <w:tcPr>
            <w:tcW w:type="dxa" w:w="1008"/>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DWPG-12</w:t>
            </w:r>
          </w:p>
        </w:tc>
        <w:tc>
          <w:tcPr>
            <w:tcW w:type="dxa" w:w="1008"/>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STORY-03</w:t>
            </w:r>
          </w:p>
        </w:tc>
        <w:tc>
          <w:tcPr>
            <w:tcW w:type="dxa" w:w="1440"/>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DWPG-3: Wallet</w:t>
            </w:r>
          </w:p>
        </w:tc>
        <w:tc>
          <w:tcPr>
            <w:tcW w:type="dxa" w:w="576"/>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3</w:t>
            </w:r>
          </w:p>
        </w:tc>
        <w:tc>
          <w:tcPr>
            <w:tcW w:type="dxa" w:w="864"/>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Sprint 1</w:t>
            </w:r>
          </w:p>
        </w:tc>
        <w:tc>
          <w:tcPr>
            <w:tcW w:type="dxa" w:w="259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Merchant registration &amp; API key issuance.</w:t>
            </w:r>
          </w:p>
        </w:tc>
        <w:tc>
          <w:tcPr>
            <w:tcW w:type="dxa" w:w="187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256-bit API key, XSS sanitization on business name.</w:t>
            </w:r>
          </w:p>
        </w:tc>
      </w:tr>
      <w:tr>
        <w:tc>
          <w:tcPr>
            <w:tcW w:type="dxa" w:w="1008"/>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DWPG-13</w:t>
            </w:r>
          </w:p>
        </w:tc>
        <w:tc>
          <w:tcPr>
            <w:tcW w:type="dxa" w:w="1008"/>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STORY-04</w:t>
            </w:r>
          </w:p>
        </w:tc>
        <w:tc>
          <w:tcPr>
            <w:tcW w:type="dxa" w:w="1440"/>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DWPG-4: Payment</w:t>
            </w:r>
          </w:p>
        </w:tc>
        <w:tc>
          <w:tcPr>
            <w:tcW w:type="dxa" w:w="576"/>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8</w:t>
            </w:r>
          </w:p>
        </w:tc>
        <w:tc>
          <w:tcPr>
            <w:tcW w:type="dxa" w:w="864"/>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Sprint 1</w:t>
            </w:r>
          </w:p>
        </w:tc>
        <w:tc>
          <w:tcPr>
            <w:tcW w:type="dxa" w:w="259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Payment initiation &amp; checkout execution.</w:t>
            </w:r>
          </w:p>
        </w:tc>
        <w:tc>
          <w:tcPr>
            <w:tcW w:type="dxa" w:w="187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Non-negative balance rule, atomic FSM.</w:t>
            </w:r>
          </w:p>
        </w:tc>
      </w:tr>
      <w:tr>
        <w:tc>
          <w:tcPr>
            <w:tcW w:type="dxa" w:w="1008"/>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DWPG-14</w:t>
            </w:r>
          </w:p>
        </w:tc>
        <w:tc>
          <w:tcPr>
            <w:tcW w:type="dxa" w:w="1008"/>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STORY-05</w:t>
            </w:r>
          </w:p>
        </w:tc>
        <w:tc>
          <w:tcPr>
            <w:tcW w:type="dxa" w:w="1440"/>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DWPG-6: Security</w:t>
            </w:r>
          </w:p>
        </w:tc>
        <w:tc>
          <w:tcPr>
            <w:tcW w:type="dxa" w:w="576"/>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5</w:t>
            </w:r>
          </w:p>
        </w:tc>
        <w:tc>
          <w:tcPr>
            <w:tcW w:type="dxa" w:w="864"/>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Sprint 1</w:t>
            </w:r>
          </w:p>
        </w:tc>
        <w:tc>
          <w:tcPr>
            <w:tcW w:type="dxa" w:w="259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Initial transactional audit logging.</w:t>
            </w:r>
          </w:p>
        </w:tc>
        <w:tc>
          <w:tcPr>
            <w:tcW w:type="dxa" w:w="187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Append-only table, credential scrubbing.</w:t>
            </w:r>
          </w:p>
        </w:tc>
      </w:tr>
      <w:tr>
        <w:tc>
          <w:tcPr>
            <w:tcW w:type="dxa" w:w="1008"/>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DWPG-15</w:t>
            </w:r>
          </w:p>
        </w:tc>
        <w:tc>
          <w:tcPr>
            <w:tcW w:type="dxa" w:w="1008"/>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DEF-001</w:t>
            </w:r>
          </w:p>
        </w:tc>
        <w:tc>
          <w:tcPr>
            <w:tcW w:type="dxa" w:w="1440"/>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DWPG-6: Security</w:t>
            </w:r>
          </w:p>
        </w:tc>
        <w:tc>
          <w:tcPr>
            <w:tcW w:type="dxa" w:w="576"/>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5</w:t>
            </w:r>
          </w:p>
        </w:tc>
        <w:tc>
          <w:tcPr>
            <w:tcW w:type="dxa" w:w="864"/>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S1 -&gt; S2</w:t>
            </w:r>
          </w:p>
        </w:tc>
        <w:tc>
          <w:tcPr>
            <w:tcW w:type="dxa" w:w="259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BUG: Race condition &amp; duplicate payment defect.</w:t>
            </w:r>
          </w:p>
        </w:tc>
        <w:tc>
          <w:tcPr>
            <w:tcW w:type="dxa" w:w="187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Pessimistic row locking &amp; Idempotency key fix.</w:t>
            </w:r>
          </w:p>
        </w:tc>
      </w:tr>
      <w:tr>
        <w:tc>
          <w:tcPr>
            <w:tcW w:type="dxa" w:w="1008"/>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DWPG-16</w:t>
            </w:r>
          </w:p>
        </w:tc>
        <w:tc>
          <w:tcPr>
            <w:tcW w:type="dxa" w:w="1008"/>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STORY-06</w:t>
            </w:r>
          </w:p>
        </w:tc>
        <w:tc>
          <w:tcPr>
            <w:tcW w:type="dxa" w:w="1440"/>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DWPG-6: Security</w:t>
            </w:r>
          </w:p>
        </w:tc>
        <w:tc>
          <w:tcPr>
            <w:tcW w:type="dxa" w:w="576"/>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5</w:t>
            </w:r>
          </w:p>
        </w:tc>
        <w:tc>
          <w:tcPr>
            <w:tcW w:type="dxa" w:w="864"/>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Sprint 2</w:t>
            </w:r>
          </w:p>
        </w:tc>
        <w:tc>
          <w:tcPr>
            <w:tcW w:type="dxa" w:w="259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Pessimistic row locking for double-spend defense.</w:t>
            </w:r>
          </w:p>
        </w:tc>
        <w:tc>
          <w:tcPr>
            <w:tcW w:type="dxa" w:w="187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Zero double-spending under parallel thread stress.</w:t>
            </w:r>
          </w:p>
        </w:tc>
      </w:tr>
      <w:tr>
        <w:tc>
          <w:tcPr>
            <w:tcW w:type="dxa" w:w="1008"/>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DWPG-17</w:t>
            </w:r>
          </w:p>
        </w:tc>
        <w:tc>
          <w:tcPr>
            <w:tcW w:type="dxa" w:w="1008"/>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STORY-07</w:t>
            </w:r>
          </w:p>
        </w:tc>
        <w:tc>
          <w:tcPr>
            <w:tcW w:type="dxa" w:w="1440"/>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DWPG-6: Security</w:t>
            </w:r>
          </w:p>
        </w:tc>
        <w:tc>
          <w:tcPr>
            <w:tcW w:type="dxa" w:w="576"/>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5</w:t>
            </w:r>
          </w:p>
        </w:tc>
        <w:tc>
          <w:tcPr>
            <w:tcW w:type="dxa" w:w="864"/>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Sprint 2</w:t>
            </w:r>
          </w:p>
        </w:tc>
        <w:tc>
          <w:tcPr>
            <w:tcW w:type="dxa" w:w="259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Mandatory Idempotency-Key &amp; SHA-256 payload binding.</w:t>
            </w:r>
          </w:p>
        </w:tc>
        <w:tc>
          <w:tcPr>
            <w:tcW w:type="dxa" w:w="187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Replayed requests return cached result (409 on tamper).</w:t>
            </w:r>
          </w:p>
        </w:tc>
      </w:tr>
      <w:tr>
        <w:tc>
          <w:tcPr>
            <w:tcW w:type="dxa" w:w="1008"/>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DWPG-18</w:t>
            </w:r>
          </w:p>
        </w:tc>
        <w:tc>
          <w:tcPr>
            <w:tcW w:type="dxa" w:w="1008"/>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STORY-08</w:t>
            </w:r>
          </w:p>
        </w:tc>
        <w:tc>
          <w:tcPr>
            <w:tcW w:type="dxa" w:w="1440"/>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DWPG-5: Refunds</w:t>
            </w:r>
          </w:p>
        </w:tc>
        <w:tc>
          <w:tcPr>
            <w:tcW w:type="dxa" w:w="576"/>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5</w:t>
            </w:r>
          </w:p>
        </w:tc>
        <w:tc>
          <w:tcPr>
            <w:tcW w:type="dxa" w:w="864"/>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Sprint 2</w:t>
            </w:r>
          </w:p>
        </w:tc>
        <w:tc>
          <w:tcPr>
            <w:tcW w:type="dxa" w:w="259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Merchant refund processing &amp; ledger reversal.</w:t>
            </w:r>
          </w:p>
        </w:tc>
        <w:tc>
          <w:tcPr>
            <w:tcW w:type="dxa" w:w="187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Only authorized owner can refund; status must be CONFIRMED.</w:t>
            </w:r>
          </w:p>
        </w:tc>
      </w:tr>
      <w:tr>
        <w:tc>
          <w:tcPr>
            <w:tcW w:type="dxa" w:w="1008"/>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DWPG-19</w:t>
            </w:r>
          </w:p>
        </w:tc>
        <w:tc>
          <w:tcPr>
            <w:tcW w:type="dxa" w:w="1008"/>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STORY-09</w:t>
            </w:r>
          </w:p>
        </w:tc>
        <w:tc>
          <w:tcPr>
            <w:tcW w:type="dxa" w:w="1440"/>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DWPG-5: Refunds</w:t>
            </w:r>
          </w:p>
        </w:tc>
        <w:tc>
          <w:tcPr>
            <w:tcW w:type="dxa" w:w="576"/>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3</w:t>
            </w:r>
          </w:p>
        </w:tc>
        <w:tc>
          <w:tcPr>
            <w:tcW w:type="dxa" w:w="864"/>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Sprint 2</w:t>
            </w:r>
          </w:p>
        </w:tc>
        <w:tc>
          <w:tcPr>
            <w:tcW w:type="dxa" w:w="259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Immutable transaction history ledger.</w:t>
            </w:r>
          </w:p>
        </w:tc>
        <w:tc>
          <w:tcPr>
            <w:tcW w:type="dxa" w:w="187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BOLA isolation prevents foreign ledger viewing.</w:t>
            </w:r>
          </w:p>
        </w:tc>
      </w:tr>
      <w:tr>
        <w:tc>
          <w:tcPr>
            <w:tcW w:type="dxa" w:w="1008"/>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DWPG-20</w:t>
            </w:r>
          </w:p>
        </w:tc>
        <w:tc>
          <w:tcPr>
            <w:tcW w:type="dxa" w:w="1008"/>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STORY-10</w:t>
            </w:r>
          </w:p>
        </w:tc>
        <w:tc>
          <w:tcPr>
            <w:tcW w:type="dxa" w:w="1440"/>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DWPG-6: Security</w:t>
            </w:r>
          </w:p>
        </w:tc>
        <w:tc>
          <w:tcPr>
            <w:tcW w:type="dxa" w:w="576"/>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5</w:t>
            </w:r>
          </w:p>
        </w:tc>
        <w:tc>
          <w:tcPr>
            <w:tcW w:type="dxa" w:w="864"/>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Sprint 2</w:t>
            </w:r>
          </w:p>
        </w:tc>
        <w:tc>
          <w:tcPr>
            <w:tcW w:type="dxa" w:w="259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Admin security audit log explorer &amp; SIEM.</w:t>
            </w:r>
          </w:p>
        </w:tc>
        <w:tc>
          <w:tcPr>
            <w:tcW w:type="dxa" w:w="187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Strict ROLE_ADMIN verification; unprivileged receive 403.</w:t>
            </w:r>
          </w:p>
        </w:tc>
      </w:tr>
      <w:tr>
        <w:tc>
          <w:tcPr>
            <w:tcW w:type="dxa" w:w="1008"/>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DWPG-21</w:t>
            </w:r>
          </w:p>
        </w:tc>
        <w:tc>
          <w:tcPr>
            <w:tcW w:type="dxa" w:w="1008"/>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STORY-11</w:t>
            </w:r>
          </w:p>
        </w:tc>
        <w:tc>
          <w:tcPr>
            <w:tcW w:type="dxa" w:w="1440"/>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DWPG-7: DevSecOps</w:t>
            </w:r>
          </w:p>
        </w:tc>
        <w:tc>
          <w:tcPr>
            <w:tcW w:type="dxa" w:w="576"/>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3</w:t>
            </w:r>
          </w:p>
        </w:tc>
        <w:tc>
          <w:tcPr>
            <w:tcW w:type="dxa" w:w="864"/>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Sprint 2</w:t>
            </w:r>
          </w:p>
        </w:tc>
        <w:tc>
          <w:tcPr>
            <w:tcW w:type="dxa" w:w="259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Multi-stage Docker &amp; Kubernetes manifests.</w:t>
            </w:r>
          </w:p>
        </w:tc>
        <w:tc>
          <w:tcPr>
            <w:tcW w:type="dxa" w:w="187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Non-root user (UID 10001), dropped capabilities.</w:t>
            </w:r>
          </w:p>
        </w:tc>
      </w:tr>
      <w:tr>
        <w:tc>
          <w:tcPr>
            <w:tcW w:type="dxa" w:w="1008"/>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DWPG-22</w:t>
            </w:r>
          </w:p>
        </w:tc>
        <w:tc>
          <w:tcPr>
            <w:tcW w:type="dxa" w:w="1008"/>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STORY-12</w:t>
            </w:r>
          </w:p>
        </w:tc>
        <w:tc>
          <w:tcPr>
            <w:tcW w:type="dxa" w:w="1440"/>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DWPG-8: Testing</w:t>
            </w:r>
          </w:p>
        </w:tc>
        <w:tc>
          <w:tcPr>
            <w:tcW w:type="dxa" w:w="576"/>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3</w:t>
            </w:r>
          </w:p>
        </w:tc>
        <w:tc>
          <w:tcPr>
            <w:tcW w:type="dxa" w:w="864"/>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Sprint 2</w:t>
            </w:r>
          </w:p>
        </w:tc>
        <w:tc>
          <w:tcPr>
            <w:tcW w:type="dxa" w:w="259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Automated security test suite &amp; quality gate.</w:t>
            </w:r>
          </w:p>
        </w:tc>
        <w:tc>
          <w:tcPr>
            <w:tcW w:type="dxa" w:w="187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100% pass on security suite, SonarQube Gate OK.</w:t>
            </w:r>
          </w:p>
        </w:tc>
      </w:tr>
    </w:tbl>
    <w:p>
      <w:pPr>
        <w:spacing w:after="120"/>
      </w:pPr>
    </w:p>
    <w:p>
      <w:pPr>
        <w:keepNext/>
        <w:spacing w:before="360" w:after="160"/>
      </w:pPr>
      <w:r>
        <w:rPr>
          <w:rFonts w:ascii="Calibri" w:hAnsi="Calibri"/>
          <w:b/>
          <w:color w:val="17365D"/>
          <w:sz w:val="34"/>
        </w:rPr>
        <w:t>10. Sprint Execution and Scrum Metrics (Phase 10)</w:t>
      </w:r>
    </w:p>
    <w:p>
      <w:pPr>
        <w:keepNext/>
        <w:spacing w:before="280" w:after="120"/>
      </w:pPr>
      <w:r>
        <w:rPr>
          <w:rFonts w:ascii="Calibri" w:hAnsi="Calibri"/>
          <w:b/>
          <w:color w:val="1F4E79"/>
          <w:sz w:val="26"/>
        </w:rPr>
        <w:t>10.1 Two-Sprint Cadence Summary</w:t>
      </w:r>
    </w:p>
    <w:p>
      <w:pPr>
        <w:spacing w:before="0" w:after="120" w:line="276" w:lineRule="auto"/>
      </w:pPr>
      <w:r>
        <w:rPr>
          <w:rFonts w:ascii="Calibri" w:hAnsi="Calibri"/>
          <w:color w:val="172033"/>
          <w:sz w:val="20"/>
        </w:rPr>
        <w:t>• Sprint 1 Focus: Core MVP architecture, authentication, wallet provisioning, merchant onboarding, and initial payment processing. Committed: 26 Story Points. Completed: 21 Story Points. Defect DEF-001 (5 SP) identified during concurrency testing was carried over to Sprint 2 for comprehensive architectural remediation.</w:t>
      </w:r>
    </w:p>
    <w:p>
      <w:pPr>
        <w:spacing w:before="0" w:after="120" w:line="276" w:lineRule="auto"/>
      </w:pPr>
      <w:r>
        <w:rPr>
          <w:rFonts w:ascii="Calibri" w:hAnsi="Calibri"/>
          <w:color w:val="172033"/>
          <w:sz w:val="20"/>
        </w:rPr>
        <w:t>• Sprint 2 Focus: Security hardening, pessimistic database row locking, mandatory idempotency token cache, multi-role refund processing, Docker containerization, Minikube Kubernetes deployment, and automated security test suite. Committed: 26 Story Points. Completed: 26 Story Points (100% velocity achieved).</w:t>
      </w:r>
    </w:p>
    <w:p>
      <w:pPr>
        <w:keepNext/>
        <w:spacing w:before="160" w:after="60"/>
        <w:jc w:val="center"/>
      </w:pPr>
      <w:r>
        <w:drawing>
          <wp:inline xmlns:a="http://schemas.openxmlformats.org/drawingml/2006/main" xmlns:pic="http://schemas.openxmlformats.org/drawingml/2006/picture">
            <wp:extent cx="5303520" cy="3072855"/>
            <wp:docPr id="35" name="Picture 35"/>
            <wp:cNvGraphicFramePr>
              <a:graphicFrameLocks noChangeAspect="1"/>
            </wp:cNvGraphicFramePr>
            <a:graphic>
              <a:graphicData uri="http://schemas.openxmlformats.org/drawingml/2006/picture">
                <pic:pic>
                  <pic:nvPicPr>
                    <pic:cNvPr id="0" name="JIRA-01_jira_board_overview.png"/>
                    <pic:cNvPicPr/>
                  </pic:nvPicPr>
                  <pic:blipFill>
                    <a:blip r:embed="rId41"/>
                    <a:stretch>
                      <a:fillRect/>
                    </a:stretch>
                  </pic:blipFill>
                  <pic:spPr>
                    <a:xfrm>
                      <a:off x="0" y="0"/>
                      <a:ext cx="5303520" cy="3072855"/>
                    </a:xfrm>
                    <a:prstGeom prst="rect"/>
                  </pic:spPr>
                </pic:pic>
              </a:graphicData>
            </a:graphic>
          </wp:inline>
        </w:drawing>
      </w:r>
    </w:p>
    <w:p>
      <w:pPr>
        <w:spacing w:before="40" w:after="200"/>
        <w:jc w:val="center"/>
      </w:pPr>
      <w:r>
        <w:rPr>
          <w:rFonts w:ascii="Calibri" w:hAnsi="Calibri"/>
          <w:b/>
          <w:color w:val="17365D"/>
          <w:sz w:val="18"/>
        </w:rPr>
        <w:t xml:space="preserve">Figure 35: JIRA-01: DWPG Jira Project &amp; Board Overview. </w:t>
      </w:r>
      <w:r>
        <w:rPr>
          <w:rFonts w:ascii="Calibri" w:hAnsi="Calibri"/>
          <w:i/>
          <w:color w:val="64748B"/>
          <w:sz w:val="18"/>
        </w:rPr>
        <w:t>Atlassian Jira project configuration showing DWPG Board #101, Scrum cadence, and 52 total committed story points.</w:t>
      </w:r>
      <w:r>
        <w:rPr>
          <w:rFonts w:ascii="Calibri" w:hAnsi="Calibri"/>
          <w:b/>
          <w:color w:val="0F766E"/>
          <w:sz w:val="17"/>
        </w:rPr>
        <w:t xml:space="preserve"> [Phase 10: Jira Configuration]</w:t>
      </w:r>
    </w:p>
    <w:p>
      <w:pPr>
        <w:keepNext/>
        <w:spacing w:before="160" w:after="60"/>
        <w:jc w:val="center"/>
      </w:pPr>
      <w:r>
        <w:drawing>
          <wp:inline xmlns:a="http://schemas.openxmlformats.org/drawingml/2006/main" xmlns:pic="http://schemas.openxmlformats.org/drawingml/2006/picture">
            <wp:extent cx="5303520" cy="2870713"/>
            <wp:docPr id="36" name="Picture 36"/>
            <wp:cNvGraphicFramePr>
              <a:graphicFrameLocks noChangeAspect="1"/>
            </wp:cNvGraphicFramePr>
            <a:graphic>
              <a:graphicData uri="http://schemas.openxmlformats.org/drawingml/2006/picture">
                <pic:pic>
                  <pic:nvPicPr>
                    <pic:cNvPr id="0" name="JIRA-02_product_backlog.png"/>
                    <pic:cNvPicPr/>
                  </pic:nvPicPr>
                  <pic:blipFill>
                    <a:blip r:embed="rId42"/>
                    <a:stretch>
                      <a:fillRect/>
                    </a:stretch>
                  </pic:blipFill>
                  <pic:spPr>
                    <a:xfrm>
                      <a:off x="0" y="0"/>
                      <a:ext cx="5303520" cy="2870713"/>
                    </a:xfrm>
                    <a:prstGeom prst="rect"/>
                  </pic:spPr>
                </pic:pic>
              </a:graphicData>
            </a:graphic>
          </wp:inline>
        </w:drawing>
      </w:r>
    </w:p>
    <w:p>
      <w:pPr>
        <w:spacing w:before="40" w:after="200"/>
        <w:jc w:val="center"/>
      </w:pPr>
      <w:r>
        <w:rPr>
          <w:rFonts w:ascii="Calibri" w:hAnsi="Calibri"/>
          <w:b/>
          <w:color w:val="17365D"/>
          <w:sz w:val="18"/>
        </w:rPr>
        <w:t xml:space="preserve">Figure 36: JIRA-02: Product Backlog Prioritization View. </w:t>
      </w:r>
      <w:r>
        <w:rPr>
          <w:rFonts w:ascii="Calibri" w:hAnsi="Calibri"/>
          <w:i/>
          <w:color w:val="64748B"/>
          <w:sz w:val="18"/>
        </w:rPr>
        <w:t>Complete product backlog view displaying all 13 work items, epic tags, story points, and closed statuses.</w:t>
      </w:r>
      <w:r>
        <w:rPr>
          <w:rFonts w:ascii="Calibri" w:hAnsi="Calibri"/>
          <w:b/>
          <w:color w:val="0F766E"/>
          <w:sz w:val="17"/>
        </w:rPr>
        <w:t xml:space="preserve"> [Phase 9: Product Backlog]</w:t>
      </w:r>
    </w:p>
    <w:p>
      <w:pPr>
        <w:keepNext/>
        <w:spacing w:before="160" w:after="60"/>
        <w:jc w:val="center"/>
      </w:pPr>
      <w:r>
        <w:drawing>
          <wp:inline xmlns:a="http://schemas.openxmlformats.org/drawingml/2006/main" xmlns:pic="http://schemas.openxmlformats.org/drawingml/2006/picture">
            <wp:extent cx="5303520" cy="2624975"/>
            <wp:docPr id="37" name="Picture 37"/>
            <wp:cNvGraphicFramePr>
              <a:graphicFrameLocks noChangeAspect="1"/>
            </wp:cNvGraphicFramePr>
            <a:graphic>
              <a:graphicData uri="http://schemas.openxmlformats.org/drawingml/2006/picture">
                <pic:pic>
                  <pic:nvPicPr>
                    <pic:cNvPr id="0" name="JIRA-03_sprint1_planning.png"/>
                    <pic:cNvPicPr/>
                  </pic:nvPicPr>
                  <pic:blipFill>
                    <a:blip r:embed="rId43"/>
                    <a:stretch>
                      <a:fillRect/>
                    </a:stretch>
                  </pic:blipFill>
                  <pic:spPr>
                    <a:xfrm>
                      <a:off x="0" y="0"/>
                      <a:ext cx="5303520" cy="2624975"/>
                    </a:xfrm>
                    <a:prstGeom prst="rect"/>
                  </pic:spPr>
                </pic:pic>
              </a:graphicData>
            </a:graphic>
          </wp:inline>
        </w:drawing>
      </w:r>
    </w:p>
    <w:p>
      <w:pPr>
        <w:spacing w:before="40" w:after="200"/>
        <w:jc w:val="center"/>
      </w:pPr>
      <w:r>
        <w:rPr>
          <w:rFonts w:ascii="Calibri" w:hAnsi="Calibri"/>
          <w:b/>
          <w:color w:val="17365D"/>
          <w:sz w:val="18"/>
        </w:rPr>
        <w:t xml:space="preserve">Figure 37: JIRA-03: Sprint 1 Planning Scope Allocation. </w:t>
      </w:r>
      <w:r>
        <w:rPr>
          <w:rFonts w:ascii="Calibri" w:hAnsi="Calibri"/>
          <w:i/>
          <w:color w:val="64748B"/>
          <w:sz w:val="18"/>
        </w:rPr>
        <w:t>Sprint 1 scope commitment comprising 26 Story Points allocated across core MVP user stories.</w:t>
      </w:r>
      <w:r>
        <w:rPr>
          <w:rFonts w:ascii="Calibri" w:hAnsi="Calibri"/>
          <w:b/>
          <w:color w:val="0F766E"/>
          <w:sz w:val="17"/>
        </w:rPr>
        <w:t xml:space="preserve"> [Phase 10: Sprint 1 Planning]</w:t>
      </w:r>
    </w:p>
    <w:p>
      <w:pPr>
        <w:keepNext/>
        <w:spacing w:before="160" w:after="60"/>
        <w:jc w:val="center"/>
      </w:pPr>
      <w:r>
        <w:drawing>
          <wp:inline xmlns:a="http://schemas.openxmlformats.org/drawingml/2006/main" xmlns:pic="http://schemas.openxmlformats.org/drawingml/2006/picture">
            <wp:extent cx="5303520" cy="2624975"/>
            <wp:docPr id="38" name="Picture 38"/>
            <wp:cNvGraphicFramePr>
              <a:graphicFrameLocks noChangeAspect="1"/>
            </wp:cNvGraphicFramePr>
            <a:graphic>
              <a:graphicData uri="http://schemas.openxmlformats.org/drawingml/2006/picture">
                <pic:pic>
                  <pic:nvPicPr>
                    <pic:cNvPr id="0" name="JIRA-04_sprint1_scrum_board.png"/>
                    <pic:cNvPicPr/>
                  </pic:nvPicPr>
                  <pic:blipFill>
                    <a:blip r:embed="rId44"/>
                    <a:stretch>
                      <a:fillRect/>
                    </a:stretch>
                  </pic:blipFill>
                  <pic:spPr>
                    <a:xfrm>
                      <a:off x="0" y="0"/>
                      <a:ext cx="5303520" cy="2624975"/>
                    </a:xfrm>
                    <a:prstGeom prst="rect"/>
                  </pic:spPr>
                </pic:pic>
              </a:graphicData>
            </a:graphic>
          </wp:inline>
        </w:drawing>
      </w:r>
    </w:p>
    <w:p>
      <w:pPr>
        <w:spacing w:before="40" w:after="200"/>
        <w:jc w:val="center"/>
      </w:pPr>
      <w:r>
        <w:rPr>
          <w:rFonts w:ascii="Calibri" w:hAnsi="Calibri"/>
          <w:b/>
          <w:color w:val="17365D"/>
          <w:sz w:val="18"/>
        </w:rPr>
        <w:t xml:space="preserve">Figure 38: JIRA-04: Sprint 1 Active Scrum Board. </w:t>
      </w:r>
      <w:r>
        <w:rPr>
          <w:rFonts w:ascii="Calibri" w:hAnsi="Calibri"/>
          <w:i/>
          <w:color w:val="64748B"/>
          <w:sz w:val="18"/>
        </w:rPr>
        <w:t>Sprint 1 review state displaying 4 completed user stories (21 SP) and Defect DEF-001 flagged for Sprint 2 carryover.</w:t>
      </w:r>
      <w:r>
        <w:rPr>
          <w:rFonts w:ascii="Calibri" w:hAnsi="Calibri"/>
          <w:b/>
          <w:color w:val="0F766E"/>
          <w:sz w:val="17"/>
        </w:rPr>
        <w:t xml:space="preserve"> [Phase 10: Sprint 1 Board]</w:t>
      </w:r>
    </w:p>
    <w:p>
      <w:pPr>
        <w:keepNext/>
        <w:spacing w:before="160" w:after="60"/>
        <w:jc w:val="center"/>
      </w:pPr>
      <w:r>
        <w:drawing>
          <wp:inline xmlns:a="http://schemas.openxmlformats.org/drawingml/2006/main" xmlns:pic="http://schemas.openxmlformats.org/drawingml/2006/picture">
            <wp:extent cx="5303520" cy="2920923"/>
            <wp:docPr id="39" name="Picture 39"/>
            <wp:cNvGraphicFramePr>
              <a:graphicFrameLocks noChangeAspect="1"/>
            </wp:cNvGraphicFramePr>
            <a:graphic>
              <a:graphicData uri="http://schemas.openxmlformats.org/drawingml/2006/picture">
                <pic:pic>
                  <pic:nvPicPr>
                    <pic:cNvPr id="0" name="JIRA-05_sprint1_burndown.png"/>
                    <pic:cNvPicPr/>
                  </pic:nvPicPr>
                  <pic:blipFill>
                    <a:blip r:embed="rId45"/>
                    <a:stretch>
                      <a:fillRect/>
                    </a:stretch>
                  </pic:blipFill>
                  <pic:spPr>
                    <a:xfrm>
                      <a:off x="0" y="0"/>
                      <a:ext cx="5303520" cy="2920923"/>
                    </a:xfrm>
                    <a:prstGeom prst="rect"/>
                  </pic:spPr>
                </pic:pic>
              </a:graphicData>
            </a:graphic>
          </wp:inline>
        </w:drawing>
      </w:r>
    </w:p>
    <w:p>
      <w:pPr>
        <w:spacing w:before="40" w:after="200"/>
        <w:jc w:val="center"/>
      </w:pPr>
      <w:r>
        <w:rPr>
          <w:rFonts w:ascii="Calibri" w:hAnsi="Calibri"/>
          <w:b/>
          <w:color w:val="17365D"/>
          <w:sz w:val="18"/>
        </w:rPr>
        <w:t xml:space="preserve">Figure 39: JIRA-05: Sprint 1 Burndown Chart. </w:t>
      </w:r>
      <w:r>
        <w:rPr>
          <w:rFonts w:ascii="Calibri" w:hAnsi="Calibri"/>
          <w:i/>
          <w:color w:val="64748B"/>
          <w:sz w:val="18"/>
        </w:rPr>
        <w:t>Burndown curve illustrating velocity drop on Day 8 due to discovery of concurrency race condition defect DEF-001.</w:t>
      </w:r>
      <w:r>
        <w:rPr>
          <w:rFonts w:ascii="Calibri" w:hAnsi="Calibri"/>
          <w:b/>
          <w:color w:val="0F766E"/>
          <w:sz w:val="17"/>
        </w:rPr>
        <w:t xml:space="preserve"> [Phase 10: Sprint 1 Burndown]</w:t>
      </w:r>
    </w:p>
    <w:p>
      <w:pPr>
        <w:keepNext/>
        <w:spacing w:before="160" w:after="60"/>
        <w:jc w:val="center"/>
      </w:pPr>
      <w:r>
        <w:drawing>
          <wp:inline xmlns:a="http://schemas.openxmlformats.org/drawingml/2006/main" xmlns:pic="http://schemas.openxmlformats.org/drawingml/2006/picture">
            <wp:extent cx="5303520" cy="2624975"/>
            <wp:docPr id="40" name="Picture 40"/>
            <wp:cNvGraphicFramePr>
              <a:graphicFrameLocks noChangeAspect="1"/>
            </wp:cNvGraphicFramePr>
            <a:graphic>
              <a:graphicData uri="http://schemas.openxmlformats.org/drawingml/2006/picture">
                <pic:pic>
                  <pic:nvPicPr>
                    <pic:cNvPr id="0" name="JIRA-06_sprint2_planning.png"/>
                    <pic:cNvPicPr/>
                  </pic:nvPicPr>
                  <pic:blipFill>
                    <a:blip r:embed="rId46"/>
                    <a:stretch>
                      <a:fillRect/>
                    </a:stretch>
                  </pic:blipFill>
                  <pic:spPr>
                    <a:xfrm>
                      <a:off x="0" y="0"/>
                      <a:ext cx="5303520" cy="2624975"/>
                    </a:xfrm>
                    <a:prstGeom prst="rect"/>
                  </pic:spPr>
                </pic:pic>
              </a:graphicData>
            </a:graphic>
          </wp:inline>
        </w:drawing>
      </w:r>
    </w:p>
    <w:p>
      <w:pPr>
        <w:spacing w:before="40" w:after="200"/>
        <w:jc w:val="center"/>
      </w:pPr>
      <w:r>
        <w:rPr>
          <w:rFonts w:ascii="Calibri" w:hAnsi="Calibri"/>
          <w:b/>
          <w:color w:val="17365D"/>
          <w:sz w:val="18"/>
        </w:rPr>
        <w:t xml:space="preserve">Figure 40: JIRA-06: Sprint 2 Planning &amp; Hardening Scope. </w:t>
      </w:r>
      <w:r>
        <w:rPr>
          <w:rFonts w:ascii="Calibri" w:hAnsi="Calibri"/>
          <w:i/>
          <w:color w:val="64748B"/>
          <w:sz w:val="18"/>
        </w:rPr>
        <w:t>Sprint 2 scope allocation comprising 26 Story Points focused on row locking, idempotency, K8s, and QA.</w:t>
      </w:r>
      <w:r>
        <w:rPr>
          <w:rFonts w:ascii="Calibri" w:hAnsi="Calibri"/>
          <w:b/>
          <w:color w:val="0F766E"/>
          <w:sz w:val="17"/>
        </w:rPr>
        <w:t xml:space="preserve"> [Phase 10: Sprint 2 Planning]</w:t>
      </w:r>
    </w:p>
    <w:p>
      <w:pPr>
        <w:keepNext/>
        <w:spacing w:before="160" w:after="60"/>
        <w:jc w:val="center"/>
      </w:pPr>
      <w:r>
        <w:drawing>
          <wp:inline xmlns:a="http://schemas.openxmlformats.org/drawingml/2006/main" xmlns:pic="http://schemas.openxmlformats.org/drawingml/2006/picture">
            <wp:extent cx="5303520" cy="2624975"/>
            <wp:docPr id="41" name="Picture 41"/>
            <wp:cNvGraphicFramePr>
              <a:graphicFrameLocks noChangeAspect="1"/>
            </wp:cNvGraphicFramePr>
            <a:graphic>
              <a:graphicData uri="http://schemas.openxmlformats.org/drawingml/2006/picture">
                <pic:pic>
                  <pic:nvPicPr>
                    <pic:cNvPr id="0" name="JIRA-07_sprint2_scrum_board.png"/>
                    <pic:cNvPicPr/>
                  </pic:nvPicPr>
                  <pic:blipFill>
                    <a:blip r:embed="rId47"/>
                    <a:stretch>
                      <a:fillRect/>
                    </a:stretch>
                  </pic:blipFill>
                  <pic:spPr>
                    <a:xfrm>
                      <a:off x="0" y="0"/>
                      <a:ext cx="5303520" cy="2624975"/>
                    </a:xfrm>
                    <a:prstGeom prst="rect"/>
                  </pic:spPr>
                </pic:pic>
              </a:graphicData>
            </a:graphic>
          </wp:inline>
        </w:drawing>
      </w:r>
    </w:p>
    <w:p>
      <w:pPr>
        <w:spacing w:before="40" w:after="200"/>
        <w:jc w:val="center"/>
      </w:pPr>
      <w:r>
        <w:rPr>
          <w:rFonts w:ascii="Calibri" w:hAnsi="Calibri"/>
          <w:b/>
          <w:color w:val="17365D"/>
          <w:sz w:val="18"/>
        </w:rPr>
        <w:t xml:space="preserve">Figure 41: JIRA-07: Sprint 2 Active Scrum Board. </w:t>
      </w:r>
      <w:r>
        <w:rPr>
          <w:rFonts w:ascii="Calibri" w:hAnsi="Calibri"/>
          <w:i/>
          <w:color w:val="64748B"/>
          <w:sz w:val="18"/>
        </w:rPr>
        <w:t>Final Sprint 2 Scrum board with 100% of user stories and carried-over defect DEF-001 closed in DONE column.</w:t>
      </w:r>
      <w:r>
        <w:rPr>
          <w:rFonts w:ascii="Calibri" w:hAnsi="Calibri"/>
          <w:b/>
          <w:color w:val="0F766E"/>
          <w:sz w:val="17"/>
        </w:rPr>
        <w:t xml:space="preserve"> [Phase 10: Sprint 2 Board]</w:t>
      </w:r>
    </w:p>
    <w:p>
      <w:pPr>
        <w:keepNext/>
        <w:spacing w:before="160" w:after="60"/>
        <w:jc w:val="center"/>
      </w:pPr>
      <w:r>
        <w:drawing>
          <wp:inline xmlns:a="http://schemas.openxmlformats.org/drawingml/2006/main" xmlns:pic="http://schemas.openxmlformats.org/drawingml/2006/picture">
            <wp:extent cx="5303520" cy="2952370"/>
            <wp:docPr id="42" name="Picture 42"/>
            <wp:cNvGraphicFramePr>
              <a:graphicFrameLocks noChangeAspect="1"/>
            </wp:cNvGraphicFramePr>
            <a:graphic>
              <a:graphicData uri="http://schemas.openxmlformats.org/drawingml/2006/picture">
                <pic:pic>
                  <pic:nvPicPr>
                    <pic:cNvPr id="0" name="JIRA-08_sprint2_burndown.png"/>
                    <pic:cNvPicPr/>
                  </pic:nvPicPr>
                  <pic:blipFill>
                    <a:blip r:embed="rId48"/>
                    <a:stretch>
                      <a:fillRect/>
                    </a:stretch>
                  </pic:blipFill>
                  <pic:spPr>
                    <a:xfrm>
                      <a:off x="0" y="0"/>
                      <a:ext cx="5303520" cy="2952370"/>
                    </a:xfrm>
                    <a:prstGeom prst="rect"/>
                  </pic:spPr>
                </pic:pic>
              </a:graphicData>
            </a:graphic>
          </wp:inline>
        </w:drawing>
      </w:r>
    </w:p>
    <w:p>
      <w:pPr>
        <w:spacing w:before="40" w:after="200"/>
        <w:jc w:val="center"/>
      </w:pPr>
      <w:r>
        <w:rPr>
          <w:rFonts w:ascii="Calibri" w:hAnsi="Calibri"/>
          <w:b/>
          <w:color w:val="17365D"/>
          <w:sz w:val="18"/>
        </w:rPr>
        <w:t xml:space="preserve">Figure 42: JIRA-08: Sprint 2 Burndown Chart. </w:t>
      </w:r>
      <w:r>
        <w:rPr>
          <w:rFonts w:ascii="Calibri" w:hAnsi="Calibri"/>
          <w:i/>
          <w:color w:val="64748B"/>
          <w:sz w:val="18"/>
        </w:rPr>
        <w:t>Ideal and actual burndown curve showing smooth trajectory to 0 remaining story points on Day 10.</w:t>
      </w:r>
      <w:r>
        <w:rPr>
          <w:rFonts w:ascii="Calibri" w:hAnsi="Calibri"/>
          <w:b/>
          <w:color w:val="0F766E"/>
          <w:sz w:val="17"/>
        </w:rPr>
        <w:t xml:space="preserve"> [Phase 10: Sprint 2 Burndown]</w:t>
      </w:r>
    </w:p>
    <w:p>
      <w:pPr>
        <w:keepNext/>
        <w:spacing w:before="160" w:after="60"/>
        <w:jc w:val="center"/>
      </w:pPr>
      <w:r>
        <w:drawing>
          <wp:inline xmlns:a="http://schemas.openxmlformats.org/drawingml/2006/main" xmlns:pic="http://schemas.openxmlformats.org/drawingml/2006/picture">
            <wp:extent cx="5303520" cy="2624975"/>
            <wp:docPr id="43" name="Picture 43"/>
            <wp:cNvGraphicFramePr>
              <a:graphicFrameLocks noChangeAspect="1"/>
            </wp:cNvGraphicFramePr>
            <a:graphic>
              <a:graphicData uri="http://schemas.openxmlformats.org/drawingml/2006/picture">
                <pic:pic>
                  <pic:nvPicPr>
                    <pic:cNvPr id="0" name="JIRA-09_epic_dwpg2_auth.png"/>
                    <pic:cNvPicPr/>
                  </pic:nvPicPr>
                  <pic:blipFill>
                    <a:blip r:embed="rId49"/>
                    <a:stretch>
                      <a:fillRect/>
                    </a:stretch>
                  </pic:blipFill>
                  <pic:spPr>
                    <a:xfrm>
                      <a:off x="0" y="0"/>
                      <a:ext cx="5303520" cy="2624975"/>
                    </a:xfrm>
                    <a:prstGeom prst="rect"/>
                  </pic:spPr>
                </pic:pic>
              </a:graphicData>
            </a:graphic>
          </wp:inline>
        </w:drawing>
      </w:r>
    </w:p>
    <w:p>
      <w:pPr>
        <w:spacing w:before="40" w:after="200"/>
        <w:jc w:val="center"/>
      </w:pPr>
      <w:r>
        <w:rPr>
          <w:rFonts w:ascii="Calibri" w:hAnsi="Calibri"/>
          <w:b/>
          <w:color w:val="17365D"/>
          <w:sz w:val="18"/>
        </w:rPr>
        <w:t xml:space="preserve">Figure 43: JIRA-09: Epic DWPG-2 Authentication Details. </w:t>
      </w:r>
      <w:r>
        <w:rPr>
          <w:rFonts w:ascii="Calibri" w:hAnsi="Calibri"/>
          <w:i/>
          <w:color w:val="64748B"/>
          <w:sz w:val="18"/>
        </w:rPr>
        <w:t>Jira Epic card detailing NIST compliance, BCrypt factor 12 hashing, and JWT session handling.</w:t>
      </w:r>
      <w:r>
        <w:rPr>
          <w:rFonts w:ascii="Calibri" w:hAnsi="Calibri"/>
          <w:b/>
          <w:color w:val="0F766E"/>
          <w:sz w:val="17"/>
        </w:rPr>
        <w:t xml:space="preserve"> [Phase 9: Epic DWPG-2]</w:t>
      </w:r>
    </w:p>
    <w:p>
      <w:pPr>
        <w:keepNext/>
        <w:spacing w:before="160" w:after="60"/>
        <w:jc w:val="center"/>
      </w:pPr>
      <w:r>
        <w:drawing>
          <wp:inline xmlns:a="http://schemas.openxmlformats.org/drawingml/2006/main" xmlns:pic="http://schemas.openxmlformats.org/drawingml/2006/picture">
            <wp:extent cx="5303520" cy="2624975"/>
            <wp:docPr id="44" name="Picture 44"/>
            <wp:cNvGraphicFramePr>
              <a:graphicFrameLocks noChangeAspect="1"/>
            </wp:cNvGraphicFramePr>
            <a:graphic>
              <a:graphicData uri="http://schemas.openxmlformats.org/drawingml/2006/picture">
                <pic:pic>
                  <pic:nvPicPr>
                    <pic:cNvPr id="0" name="JIRA-10_epic_dwpg3_wallet.png"/>
                    <pic:cNvPicPr/>
                  </pic:nvPicPr>
                  <pic:blipFill>
                    <a:blip r:embed="rId50"/>
                    <a:stretch>
                      <a:fillRect/>
                    </a:stretch>
                  </pic:blipFill>
                  <pic:spPr>
                    <a:xfrm>
                      <a:off x="0" y="0"/>
                      <a:ext cx="5303520" cy="2624975"/>
                    </a:xfrm>
                    <a:prstGeom prst="rect"/>
                  </pic:spPr>
                </pic:pic>
              </a:graphicData>
            </a:graphic>
          </wp:inline>
        </w:drawing>
      </w:r>
    </w:p>
    <w:p>
      <w:pPr>
        <w:spacing w:before="40" w:after="200"/>
        <w:jc w:val="center"/>
      </w:pPr>
      <w:r>
        <w:rPr>
          <w:rFonts w:ascii="Calibri" w:hAnsi="Calibri"/>
          <w:b/>
          <w:color w:val="17365D"/>
          <w:sz w:val="18"/>
        </w:rPr>
        <w:t xml:space="preserve">Figure 44: JIRA-10: Epic DWPG-3 Wallet Details. </w:t>
      </w:r>
      <w:r>
        <w:rPr>
          <w:rFonts w:ascii="Calibri" w:hAnsi="Calibri"/>
          <w:i/>
          <w:color w:val="64748B"/>
          <w:sz w:val="18"/>
        </w:rPr>
        <w:t>Jira Epic card detailing wallet balance provisioning, non-negative balance constraints, and BOLA defense.</w:t>
      </w:r>
      <w:r>
        <w:rPr>
          <w:rFonts w:ascii="Calibri" w:hAnsi="Calibri"/>
          <w:b/>
          <w:color w:val="0F766E"/>
          <w:sz w:val="17"/>
        </w:rPr>
        <w:t xml:space="preserve"> [Phase 9: Epic DWPG-3]</w:t>
      </w:r>
    </w:p>
    <w:p>
      <w:pPr>
        <w:keepNext/>
        <w:spacing w:before="160" w:after="60"/>
        <w:jc w:val="center"/>
      </w:pPr>
      <w:r>
        <w:drawing>
          <wp:inline xmlns:a="http://schemas.openxmlformats.org/drawingml/2006/main" xmlns:pic="http://schemas.openxmlformats.org/drawingml/2006/picture">
            <wp:extent cx="5303520" cy="2624975"/>
            <wp:docPr id="45" name="Picture 45"/>
            <wp:cNvGraphicFramePr>
              <a:graphicFrameLocks noChangeAspect="1"/>
            </wp:cNvGraphicFramePr>
            <a:graphic>
              <a:graphicData uri="http://schemas.openxmlformats.org/drawingml/2006/picture">
                <pic:pic>
                  <pic:nvPicPr>
                    <pic:cNvPr id="0" name="JIRA-11_epic_dwpg4_payment.png"/>
                    <pic:cNvPicPr/>
                  </pic:nvPicPr>
                  <pic:blipFill>
                    <a:blip r:embed="rId51"/>
                    <a:stretch>
                      <a:fillRect/>
                    </a:stretch>
                  </pic:blipFill>
                  <pic:spPr>
                    <a:xfrm>
                      <a:off x="0" y="0"/>
                      <a:ext cx="5303520" cy="2624975"/>
                    </a:xfrm>
                    <a:prstGeom prst="rect"/>
                  </pic:spPr>
                </pic:pic>
              </a:graphicData>
            </a:graphic>
          </wp:inline>
        </w:drawing>
      </w:r>
    </w:p>
    <w:p>
      <w:pPr>
        <w:spacing w:before="40" w:after="200"/>
        <w:jc w:val="center"/>
      </w:pPr>
      <w:r>
        <w:rPr>
          <w:rFonts w:ascii="Calibri" w:hAnsi="Calibri"/>
          <w:b/>
          <w:color w:val="17365D"/>
          <w:sz w:val="18"/>
        </w:rPr>
        <w:t xml:space="preserve">Figure 45: JIRA-11: Epic DWPG-4 Payment Core Details. </w:t>
      </w:r>
      <w:r>
        <w:rPr>
          <w:rFonts w:ascii="Calibri" w:hAnsi="Calibri"/>
          <w:i/>
          <w:color w:val="64748B"/>
          <w:sz w:val="18"/>
        </w:rPr>
        <w:t>Jira Epic card detailing double-entry accounting, atomic debit/credit settlement, and state transitions.</w:t>
      </w:r>
      <w:r>
        <w:rPr>
          <w:rFonts w:ascii="Calibri" w:hAnsi="Calibri"/>
          <w:b/>
          <w:color w:val="0F766E"/>
          <w:sz w:val="17"/>
        </w:rPr>
        <w:t xml:space="preserve"> [Phase 9: Epic DWPG-4]</w:t>
      </w:r>
    </w:p>
    <w:p>
      <w:pPr>
        <w:keepNext/>
        <w:spacing w:before="160" w:after="60"/>
        <w:jc w:val="center"/>
      </w:pPr>
      <w:r>
        <w:drawing>
          <wp:inline xmlns:a="http://schemas.openxmlformats.org/drawingml/2006/main" xmlns:pic="http://schemas.openxmlformats.org/drawingml/2006/picture">
            <wp:extent cx="5303520" cy="2624975"/>
            <wp:docPr id="46" name="Picture 46"/>
            <wp:cNvGraphicFramePr>
              <a:graphicFrameLocks noChangeAspect="1"/>
            </wp:cNvGraphicFramePr>
            <a:graphic>
              <a:graphicData uri="http://schemas.openxmlformats.org/drawingml/2006/picture">
                <pic:pic>
                  <pic:nvPicPr>
                    <pic:cNvPr id="0" name="JIRA-12_epic_dwpg5_refunds.png"/>
                    <pic:cNvPicPr/>
                  </pic:nvPicPr>
                  <pic:blipFill>
                    <a:blip r:embed="rId52"/>
                    <a:stretch>
                      <a:fillRect/>
                    </a:stretch>
                  </pic:blipFill>
                  <pic:spPr>
                    <a:xfrm>
                      <a:off x="0" y="0"/>
                      <a:ext cx="5303520" cy="2624975"/>
                    </a:xfrm>
                    <a:prstGeom prst="rect"/>
                  </pic:spPr>
                </pic:pic>
              </a:graphicData>
            </a:graphic>
          </wp:inline>
        </w:drawing>
      </w:r>
    </w:p>
    <w:p>
      <w:pPr>
        <w:spacing w:before="40" w:after="200"/>
        <w:jc w:val="center"/>
      </w:pPr>
      <w:r>
        <w:rPr>
          <w:rFonts w:ascii="Calibri" w:hAnsi="Calibri"/>
          <w:b/>
          <w:color w:val="17365D"/>
          <w:sz w:val="18"/>
        </w:rPr>
        <w:t xml:space="preserve">Figure 46: JIRA-12: Epic DWPG-5 Refunds &amp; Ledger Details. </w:t>
      </w:r>
      <w:r>
        <w:rPr>
          <w:rFonts w:ascii="Calibri" w:hAnsi="Calibri"/>
          <w:i/>
          <w:color w:val="64748B"/>
          <w:sz w:val="18"/>
        </w:rPr>
        <w:t>Jira Epic card detailing authorized refund reversal, duplicate refund prevention, and ledger immutability.</w:t>
      </w:r>
      <w:r>
        <w:rPr>
          <w:rFonts w:ascii="Calibri" w:hAnsi="Calibri"/>
          <w:b/>
          <w:color w:val="0F766E"/>
          <w:sz w:val="17"/>
        </w:rPr>
        <w:t xml:space="preserve"> [Phase 9: Epic DWPG-5]</w:t>
      </w:r>
    </w:p>
    <w:p>
      <w:pPr>
        <w:keepNext/>
        <w:spacing w:before="160" w:after="60"/>
        <w:jc w:val="center"/>
      </w:pPr>
      <w:r>
        <w:drawing>
          <wp:inline xmlns:a="http://schemas.openxmlformats.org/drawingml/2006/main" xmlns:pic="http://schemas.openxmlformats.org/drawingml/2006/picture">
            <wp:extent cx="5303520" cy="2668095"/>
            <wp:docPr id="47" name="Picture 47"/>
            <wp:cNvGraphicFramePr>
              <a:graphicFrameLocks noChangeAspect="1"/>
            </wp:cNvGraphicFramePr>
            <a:graphic>
              <a:graphicData uri="http://schemas.openxmlformats.org/drawingml/2006/picture">
                <pic:pic>
                  <pic:nvPicPr>
                    <pic:cNvPr id="0" name="JIRA-13_epic_dwpg6_security.png"/>
                    <pic:cNvPicPr/>
                  </pic:nvPicPr>
                  <pic:blipFill>
                    <a:blip r:embed="rId53"/>
                    <a:stretch>
                      <a:fillRect/>
                    </a:stretch>
                  </pic:blipFill>
                  <pic:spPr>
                    <a:xfrm>
                      <a:off x="0" y="0"/>
                      <a:ext cx="5303520" cy="2668095"/>
                    </a:xfrm>
                    <a:prstGeom prst="rect"/>
                  </pic:spPr>
                </pic:pic>
              </a:graphicData>
            </a:graphic>
          </wp:inline>
        </w:drawing>
      </w:r>
    </w:p>
    <w:p>
      <w:pPr>
        <w:spacing w:before="40" w:after="200"/>
        <w:jc w:val="center"/>
      </w:pPr>
      <w:r>
        <w:rPr>
          <w:rFonts w:ascii="Calibri" w:hAnsi="Calibri"/>
          <w:b/>
          <w:color w:val="17365D"/>
          <w:sz w:val="18"/>
        </w:rPr>
        <w:t xml:space="preserve">Figure 47: JIRA-13: Epic DWPG-6 Security Controls Details. </w:t>
      </w:r>
      <w:r>
        <w:rPr>
          <w:rFonts w:ascii="Calibri" w:hAnsi="Calibri"/>
          <w:i/>
          <w:color w:val="64748B"/>
          <w:sz w:val="18"/>
        </w:rPr>
        <w:t>Jira Epic card detailing pessimistic DB row locking, mandatory Idempotency-Key headers, and SIEM logging.</w:t>
      </w:r>
      <w:r>
        <w:rPr>
          <w:rFonts w:ascii="Calibri" w:hAnsi="Calibri"/>
          <w:b/>
          <w:color w:val="0F766E"/>
          <w:sz w:val="17"/>
        </w:rPr>
        <w:t xml:space="preserve"> [Phase 9: Epic DWPG-6]</w:t>
      </w:r>
    </w:p>
    <w:p>
      <w:pPr>
        <w:keepNext/>
        <w:spacing w:before="160" w:after="60"/>
        <w:jc w:val="center"/>
      </w:pPr>
      <w:r>
        <w:drawing>
          <wp:inline xmlns:a="http://schemas.openxmlformats.org/drawingml/2006/main" xmlns:pic="http://schemas.openxmlformats.org/drawingml/2006/picture">
            <wp:extent cx="5303520" cy="2624975"/>
            <wp:docPr id="48" name="Picture 48"/>
            <wp:cNvGraphicFramePr>
              <a:graphicFrameLocks noChangeAspect="1"/>
            </wp:cNvGraphicFramePr>
            <a:graphic>
              <a:graphicData uri="http://schemas.openxmlformats.org/drawingml/2006/picture">
                <pic:pic>
                  <pic:nvPicPr>
                    <pic:cNvPr id="0" name="JIRA-14_epic_dwpg7_devsecops.png"/>
                    <pic:cNvPicPr/>
                  </pic:nvPicPr>
                  <pic:blipFill>
                    <a:blip r:embed="rId54"/>
                    <a:stretch>
                      <a:fillRect/>
                    </a:stretch>
                  </pic:blipFill>
                  <pic:spPr>
                    <a:xfrm>
                      <a:off x="0" y="0"/>
                      <a:ext cx="5303520" cy="2624975"/>
                    </a:xfrm>
                    <a:prstGeom prst="rect"/>
                  </pic:spPr>
                </pic:pic>
              </a:graphicData>
            </a:graphic>
          </wp:inline>
        </w:drawing>
      </w:r>
    </w:p>
    <w:p>
      <w:pPr>
        <w:spacing w:before="40" w:after="200"/>
        <w:jc w:val="center"/>
      </w:pPr>
      <w:r>
        <w:rPr>
          <w:rFonts w:ascii="Calibri" w:hAnsi="Calibri"/>
          <w:b/>
          <w:color w:val="17365D"/>
          <w:sz w:val="18"/>
        </w:rPr>
        <w:t xml:space="preserve">Figure 48: JIRA-14: Epic DWPG-7 DevSecOps Details. </w:t>
      </w:r>
      <w:r>
        <w:rPr>
          <w:rFonts w:ascii="Calibri" w:hAnsi="Calibri"/>
          <w:i/>
          <w:color w:val="64748B"/>
          <w:sz w:val="18"/>
        </w:rPr>
        <w:t>Jira Epic card detailing multi-stage Docker builds, non-root user execution, and Kubernetes manifests.</w:t>
      </w:r>
      <w:r>
        <w:rPr>
          <w:rFonts w:ascii="Calibri" w:hAnsi="Calibri"/>
          <w:b/>
          <w:color w:val="0F766E"/>
          <w:sz w:val="17"/>
        </w:rPr>
        <w:t xml:space="preserve"> [Phase 9: Epic DWPG-7]</w:t>
      </w:r>
    </w:p>
    <w:p>
      <w:pPr>
        <w:keepNext/>
        <w:spacing w:before="160" w:after="60"/>
        <w:jc w:val="center"/>
      </w:pPr>
      <w:r>
        <w:drawing>
          <wp:inline xmlns:a="http://schemas.openxmlformats.org/drawingml/2006/main" xmlns:pic="http://schemas.openxmlformats.org/drawingml/2006/picture">
            <wp:extent cx="5303520" cy="2624975"/>
            <wp:docPr id="49" name="Picture 49"/>
            <wp:cNvGraphicFramePr>
              <a:graphicFrameLocks noChangeAspect="1"/>
            </wp:cNvGraphicFramePr>
            <a:graphic>
              <a:graphicData uri="http://schemas.openxmlformats.org/drawingml/2006/picture">
                <pic:pic>
                  <pic:nvPicPr>
                    <pic:cNvPr id="0" name="JIRA-15_epic_dwpg8_testing.png"/>
                    <pic:cNvPicPr/>
                  </pic:nvPicPr>
                  <pic:blipFill>
                    <a:blip r:embed="rId55"/>
                    <a:stretch>
                      <a:fillRect/>
                    </a:stretch>
                  </pic:blipFill>
                  <pic:spPr>
                    <a:xfrm>
                      <a:off x="0" y="0"/>
                      <a:ext cx="5303520" cy="2624975"/>
                    </a:xfrm>
                    <a:prstGeom prst="rect"/>
                  </pic:spPr>
                </pic:pic>
              </a:graphicData>
            </a:graphic>
          </wp:inline>
        </w:drawing>
      </w:r>
    </w:p>
    <w:p>
      <w:pPr>
        <w:spacing w:before="40" w:after="200"/>
        <w:jc w:val="center"/>
      </w:pPr>
      <w:r>
        <w:rPr>
          <w:rFonts w:ascii="Calibri" w:hAnsi="Calibri"/>
          <w:b/>
          <w:color w:val="17365D"/>
          <w:sz w:val="18"/>
        </w:rPr>
        <w:t xml:space="preserve">Figure 49: JIRA-15: Epic DWPG-8 Testing &amp; QA Details. </w:t>
      </w:r>
      <w:r>
        <w:rPr>
          <w:rFonts w:ascii="Calibri" w:hAnsi="Calibri"/>
          <w:i/>
          <w:color w:val="64748B"/>
          <w:sz w:val="18"/>
        </w:rPr>
        <w:t>Jira Epic card detailing automated unit, integration, concurrency fuzzing, and SonarQube quality gates.</w:t>
      </w:r>
      <w:r>
        <w:rPr>
          <w:rFonts w:ascii="Calibri" w:hAnsi="Calibri"/>
          <w:b/>
          <w:color w:val="0F766E"/>
          <w:sz w:val="17"/>
        </w:rPr>
        <w:t xml:space="preserve"> [Phase 9: Epic DWPG-8]</w:t>
      </w:r>
    </w:p>
    <w:p>
      <w:pPr>
        <w:keepNext/>
        <w:spacing w:before="160" w:after="60"/>
        <w:jc w:val="center"/>
      </w:pPr>
      <w:r>
        <w:drawing>
          <wp:inline xmlns:a="http://schemas.openxmlformats.org/drawingml/2006/main" xmlns:pic="http://schemas.openxmlformats.org/drawingml/2006/picture">
            <wp:extent cx="5303520" cy="2624975"/>
            <wp:docPr id="50" name="Picture 50"/>
            <wp:cNvGraphicFramePr>
              <a:graphicFrameLocks noChangeAspect="1"/>
            </wp:cNvGraphicFramePr>
            <a:graphic>
              <a:graphicData uri="http://schemas.openxmlformats.org/drawingml/2006/picture">
                <pic:pic>
                  <pic:nvPicPr>
                    <pic:cNvPr id="0" name="JIRA-16_epic_dwpg9_compliance.png"/>
                    <pic:cNvPicPr/>
                  </pic:nvPicPr>
                  <pic:blipFill>
                    <a:blip r:embed="rId56"/>
                    <a:stretch>
                      <a:fillRect/>
                    </a:stretch>
                  </pic:blipFill>
                  <pic:spPr>
                    <a:xfrm>
                      <a:off x="0" y="0"/>
                      <a:ext cx="5303520" cy="2624975"/>
                    </a:xfrm>
                    <a:prstGeom prst="rect"/>
                  </pic:spPr>
                </pic:pic>
              </a:graphicData>
            </a:graphic>
          </wp:inline>
        </w:drawing>
      </w:r>
    </w:p>
    <w:p>
      <w:pPr>
        <w:spacing w:before="40" w:after="200"/>
        <w:jc w:val="center"/>
      </w:pPr>
      <w:r>
        <w:rPr>
          <w:rFonts w:ascii="Calibri" w:hAnsi="Calibri"/>
          <w:b/>
          <w:color w:val="17365D"/>
          <w:sz w:val="18"/>
        </w:rPr>
        <w:t xml:space="preserve">Figure 50: JIRA-16: Epic DWPG-9 Compliance Details. </w:t>
      </w:r>
      <w:r>
        <w:rPr>
          <w:rFonts w:ascii="Calibri" w:hAnsi="Calibri"/>
          <w:i/>
          <w:color w:val="64748B"/>
          <w:sz w:val="18"/>
        </w:rPr>
        <w:t>Jira Epic card detailing academic evidence validation across all 16 Secure Software Engineering phases.</w:t>
      </w:r>
      <w:r>
        <w:rPr>
          <w:rFonts w:ascii="Calibri" w:hAnsi="Calibri"/>
          <w:b/>
          <w:color w:val="0F766E"/>
          <w:sz w:val="17"/>
        </w:rPr>
        <w:t xml:space="preserve"> [Phase 9: Epic DWPG-9]</w:t>
      </w:r>
    </w:p>
    <w:p>
      <w:pPr>
        <w:keepNext/>
        <w:spacing w:before="360" w:after="160"/>
      </w:pPr>
      <w:r>
        <w:rPr>
          <w:rFonts w:ascii="Calibri" w:hAnsi="Calibri"/>
          <w:b/>
          <w:color w:val="17365D"/>
          <w:sz w:val="34"/>
        </w:rPr>
        <w:t>11. DevSecOps, Testing and Containerized Deployment (Phases 11-15)</w:t>
      </w:r>
    </w:p>
    <w:p>
      <w:pPr>
        <w:keepNext/>
        <w:spacing w:before="280" w:after="120"/>
      </w:pPr>
      <w:r>
        <w:rPr>
          <w:rFonts w:ascii="Calibri" w:hAnsi="Calibri"/>
          <w:b/>
          <w:color w:val="1F4E79"/>
          <w:sz w:val="26"/>
        </w:rPr>
        <w:t>11.1 Containerization with Docker (Phase 13)</w:t>
      </w:r>
    </w:p>
    <w:p>
      <w:pPr>
        <w:spacing w:before="0" w:after="120" w:line="276" w:lineRule="auto"/>
      </w:pPr>
      <w:r>
        <w:rPr>
          <w:rFonts w:ascii="Calibri" w:hAnsi="Calibri"/>
          <w:color w:val="172033"/>
          <w:sz w:val="20"/>
        </w:rPr>
        <w:t>The backend and frontend are packaged using multi-stage Dockerfiles. The backend build utilizes Eclipse Temurin OpenJDK 21 for compilation and packages the runnable JAR on a minimal Alpine runtime. Execution is strictly constrained to an unprivileged non-root user (UID 10001, GID 10001) with all Linux capabilities dropped (`cap_drop: ALL`).</w:t>
      </w:r>
    </w:p>
    <w:p>
      <w:pPr>
        <w:keepNext/>
        <w:spacing w:before="160" w:after="60"/>
        <w:jc w:val="center"/>
      </w:pPr>
      <w:r>
        <w:drawing>
          <wp:inline xmlns:a="http://schemas.openxmlformats.org/drawingml/2006/main" xmlns:pic="http://schemas.openxmlformats.org/drawingml/2006/picture">
            <wp:extent cx="5669280" cy="1956067"/>
            <wp:docPr id="51" name="Picture 51"/>
            <wp:cNvGraphicFramePr>
              <a:graphicFrameLocks noChangeAspect="1"/>
            </wp:cNvGraphicFramePr>
            <a:graphic>
              <a:graphicData uri="http://schemas.openxmlformats.org/drawingml/2006/picture">
                <pic:pic>
                  <pic:nvPicPr>
                    <pic:cNvPr id="0" name="20_docker_architecture.png"/>
                    <pic:cNvPicPr/>
                  </pic:nvPicPr>
                  <pic:blipFill>
                    <a:blip r:embed="rId57"/>
                    <a:stretch>
                      <a:fillRect/>
                    </a:stretch>
                  </pic:blipFill>
                  <pic:spPr>
                    <a:xfrm>
                      <a:off x="0" y="0"/>
                      <a:ext cx="5669280" cy="1956067"/>
                    </a:xfrm>
                    <a:prstGeom prst="rect"/>
                  </pic:spPr>
                </pic:pic>
              </a:graphicData>
            </a:graphic>
          </wp:inline>
        </w:drawing>
      </w:r>
    </w:p>
    <w:p>
      <w:pPr>
        <w:spacing w:before="40" w:after="200"/>
        <w:jc w:val="center"/>
      </w:pPr>
      <w:r>
        <w:rPr>
          <w:rFonts w:ascii="Calibri" w:hAnsi="Calibri"/>
          <w:b/>
          <w:color w:val="17365D"/>
          <w:sz w:val="18"/>
        </w:rPr>
        <w:t xml:space="preserve">Figure 51: Multi-Stage Docker Container Architecture. </w:t>
      </w:r>
      <w:r>
        <w:rPr>
          <w:rFonts w:ascii="Calibri" w:hAnsi="Calibri"/>
          <w:i/>
          <w:color w:val="64748B"/>
          <w:sz w:val="18"/>
        </w:rPr>
        <w:t>Multi-stage build pipelines isolating Maven compile dependencies from lightweight runtime containers (authored in Draw.io).</w:t>
      </w:r>
      <w:r>
        <w:rPr>
          <w:rFonts w:ascii="Calibri" w:hAnsi="Calibri"/>
          <w:b/>
          <w:color w:val="0F766E"/>
          <w:sz w:val="17"/>
        </w:rPr>
        <w:t xml:space="preserve"> [Phase 13: Docker Architecture]</w:t>
      </w:r>
    </w:p>
    <w:p>
      <w:pPr>
        <w:keepNext/>
        <w:spacing w:before="160" w:after="60"/>
        <w:jc w:val="center"/>
      </w:pPr>
      <w:r>
        <w:drawing>
          <wp:inline xmlns:a="http://schemas.openxmlformats.org/drawingml/2006/main" xmlns:pic="http://schemas.openxmlformats.org/drawingml/2006/picture">
            <wp:extent cx="5669280" cy="2666471"/>
            <wp:docPr id="52" name="Picture 52"/>
            <wp:cNvGraphicFramePr>
              <a:graphicFrameLocks noChangeAspect="1"/>
            </wp:cNvGraphicFramePr>
            <a:graphic>
              <a:graphicData uri="http://schemas.openxmlformats.org/drawingml/2006/picture">
                <pic:pic>
                  <pic:nvPicPr>
                    <pic:cNvPr id="0" name="DOCKER-01_containers_live.png"/>
                    <pic:cNvPicPr/>
                  </pic:nvPicPr>
                  <pic:blipFill>
                    <a:blip r:embed="rId58"/>
                    <a:stretch>
                      <a:fillRect/>
                    </a:stretch>
                  </pic:blipFill>
                  <pic:spPr>
                    <a:xfrm>
                      <a:off x="0" y="0"/>
                      <a:ext cx="5669280" cy="2666471"/>
                    </a:xfrm>
                    <a:prstGeom prst="rect"/>
                  </pic:spPr>
                </pic:pic>
              </a:graphicData>
            </a:graphic>
          </wp:inline>
        </w:drawing>
      </w:r>
    </w:p>
    <w:p>
      <w:pPr>
        <w:spacing w:before="40" w:after="200"/>
        <w:jc w:val="center"/>
      </w:pPr>
      <w:r>
        <w:rPr>
          <w:rFonts w:ascii="Calibri" w:hAnsi="Calibri"/>
          <w:b/>
          <w:color w:val="17365D"/>
          <w:sz w:val="18"/>
        </w:rPr>
        <w:t xml:space="preserve">Figure 52: Verified Live Docker Runtime Status. </w:t>
      </w:r>
      <w:r>
        <w:rPr>
          <w:rFonts w:ascii="Calibri" w:hAnsi="Calibri"/>
          <w:i/>
          <w:color w:val="64748B"/>
          <w:sz w:val="18"/>
        </w:rPr>
        <w:t>Terminal capture of running containers verifying sonarqube-lts, dwpg-mariadb-local, and Minikube virtualization engine.</w:t>
      </w:r>
      <w:r>
        <w:rPr>
          <w:rFonts w:ascii="Calibri" w:hAnsi="Calibri"/>
          <w:b/>
          <w:color w:val="0F766E"/>
          <w:sz w:val="17"/>
        </w:rPr>
        <w:t xml:space="preserve"> [Phase 13: Docker Evidence]</w:t>
      </w:r>
    </w:p>
    <w:p>
      <w:pPr>
        <w:keepNext/>
        <w:spacing w:before="280" w:after="120"/>
      </w:pPr>
      <w:r>
        <w:rPr>
          <w:rFonts w:ascii="Calibri" w:hAnsi="Calibri"/>
          <w:b/>
          <w:color w:val="1F4E79"/>
          <w:sz w:val="26"/>
        </w:rPr>
        <w:t>11.2 Kubernetes Orchestration and Minikube (Phase 13)</w:t>
      </w:r>
    </w:p>
    <w:p>
      <w:pPr>
        <w:spacing w:before="0" w:after="120" w:line="276" w:lineRule="auto"/>
      </w:pPr>
      <w:r>
        <w:rPr>
          <w:rFonts w:ascii="Calibri" w:hAnsi="Calibri"/>
          <w:color w:val="172033"/>
          <w:sz w:val="20"/>
        </w:rPr>
        <w:t>Production deployment is orchestrated via 11 declarative Kubernetes manifests deployed into the dedicated `dwpg` namespace on Minikube. A default-deny NetworkPolicy (`isolate-mariadb`) ensures the MariaDB database pod only accepts ingress TCP connections on port 3306 from pods labeled `app=dwpg-backend`, preventing lateral traversal.</w:t>
      </w:r>
    </w:p>
    <w:p>
      <w:pPr>
        <w:keepNext/>
        <w:spacing w:before="160" w:after="60"/>
        <w:jc w:val="center"/>
      </w:pPr>
      <w:r>
        <w:drawing>
          <wp:inline xmlns:a="http://schemas.openxmlformats.org/drawingml/2006/main" xmlns:pic="http://schemas.openxmlformats.org/drawingml/2006/picture">
            <wp:extent cx="5669280" cy="2400327"/>
            <wp:docPr id="53" name="Picture 53"/>
            <wp:cNvGraphicFramePr>
              <a:graphicFrameLocks noChangeAspect="1"/>
            </wp:cNvGraphicFramePr>
            <a:graphic>
              <a:graphicData uri="http://schemas.openxmlformats.org/drawingml/2006/picture">
                <pic:pic>
                  <pic:nvPicPr>
                    <pic:cNvPr id="0" name="21_kubernetes_architecture.png"/>
                    <pic:cNvPicPr/>
                  </pic:nvPicPr>
                  <pic:blipFill>
                    <a:blip r:embed="rId59"/>
                    <a:stretch>
                      <a:fillRect/>
                    </a:stretch>
                  </pic:blipFill>
                  <pic:spPr>
                    <a:xfrm>
                      <a:off x="0" y="0"/>
                      <a:ext cx="5669280" cy="2400327"/>
                    </a:xfrm>
                    <a:prstGeom prst="rect"/>
                  </pic:spPr>
                </pic:pic>
              </a:graphicData>
            </a:graphic>
          </wp:inline>
        </w:drawing>
      </w:r>
    </w:p>
    <w:p>
      <w:pPr>
        <w:spacing w:before="40" w:after="200"/>
        <w:jc w:val="center"/>
      </w:pPr>
      <w:r>
        <w:rPr>
          <w:rFonts w:ascii="Calibri" w:hAnsi="Calibri"/>
          <w:b/>
          <w:color w:val="17365D"/>
          <w:sz w:val="18"/>
        </w:rPr>
        <w:t xml:space="preserve">Figure 53: Kubernetes Pod Topology and Network Isolation. </w:t>
      </w:r>
      <w:r>
        <w:rPr>
          <w:rFonts w:ascii="Calibri" w:hAnsi="Calibri"/>
          <w:i/>
          <w:color w:val="64748B"/>
          <w:sz w:val="18"/>
        </w:rPr>
        <w:t>Cluster architecture illustrating dwpg namespace, ConfigMap/Secret bindings, and NetworkPolicy firewall barriers (authored in Draw.io).</w:t>
      </w:r>
      <w:r>
        <w:rPr>
          <w:rFonts w:ascii="Calibri" w:hAnsi="Calibri"/>
          <w:b/>
          <w:color w:val="0F766E"/>
          <w:sz w:val="17"/>
        </w:rPr>
        <w:t xml:space="preserve"> [Phase 13: Kubernetes Architecture]</w:t>
      </w:r>
    </w:p>
    <w:p>
      <w:pPr>
        <w:keepNext/>
        <w:spacing w:before="160" w:after="60"/>
        <w:jc w:val="center"/>
      </w:pPr>
      <w:r>
        <w:drawing>
          <wp:inline xmlns:a="http://schemas.openxmlformats.org/drawingml/2006/main" xmlns:pic="http://schemas.openxmlformats.org/drawingml/2006/picture">
            <wp:extent cx="5669280" cy="2808634"/>
            <wp:docPr id="54" name="Picture 54"/>
            <wp:cNvGraphicFramePr>
              <a:graphicFrameLocks noChangeAspect="1"/>
            </wp:cNvGraphicFramePr>
            <a:graphic>
              <a:graphicData uri="http://schemas.openxmlformats.org/drawingml/2006/picture">
                <pic:pic>
                  <pic:nvPicPr>
                    <pic:cNvPr id="0" name="K8S-01_cluster_workloads.png"/>
                    <pic:cNvPicPr/>
                  </pic:nvPicPr>
                  <pic:blipFill>
                    <a:blip r:embed="rId60"/>
                    <a:stretch>
                      <a:fillRect/>
                    </a:stretch>
                  </pic:blipFill>
                  <pic:spPr>
                    <a:xfrm>
                      <a:off x="0" y="0"/>
                      <a:ext cx="5669280" cy="2808634"/>
                    </a:xfrm>
                    <a:prstGeom prst="rect"/>
                  </pic:spPr>
                </pic:pic>
              </a:graphicData>
            </a:graphic>
          </wp:inline>
        </w:drawing>
      </w:r>
    </w:p>
    <w:p>
      <w:pPr>
        <w:spacing w:before="40" w:after="200"/>
        <w:jc w:val="center"/>
      </w:pPr>
      <w:r>
        <w:rPr>
          <w:rFonts w:ascii="Calibri" w:hAnsi="Calibri"/>
          <w:b/>
          <w:color w:val="17365D"/>
          <w:sz w:val="18"/>
        </w:rPr>
        <w:t xml:space="preserve">Figure 54: Verified Live Kubernetes Workloads in dwpg Namespace. </w:t>
      </w:r>
      <w:r>
        <w:rPr>
          <w:rFonts w:ascii="Calibri" w:hAnsi="Calibri"/>
          <w:i/>
          <w:color w:val="64748B"/>
          <w:sz w:val="18"/>
        </w:rPr>
        <w:t>Terminal capture of kubectl get all,networkpolicy -n dwpg verifying healthy pods, services, and isolated network policies.</w:t>
      </w:r>
      <w:r>
        <w:rPr>
          <w:rFonts w:ascii="Calibri" w:hAnsi="Calibri"/>
          <w:b/>
          <w:color w:val="0F766E"/>
          <w:sz w:val="17"/>
        </w:rPr>
        <w:t xml:space="preserve"> [Phase 13: Kubernetes Evidence]</w:t>
      </w:r>
    </w:p>
    <w:p>
      <w:pPr>
        <w:keepNext/>
        <w:spacing w:before="280" w:after="120"/>
      </w:pPr>
      <w:r>
        <w:rPr>
          <w:rFonts w:ascii="Calibri" w:hAnsi="Calibri"/>
          <w:b/>
          <w:color w:val="1F4E79"/>
          <w:sz w:val="26"/>
        </w:rPr>
        <w:t>11.3 CI/CD Pipeline and Git Version Control (Phase 14)</w:t>
      </w:r>
    </w:p>
    <w:p>
      <w:pPr>
        <w:spacing w:before="0" w:after="120" w:line="276" w:lineRule="auto"/>
      </w:pPr>
      <w:r>
        <w:rPr>
          <w:rFonts w:ascii="Calibri" w:hAnsi="Calibri"/>
          <w:color w:val="172033"/>
          <w:sz w:val="20"/>
        </w:rPr>
        <w:t>The continuous integration and delivery pipeline is configured via GitHub Actions (`.github/workflows/ci.yml`). Every git commit triggers automated compilation, JUnit 5 execution, JaCoCo code coverage analysis, and SonarQube SAST analysis.</w:t>
      </w:r>
    </w:p>
    <w:p>
      <w:pPr>
        <w:keepNext/>
        <w:spacing w:before="160" w:after="60"/>
        <w:jc w:val="center"/>
      </w:pPr>
      <w:r>
        <w:drawing>
          <wp:inline xmlns:a="http://schemas.openxmlformats.org/drawingml/2006/main" xmlns:pic="http://schemas.openxmlformats.org/drawingml/2006/picture">
            <wp:extent cx="5669280" cy="1292994"/>
            <wp:docPr id="55" name="Picture 55"/>
            <wp:cNvGraphicFramePr>
              <a:graphicFrameLocks noChangeAspect="1"/>
            </wp:cNvGraphicFramePr>
            <a:graphic>
              <a:graphicData uri="http://schemas.openxmlformats.org/drawingml/2006/picture">
                <pic:pic>
                  <pic:nvPicPr>
                    <pic:cNvPr id="0" name="22_cicd_pipeline.png"/>
                    <pic:cNvPicPr/>
                  </pic:nvPicPr>
                  <pic:blipFill>
                    <a:blip r:embed="rId61"/>
                    <a:stretch>
                      <a:fillRect/>
                    </a:stretch>
                  </pic:blipFill>
                  <pic:spPr>
                    <a:xfrm>
                      <a:off x="0" y="0"/>
                      <a:ext cx="5669280" cy="1292994"/>
                    </a:xfrm>
                    <a:prstGeom prst="rect"/>
                  </pic:spPr>
                </pic:pic>
              </a:graphicData>
            </a:graphic>
          </wp:inline>
        </w:drawing>
      </w:r>
    </w:p>
    <w:p>
      <w:pPr>
        <w:spacing w:before="40" w:after="200"/>
        <w:jc w:val="center"/>
      </w:pPr>
      <w:r>
        <w:rPr>
          <w:rFonts w:ascii="Calibri" w:hAnsi="Calibri"/>
          <w:b/>
          <w:color w:val="17365D"/>
          <w:sz w:val="18"/>
        </w:rPr>
        <w:t xml:space="preserve">Figure 55: DevSecOps CI/CD Pipeline Workflow. </w:t>
      </w:r>
      <w:r>
        <w:rPr>
          <w:rFonts w:ascii="Calibri" w:hAnsi="Calibri"/>
          <w:i/>
          <w:color w:val="64748B"/>
          <w:sz w:val="18"/>
        </w:rPr>
        <w:t>Automated pipeline stages: Git Push -&gt; Build -&gt; Unit Test -&gt; SAST Scan -&gt; Quality Gate -&gt; Container Build -&gt; K8s Deploy (authored in Draw.io).</w:t>
      </w:r>
      <w:r>
        <w:rPr>
          <w:rFonts w:ascii="Calibri" w:hAnsi="Calibri"/>
          <w:b/>
          <w:color w:val="0F766E"/>
          <w:sz w:val="17"/>
        </w:rPr>
        <w:t xml:space="preserve"> [Phase 14: CI/CD Pipeline]</w:t>
      </w:r>
    </w:p>
    <w:p>
      <w:pPr>
        <w:keepNext/>
        <w:spacing w:before="160" w:after="60"/>
        <w:jc w:val="center"/>
      </w:pPr>
      <w:r>
        <w:drawing>
          <wp:inline xmlns:a="http://schemas.openxmlformats.org/drawingml/2006/main" xmlns:pic="http://schemas.openxmlformats.org/drawingml/2006/picture">
            <wp:extent cx="5669280" cy="1867658"/>
            <wp:docPr id="56" name="Picture 56"/>
            <wp:cNvGraphicFramePr>
              <a:graphicFrameLocks noChangeAspect="1"/>
            </wp:cNvGraphicFramePr>
            <a:graphic>
              <a:graphicData uri="http://schemas.openxmlformats.org/drawingml/2006/picture">
                <pic:pic>
                  <pic:nvPicPr>
                    <pic:cNvPr id="0" name="23_security_testing_pipeline.png"/>
                    <pic:cNvPicPr/>
                  </pic:nvPicPr>
                  <pic:blipFill>
                    <a:blip r:embed="rId62"/>
                    <a:stretch>
                      <a:fillRect/>
                    </a:stretch>
                  </pic:blipFill>
                  <pic:spPr>
                    <a:xfrm>
                      <a:off x="0" y="0"/>
                      <a:ext cx="5669280" cy="1867658"/>
                    </a:xfrm>
                    <a:prstGeom prst="rect"/>
                  </pic:spPr>
                </pic:pic>
              </a:graphicData>
            </a:graphic>
          </wp:inline>
        </w:drawing>
      </w:r>
    </w:p>
    <w:p>
      <w:pPr>
        <w:spacing w:before="40" w:after="200"/>
        <w:jc w:val="center"/>
      </w:pPr>
      <w:r>
        <w:rPr>
          <w:rFonts w:ascii="Calibri" w:hAnsi="Calibri"/>
          <w:b/>
          <w:color w:val="17365D"/>
          <w:sz w:val="18"/>
        </w:rPr>
        <w:t xml:space="preserve">Figure 56: Automated Security Testing Pipeline Architecture. </w:t>
      </w:r>
      <w:r>
        <w:rPr>
          <w:rFonts w:ascii="Calibri" w:hAnsi="Calibri"/>
          <w:i/>
          <w:color w:val="64748B"/>
          <w:sz w:val="18"/>
        </w:rPr>
        <w:t>Integration of static code analysis (SonarQube), dynamic concurrency testing, and fuzzing checks (authored in Draw.io).</w:t>
      </w:r>
      <w:r>
        <w:rPr>
          <w:rFonts w:ascii="Calibri" w:hAnsi="Calibri"/>
          <w:b/>
          <w:color w:val="0F766E"/>
          <w:sz w:val="17"/>
        </w:rPr>
        <w:t xml:space="preserve"> [Phase 14: Security Pipeline]</w:t>
      </w:r>
    </w:p>
    <w:p>
      <w:pPr>
        <w:keepNext/>
        <w:spacing w:before="160" w:after="60"/>
        <w:jc w:val="center"/>
      </w:pPr>
      <w:r>
        <w:drawing>
          <wp:inline xmlns:a="http://schemas.openxmlformats.org/drawingml/2006/main" xmlns:pic="http://schemas.openxmlformats.org/drawingml/2006/picture">
            <wp:extent cx="5669280" cy="2808634"/>
            <wp:docPr id="57" name="Picture 57"/>
            <wp:cNvGraphicFramePr>
              <a:graphicFrameLocks noChangeAspect="1"/>
            </wp:cNvGraphicFramePr>
            <a:graphic>
              <a:graphicData uri="http://schemas.openxmlformats.org/drawingml/2006/picture">
                <pic:pic>
                  <pic:nvPicPr>
                    <pic:cNvPr id="0" name="GIT-01_git_commit_graph.png"/>
                    <pic:cNvPicPr/>
                  </pic:nvPicPr>
                  <pic:blipFill>
                    <a:blip r:embed="rId63"/>
                    <a:stretch>
                      <a:fillRect/>
                    </a:stretch>
                  </pic:blipFill>
                  <pic:spPr>
                    <a:xfrm>
                      <a:off x="0" y="0"/>
                      <a:ext cx="5669280" cy="2808634"/>
                    </a:xfrm>
                    <a:prstGeom prst="rect"/>
                  </pic:spPr>
                </pic:pic>
              </a:graphicData>
            </a:graphic>
          </wp:inline>
        </w:drawing>
      </w:r>
    </w:p>
    <w:p>
      <w:pPr>
        <w:spacing w:before="40" w:after="200"/>
        <w:jc w:val="center"/>
      </w:pPr>
      <w:r>
        <w:rPr>
          <w:rFonts w:ascii="Calibri" w:hAnsi="Calibri"/>
          <w:b/>
          <w:color w:val="17365D"/>
          <w:sz w:val="18"/>
        </w:rPr>
        <w:t xml:space="preserve">Figure 57: Git Commit Audit Trail &amp; Semantic Versioning History. </w:t>
      </w:r>
      <w:r>
        <w:rPr>
          <w:rFonts w:ascii="Calibri" w:hAnsi="Calibri"/>
          <w:i/>
          <w:color w:val="64748B"/>
          <w:sz w:val="18"/>
        </w:rPr>
        <w:t>Terminal capture of git log --graph --oneline verifying chronological commits for all 16 academic phases.</w:t>
      </w:r>
      <w:r>
        <w:rPr>
          <w:rFonts w:ascii="Calibri" w:hAnsi="Calibri"/>
          <w:b/>
          <w:color w:val="0F766E"/>
          <w:sz w:val="17"/>
        </w:rPr>
        <w:t xml:space="preserve"> [Phase 11: Git Audit Trail]</w:t>
      </w:r>
    </w:p>
    <w:p>
      <w:pPr>
        <w:keepNext/>
        <w:spacing w:before="280" w:after="120"/>
      </w:pPr>
      <w:r>
        <w:rPr>
          <w:rFonts w:ascii="Calibri" w:hAnsi="Calibri"/>
          <w:b/>
          <w:color w:val="1F4E79"/>
          <w:sz w:val="26"/>
        </w:rPr>
        <w:t>11.4 Automated Test Suite and Security Verification (Phase 14)</w:t>
      </w:r>
    </w:p>
    <w:p>
      <w:pPr>
        <w:spacing w:before="0" w:after="120" w:line="276" w:lineRule="auto"/>
      </w:pPr>
      <w:r>
        <w:rPr>
          <w:rFonts w:ascii="Calibri" w:hAnsi="Calibri"/>
          <w:color w:val="172033"/>
          <w:sz w:val="20"/>
        </w:rPr>
        <w:t>Testing encompasses 25 JUnit 5 backend tests, 9 live REST functional integration tests, and 8 adversarial security property probes. All 42 tests passed with a 100% success rate.</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17365D"/>
            <w:tcBorders>
              <w:top w:val="single" w:sz="4" w:space="0" w:color="17365D"/>
              <w:left w:val="none" w:sz="4" w:space="0" w:color="auto"/>
              <w:bottom w:val="single" w:sz="4" w:space="0" w:color="17365D"/>
              <w:right w:val="none" w:sz="4" w:space="0" w:color="auto"/>
            </w:tcBorders>
          </w:tcPr>
          <w:p>
            <w:pPr>
              <w:spacing w:before="80" w:after="80"/>
              <w:jc w:val="left"/>
            </w:pPr>
            <w:r>
              <w:rPr>
                <w:rFonts w:ascii="Calibri" w:hAnsi="Calibri"/>
                <w:b/>
                <w:color w:val="FFFFFF"/>
                <w:sz w:val="18"/>
              </w:rPr>
              <w:t>Test Suite Domain</w:t>
            </w:r>
          </w:p>
        </w:tc>
        <w:tc>
          <w:tcPr>
            <w:tcW w:type="dxa" w:w="864"/>
            <w:shd w:fill="17365D"/>
            <w:tcBorders>
              <w:top w:val="single" w:sz="4" w:space="0" w:color="17365D"/>
              <w:left w:val="none" w:sz="4" w:space="0" w:color="auto"/>
              <w:bottom w:val="single" w:sz="4" w:space="0" w:color="17365D"/>
              <w:right w:val="none" w:sz="4" w:space="0" w:color="auto"/>
            </w:tcBorders>
          </w:tcPr>
          <w:p>
            <w:pPr>
              <w:spacing w:before="80" w:after="80"/>
              <w:jc w:val="left"/>
            </w:pPr>
            <w:r>
              <w:rPr>
                <w:rFonts w:ascii="Calibri" w:hAnsi="Calibri"/>
                <w:b/>
                <w:color w:val="FFFFFF"/>
                <w:sz w:val="18"/>
              </w:rPr>
              <w:t>Tests Run</w:t>
            </w:r>
          </w:p>
        </w:tc>
        <w:tc>
          <w:tcPr>
            <w:tcW w:type="dxa" w:w="864"/>
            <w:shd w:fill="17365D"/>
            <w:tcBorders>
              <w:top w:val="single" w:sz="4" w:space="0" w:color="17365D"/>
              <w:left w:val="none" w:sz="4" w:space="0" w:color="auto"/>
              <w:bottom w:val="single" w:sz="4" w:space="0" w:color="17365D"/>
              <w:right w:val="none" w:sz="4" w:space="0" w:color="auto"/>
            </w:tcBorders>
          </w:tcPr>
          <w:p>
            <w:pPr>
              <w:spacing w:before="80" w:after="80"/>
              <w:jc w:val="left"/>
            </w:pPr>
            <w:r>
              <w:rPr>
                <w:rFonts w:ascii="Calibri" w:hAnsi="Calibri"/>
                <w:b/>
                <w:color w:val="FFFFFF"/>
                <w:sz w:val="18"/>
              </w:rPr>
              <w:t>Passed</w:t>
            </w:r>
          </w:p>
        </w:tc>
        <w:tc>
          <w:tcPr>
            <w:tcW w:type="dxa" w:w="864"/>
            <w:shd w:fill="17365D"/>
            <w:tcBorders>
              <w:top w:val="single" w:sz="4" w:space="0" w:color="17365D"/>
              <w:left w:val="none" w:sz="4" w:space="0" w:color="auto"/>
              <w:bottom w:val="single" w:sz="4" w:space="0" w:color="17365D"/>
              <w:right w:val="none" w:sz="4" w:space="0" w:color="auto"/>
            </w:tcBorders>
          </w:tcPr>
          <w:p>
            <w:pPr>
              <w:spacing w:before="80" w:after="80"/>
              <w:jc w:val="left"/>
            </w:pPr>
            <w:r>
              <w:rPr>
                <w:rFonts w:ascii="Calibri" w:hAnsi="Calibri"/>
                <w:b/>
                <w:color w:val="FFFFFF"/>
                <w:sz w:val="18"/>
              </w:rPr>
              <w:t>Failed</w:t>
            </w:r>
          </w:p>
        </w:tc>
        <w:tc>
          <w:tcPr>
            <w:tcW w:type="dxa" w:w="4176"/>
            <w:shd w:fill="17365D"/>
            <w:tcBorders>
              <w:top w:val="single" w:sz="4" w:space="0" w:color="17365D"/>
              <w:left w:val="none" w:sz="4" w:space="0" w:color="auto"/>
              <w:bottom w:val="single" w:sz="4" w:space="0" w:color="17365D"/>
              <w:right w:val="none" w:sz="4" w:space="0" w:color="auto"/>
            </w:tcBorders>
          </w:tcPr>
          <w:p>
            <w:pPr>
              <w:spacing w:before="80" w:after="80"/>
              <w:jc w:val="left"/>
            </w:pPr>
            <w:r>
              <w:rPr>
                <w:rFonts w:ascii="Calibri" w:hAnsi="Calibri"/>
                <w:b/>
                <w:color w:val="FFFFFF"/>
                <w:sz w:val="18"/>
              </w:rPr>
              <w:t>Key Properties Verified</w:t>
            </w:r>
          </w:p>
        </w:tc>
      </w:tr>
      <w:tr>
        <w:tc>
          <w:tcPr>
            <w:tcW w:type="dxa" w:w="259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JUnit 5 AuthServiceTest</w:t>
            </w:r>
          </w:p>
        </w:tc>
        <w:tc>
          <w:tcPr>
            <w:tcW w:type="dxa" w:w="864"/>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3</w:t>
            </w:r>
          </w:p>
        </w:tc>
        <w:tc>
          <w:tcPr>
            <w:tcW w:type="dxa" w:w="864"/>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3</w:t>
            </w:r>
          </w:p>
        </w:tc>
        <w:tc>
          <w:tcPr>
            <w:tcW w:type="dxa" w:w="864"/>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0</w:t>
            </w:r>
          </w:p>
        </w:tc>
        <w:tc>
          <w:tcPr>
            <w:tcW w:type="dxa" w:w="4176"/>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BCrypt cost 12 hashing, JWT signature issuance, invalid credentials rejection.</w:t>
            </w:r>
          </w:p>
        </w:tc>
      </w:tr>
      <w:tr>
        <w:tc>
          <w:tcPr>
            <w:tcW w:type="dxa" w:w="259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JUnit 5 WalletServiceTest</w:t>
            </w:r>
          </w:p>
        </w:tc>
        <w:tc>
          <w:tcPr>
            <w:tcW w:type="dxa" w:w="864"/>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3</w:t>
            </w:r>
          </w:p>
        </w:tc>
        <w:tc>
          <w:tcPr>
            <w:tcW w:type="dxa" w:w="864"/>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3</w:t>
            </w:r>
          </w:p>
        </w:tc>
        <w:tc>
          <w:tcPr>
            <w:tcW w:type="dxa" w:w="864"/>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0</w:t>
            </w:r>
          </w:p>
        </w:tc>
        <w:tc>
          <w:tcPr>
            <w:tcW w:type="dxa" w:w="4176"/>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Atomic provisioning, balance non-negative domain invariant, BOLA tenant isolation.</w:t>
            </w:r>
          </w:p>
        </w:tc>
      </w:tr>
      <w:tr>
        <w:tc>
          <w:tcPr>
            <w:tcW w:type="dxa" w:w="259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JUnit 5 PaymentSecurityTest</w:t>
            </w:r>
          </w:p>
        </w:tc>
        <w:tc>
          <w:tcPr>
            <w:tcW w:type="dxa" w:w="864"/>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6</w:t>
            </w:r>
          </w:p>
        </w:tc>
        <w:tc>
          <w:tcPr>
            <w:tcW w:type="dxa" w:w="864"/>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6</w:t>
            </w:r>
          </w:p>
        </w:tc>
        <w:tc>
          <w:tcPr>
            <w:tcW w:type="dxa" w:w="864"/>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0</w:t>
            </w:r>
          </w:p>
        </w:tc>
        <w:tc>
          <w:tcPr>
            <w:tcW w:type="dxa" w:w="4176"/>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Idempotency caching, replay detection, duplicate refund rejection, RBAC filters.</w:t>
            </w:r>
          </w:p>
        </w:tc>
      </w:tr>
      <w:tr>
        <w:tc>
          <w:tcPr>
            <w:tcW w:type="dxa" w:w="259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JUnit 5 Concurrency Stress Test</w:t>
            </w:r>
          </w:p>
        </w:tc>
        <w:tc>
          <w:tcPr>
            <w:tcW w:type="dxa" w:w="864"/>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1</w:t>
            </w:r>
          </w:p>
        </w:tc>
        <w:tc>
          <w:tcPr>
            <w:tcW w:type="dxa" w:w="864"/>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1</w:t>
            </w:r>
          </w:p>
        </w:tc>
        <w:tc>
          <w:tcPr>
            <w:tcW w:type="dxa" w:w="864"/>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0</w:t>
            </w:r>
          </w:p>
        </w:tc>
        <w:tc>
          <w:tcPr>
            <w:tcW w:type="dxa" w:w="4176"/>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10 simultaneous threads racing on $100 balance: exactly 2 succeed ($50+$50), 8 rejected.</w:t>
            </w:r>
          </w:p>
        </w:tc>
      </w:tr>
      <w:tr>
        <w:tc>
          <w:tcPr>
            <w:tcW w:type="dxa" w:w="259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JUnit 5 Input Fuzzing Suite</w:t>
            </w:r>
          </w:p>
        </w:tc>
        <w:tc>
          <w:tcPr>
            <w:tcW w:type="dxa" w:w="864"/>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12</w:t>
            </w:r>
          </w:p>
        </w:tc>
        <w:tc>
          <w:tcPr>
            <w:tcW w:type="dxa" w:w="864"/>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12</w:t>
            </w:r>
          </w:p>
        </w:tc>
        <w:tc>
          <w:tcPr>
            <w:tcW w:type="dxa" w:w="864"/>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0</w:t>
            </w:r>
          </w:p>
        </w:tc>
        <w:tc>
          <w:tcPr>
            <w:tcW w:type="dxa" w:w="4176"/>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Negative amounts, NaN, integer overflow, SQL injection tokens, XSS script injection probes.</w:t>
            </w:r>
          </w:p>
        </w:tc>
      </w:tr>
      <w:tr>
        <w:tc>
          <w:tcPr>
            <w:tcW w:type="dxa" w:w="259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Live REST Functional Suite</w:t>
            </w:r>
          </w:p>
        </w:tc>
        <w:tc>
          <w:tcPr>
            <w:tcW w:type="dxa" w:w="864"/>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9</w:t>
            </w:r>
          </w:p>
        </w:tc>
        <w:tc>
          <w:tcPr>
            <w:tcW w:type="dxa" w:w="864"/>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9</w:t>
            </w:r>
          </w:p>
        </w:tc>
        <w:tc>
          <w:tcPr>
            <w:tcW w:type="dxa" w:w="864"/>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0</w:t>
            </w:r>
          </w:p>
        </w:tc>
        <w:tc>
          <w:tcPr>
            <w:tcW w:type="dxa" w:w="4176"/>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End-to-end API verification of auth, wallet, merchant, payment, ledger, and refunds.</w:t>
            </w:r>
          </w:p>
        </w:tc>
      </w:tr>
      <w:tr>
        <w:tc>
          <w:tcPr>
            <w:tcW w:type="dxa" w:w="259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Live Security Property Suite</w:t>
            </w:r>
          </w:p>
        </w:tc>
        <w:tc>
          <w:tcPr>
            <w:tcW w:type="dxa" w:w="864"/>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8</w:t>
            </w:r>
          </w:p>
        </w:tc>
        <w:tc>
          <w:tcPr>
            <w:tcW w:type="dxa" w:w="864"/>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8</w:t>
            </w:r>
          </w:p>
        </w:tc>
        <w:tc>
          <w:tcPr>
            <w:tcW w:type="dxa" w:w="864"/>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0</w:t>
            </w:r>
          </w:p>
        </w:tc>
        <w:tc>
          <w:tcPr>
            <w:tcW w:type="dxa" w:w="4176"/>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Adversarial probes: BOLA cross-query, replay tampering, overdraft, privilege escalation.</w:t>
            </w:r>
          </w:p>
        </w:tc>
      </w:tr>
      <w:tr>
        <w:tc>
          <w:tcPr>
            <w:tcW w:type="dxa" w:w="259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Total Test Execution</w:t>
            </w:r>
          </w:p>
        </w:tc>
        <w:tc>
          <w:tcPr>
            <w:tcW w:type="dxa" w:w="864"/>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42</w:t>
            </w:r>
          </w:p>
        </w:tc>
        <w:tc>
          <w:tcPr>
            <w:tcW w:type="dxa" w:w="864"/>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42</w:t>
            </w:r>
          </w:p>
        </w:tc>
        <w:tc>
          <w:tcPr>
            <w:tcW w:type="dxa" w:w="864"/>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0</w:t>
            </w:r>
          </w:p>
        </w:tc>
        <w:tc>
          <w:tcPr>
            <w:tcW w:type="dxa" w:w="4176"/>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100% PASSED (0 FAILURES, 0 ERRORS)</w:t>
            </w:r>
          </w:p>
        </w:tc>
      </w:tr>
    </w:tbl>
    <w:p>
      <w:pPr>
        <w:spacing w:after="120"/>
      </w:pPr>
    </w:p>
    <w:p>
      <w:pPr>
        <w:keepNext/>
        <w:spacing w:before="280" w:after="120"/>
      </w:pPr>
      <w:r>
        <w:rPr>
          <w:rFonts w:ascii="Calibri" w:hAnsi="Calibri"/>
          <w:b/>
          <w:color w:val="1F4E79"/>
          <w:sz w:val="26"/>
        </w:rPr>
        <w:t>11.5 SonarQube SAST Code Quality &amp; Security Review (Phase 11 &amp; 14)</w:t>
      </w:r>
    </w:p>
    <w:p>
      <w:pPr>
        <w:spacing w:before="0" w:after="120" w:line="276" w:lineRule="auto"/>
      </w:pPr>
      <w:r>
        <w:rPr>
          <w:rFonts w:ascii="Calibri" w:hAnsi="Calibri"/>
          <w:color w:val="172033"/>
          <w:sz w:val="20"/>
        </w:rPr>
        <w:t>Static Application Security Testing (SAST) was performed using SonarQube 9.9.8 LTS running in Docker against project key `dwpg-simulator`. The Quality Gate passed with an 'OK' rating, achieving zero vulnerabilities, zero security hotspots, zero bugs, and 62.6% code coverage.</w:t>
      </w:r>
    </w:p>
    <w:p>
      <w:pPr>
        <w:keepNext/>
        <w:spacing w:before="160" w:after="60"/>
        <w:jc w:val="center"/>
      </w:pPr>
      <w:r>
        <w:drawing>
          <wp:inline xmlns:a="http://schemas.openxmlformats.org/drawingml/2006/main" xmlns:pic="http://schemas.openxmlformats.org/drawingml/2006/picture">
            <wp:extent cx="5303520" cy="3314700"/>
            <wp:docPr id="58" name="Picture 58"/>
            <wp:cNvGraphicFramePr>
              <a:graphicFrameLocks noChangeAspect="1"/>
            </wp:cNvGraphicFramePr>
            <a:graphic>
              <a:graphicData uri="http://schemas.openxmlformats.org/drawingml/2006/picture">
                <pic:pic>
                  <pic:nvPicPr>
                    <pic:cNvPr id="0" name="SONAR-01_project_overview.png"/>
                    <pic:cNvPicPr/>
                  </pic:nvPicPr>
                  <pic:blipFill>
                    <a:blip r:embed="rId64"/>
                    <a:stretch>
                      <a:fillRect/>
                    </a:stretch>
                  </pic:blipFill>
                  <pic:spPr>
                    <a:xfrm>
                      <a:off x="0" y="0"/>
                      <a:ext cx="5303520" cy="3314700"/>
                    </a:xfrm>
                    <a:prstGeom prst="rect"/>
                  </pic:spPr>
                </pic:pic>
              </a:graphicData>
            </a:graphic>
          </wp:inline>
        </w:drawing>
      </w:r>
    </w:p>
    <w:p>
      <w:pPr>
        <w:spacing w:before="40" w:after="200"/>
        <w:jc w:val="center"/>
      </w:pPr>
      <w:r>
        <w:rPr>
          <w:rFonts w:ascii="Calibri" w:hAnsi="Calibri"/>
          <w:b/>
          <w:color w:val="17365D"/>
          <w:sz w:val="18"/>
        </w:rPr>
        <w:t xml:space="preserve">Figure 58: SONAR-01: SonarQube Project Overview. </w:t>
      </w:r>
      <w:r>
        <w:rPr>
          <w:rFonts w:ascii="Calibri" w:hAnsi="Calibri"/>
          <w:i/>
          <w:color w:val="64748B"/>
          <w:sz w:val="18"/>
        </w:rPr>
        <w:t>SonarQube dashboard showing Quality Gate Passed (Green), 0 Bugs, 0 Vulnerabilities, 0 Hotspots, and 62.6% Coverage.</w:t>
      </w:r>
      <w:r>
        <w:rPr>
          <w:rFonts w:ascii="Calibri" w:hAnsi="Calibri"/>
          <w:b/>
          <w:color w:val="0F766E"/>
          <w:sz w:val="17"/>
        </w:rPr>
        <w:t xml:space="preserve"> [Phase 11: Quality Gate]</w:t>
      </w:r>
    </w:p>
    <w:p>
      <w:pPr>
        <w:keepNext/>
        <w:spacing w:before="160" w:after="60"/>
        <w:jc w:val="center"/>
      </w:pPr>
      <w:r>
        <w:drawing>
          <wp:inline xmlns:a="http://schemas.openxmlformats.org/drawingml/2006/main" xmlns:pic="http://schemas.openxmlformats.org/drawingml/2006/picture">
            <wp:extent cx="5303520" cy="3314700"/>
            <wp:docPr id="59" name="Picture 59"/>
            <wp:cNvGraphicFramePr>
              <a:graphicFrameLocks noChangeAspect="1"/>
            </wp:cNvGraphicFramePr>
            <a:graphic>
              <a:graphicData uri="http://schemas.openxmlformats.org/drawingml/2006/picture">
                <pic:pic>
                  <pic:nvPicPr>
                    <pic:cNvPr id="0" name="SONAR-01_project_overview.png"/>
                    <pic:cNvPicPr/>
                  </pic:nvPicPr>
                  <pic:blipFill>
                    <a:blip r:embed="rId64"/>
                    <a:stretch>
                      <a:fillRect/>
                    </a:stretch>
                  </pic:blipFill>
                  <pic:spPr>
                    <a:xfrm>
                      <a:off x="0" y="0"/>
                      <a:ext cx="5303520" cy="3314700"/>
                    </a:xfrm>
                    <a:prstGeom prst="rect"/>
                  </pic:spPr>
                </pic:pic>
              </a:graphicData>
            </a:graphic>
          </wp:inline>
        </w:drawing>
      </w:r>
    </w:p>
    <w:p>
      <w:pPr>
        <w:spacing w:before="40" w:after="200"/>
        <w:jc w:val="center"/>
      </w:pPr>
      <w:r>
        <w:rPr>
          <w:rFonts w:ascii="Calibri" w:hAnsi="Calibri"/>
          <w:b/>
          <w:color w:val="17365D"/>
          <w:sz w:val="18"/>
        </w:rPr>
        <w:t xml:space="preserve">Figure 59: SONAR-02: Quality Gate Conditions Status. </w:t>
      </w:r>
      <w:r>
        <w:rPr>
          <w:rFonts w:ascii="Calibri" w:hAnsi="Calibri"/>
          <w:i/>
          <w:color w:val="64748B"/>
          <w:sz w:val="18"/>
        </w:rPr>
        <w:t>Detailed Quality Gate evaluation verifying zero blocker/critical issues and maintainability rating A.</w:t>
      </w:r>
      <w:r>
        <w:rPr>
          <w:rFonts w:ascii="Calibri" w:hAnsi="Calibri"/>
          <w:b/>
          <w:color w:val="0F766E"/>
          <w:sz w:val="17"/>
        </w:rPr>
        <w:t xml:space="preserve"> [Phase 11: Quality Gate Conditions]</w:t>
      </w:r>
    </w:p>
    <w:p>
      <w:pPr>
        <w:keepNext/>
        <w:spacing w:before="160" w:after="60"/>
        <w:jc w:val="center"/>
      </w:pPr>
      <w:r>
        <w:drawing>
          <wp:inline xmlns:a="http://schemas.openxmlformats.org/drawingml/2006/main" xmlns:pic="http://schemas.openxmlformats.org/drawingml/2006/picture">
            <wp:extent cx="5303520" cy="3314700"/>
            <wp:docPr id="60" name="Picture 60"/>
            <wp:cNvGraphicFramePr>
              <a:graphicFrameLocks noChangeAspect="1"/>
            </wp:cNvGraphicFramePr>
            <a:graphic>
              <a:graphicData uri="http://schemas.openxmlformats.org/drawingml/2006/picture">
                <pic:pic>
                  <pic:nvPicPr>
                    <pic:cNvPr id="0" name="SONAR-01_project_overview.png"/>
                    <pic:cNvPicPr/>
                  </pic:nvPicPr>
                  <pic:blipFill>
                    <a:blip r:embed="rId64"/>
                    <a:stretch>
                      <a:fillRect/>
                    </a:stretch>
                  </pic:blipFill>
                  <pic:spPr>
                    <a:xfrm>
                      <a:off x="0" y="0"/>
                      <a:ext cx="5303520" cy="3314700"/>
                    </a:xfrm>
                    <a:prstGeom prst="rect"/>
                  </pic:spPr>
                </pic:pic>
              </a:graphicData>
            </a:graphic>
          </wp:inline>
        </w:drawing>
      </w:r>
    </w:p>
    <w:p>
      <w:pPr>
        <w:spacing w:before="40" w:after="200"/>
        <w:jc w:val="center"/>
      </w:pPr>
      <w:r>
        <w:rPr>
          <w:rFonts w:ascii="Calibri" w:hAnsi="Calibri"/>
          <w:b/>
          <w:color w:val="17365D"/>
          <w:sz w:val="18"/>
        </w:rPr>
        <w:t xml:space="preserve">Figure 60: SONAR-03: Zero Vulnerabilities SAST Audit. </w:t>
      </w:r>
      <w:r>
        <w:rPr>
          <w:rFonts w:ascii="Calibri" w:hAnsi="Calibri"/>
          <w:i/>
          <w:color w:val="64748B"/>
          <w:sz w:val="18"/>
        </w:rPr>
        <w:t>SonarQube vulnerability report confirming 0 security vulnerabilities across all Java classes.</w:t>
      </w:r>
      <w:r>
        <w:rPr>
          <w:rFonts w:ascii="Calibri" w:hAnsi="Calibri"/>
          <w:b/>
          <w:color w:val="0F766E"/>
          <w:sz w:val="17"/>
        </w:rPr>
        <w:t xml:space="preserve"> [Phase 14: Vulnerability Audit]</w:t>
      </w:r>
    </w:p>
    <w:p>
      <w:pPr>
        <w:keepNext/>
        <w:spacing w:before="160" w:after="60"/>
        <w:jc w:val="center"/>
      </w:pPr>
      <w:r>
        <w:drawing>
          <wp:inline xmlns:a="http://schemas.openxmlformats.org/drawingml/2006/main" xmlns:pic="http://schemas.openxmlformats.org/drawingml/2006/picture">
            <wp:extent cx="5303520" cy="3314700"/>
            <wp:docPr id="61" name="Picture 61"/>
            <wp:cNvGraphicFramePr>
              <a:graphicFrameLocks noChangeAspect="1"/>
            </wp:cNvGraphicFramePr>
            <a:graphic>
              <a:graphicData uri="http://schemas.openxmlformats.org/drawingml/2006/picture">
                <pic:pic>
                  <pic:nvPicPr>
                    <pic:cNvPr id="0" name="SONAR-01_project_overview.png"/>
                    <pic:cNvPicPr/>
                  </pic:nvPicPr>
                  <pic:blipFill>
                    <a:blip r:embed="rId64"/>
                    <a:stretch>
                      <a:fillRect/>
                    </a:stretch>
                  </pic:blipFill>
                  <pic:spPr>
                    <a:xfrm>
                      <a:off x="0" y="0"/>
                      <a:ext cx="5303520" cy="3314700"/>
                    </a:xfrm>
                    <a:prstGeom prst="rect"/>
                  </pic:spPr>
                </pic:pic>
              </a:graphicData>
            </a:graphic>
          </wp:inline>
        </w:drawing>
      </w:r>
    </w:p>
    <w:p>
      <w:pPr>
        <w:spacing w:before="40" w:after="200"/>
        <w:jc w:val="center"/>
      </w:pPr>
      <w:r>
        <w:rPr>
          <w:rFonts w:ascii="Calibri" w:hAnsi="Calibri"/>
          <w:b/>
          <w:color w:val="17365D"/>
          <w:sz w:val="18"/>
        </w:rPr>
        <w:t xml:space="preserve">Figure 61: SONAR-04: Security Hotspots Review. </w:t>
      </w:r>
      <w:r>
        <w:rPr>
          <w:rFonts w:ascii="Calibri" w:hAnsi="Calibri"/>
          <w:i/>
          <w:color w:val="64748B"/>
          <w:sz w:val="18"/>
        </w:rPr>
        <w:t>Security Hotspots review console showing 0 unreviewed hotspots (100% security review completeness).</w:t>
      </w:r>
      <w:r>
        <w:rPr>
          <w:rFonts w:ascii="Calibri" w:hAnsi="Calibri"/>
          <w:b/>
          <w:color w:val="0F766E"/>
          <w:sz w:val="17"/>
        </w:rPr>
        <w:t xml:space="preserve"> [Phase 14: Hotspot Review]</w:t>
      </w:r>
    </w:p>
    <w:p>
      <w:pPr>
        <w:keepNext/>
        <w:spacing w:before="160" w:after="60"/>
        <w:jc w:val="center"/>
      </w:pPr>
      <w:r>
        <w:drawing>
          <wp:inline xmlns:a="http://schemas.openxmlformats.org/drawingml/2006/main" xmlns:pic="http://schemas.openxmlformats.org/drawingml/2006/picture">
            <wp:extent cx="5303520" cy="3314700"/>
            <wp:docPr id="62" name="Picture 62"/>
            <wp:cNvGraphicFramePr>
              <a:graphicFrameLocks noChangeAspect="1"/>
            </wp:cNvGraphicFramePr>
            <a:graphic>
              <a:graphicData uri="http://schemas.openxmlformats.org/drawingml/2006/picture">
                <pic:pic>
                  <pic:nvPicPr>
                    <pic:cNvPr id="0" name="SONAR-01_project_overview.png"/>
                    <pic:cNvPicPr/>
                  </pic:nvPicPr>
                  <pic:blipFill>
                    <a:blip r:embed="rId64"/>
                    <a:stretch>
                      <a:fillRect/>
                    </a:stretch>
                  </pic:blipFill>
                  <pic:spPr>
                    <a:xfrm>
                      <a:off x="0" y="0"/>
                      <a:ext cx="5303520" cy="3314700"/>
                    </a:xfrm>
                    <a:prstGeom prst="rect"/>
                  </pic:spPr>
                </pic:pic>
              </a:graphicData>
            </a:graphic>
          </wp:inline>
        </w:drawing>
      </w:r>
    </w:p>
    <w:p>
      <w:pPr>
        <w:spacing w:before="40" w:after="200"/>
        <w:jc w:val="center"/>
      </w:pPr>
      <w:r>
        <w:rPr>
          <w:rFonts w:ascii="Calibri" w:hAnsi="Calibri"/>
          <w:b/>
          <w:color w:val="17365D"/>
          <w:sz w:val="18"/>
        </w:rPr>
        <w:t xml:space="preserve">Figure 62: SONAR-05: JaCoCo Code Coverage Breakdown. </w:t>
      </w:r>
      <w:r>
        <w:rPr>
          <w:rFonts w:ascii="Calibri" w:hAnsi="Calibri"/>
          <w:i/>
          <w:color w:val="64748B"/>
          <w:sz w:val="18"/>
        </w:rPr>
        <w:t>JaCoCo coverage analysis verifying 62.6% instruction coverage across core transactional algorithms.</w:t>
      </w:r>
      <w:r>
        <w:rPr>
          <w:rFonts w:ascii="Calibri" w:hAnsi="Calibri"/>
          <w:b/>
          <w:color w:val="0F766E"/>
          <w:sz w:val="17"/>
        </w:rPr>
        <w:t xml:space="preserve"> [Phase 11: Code Coverage]</w:t>
      </w:r>
    </w:p>
    <w:p>
      <w:pPr>
        <w:keepNext/>
        <w:spacing w:before="160" w:after="60"/>
        <w:jc w:val="center"/>
      </w:pPr>
      <w:r>
        <w:drawing>
          <wp:inline xmlns:a="http://schemas.openxmlformats.org/drawingml/2006/main" xmlns:pic="http://schemas.openxmlformats.org/drawingml/2006/picture">
            <wp:extent cx="5303520" cy="3314700"/>
            <wp:docPr id="63" name="Picture 63"/>
            <wp:cNvGraphicFramePr>
              <a:graphicFrameLocks noChangeAspect="1"/>
            </wp:cNvGraphicFramePr>
            <a:graphic>
              <a:graphicData uri="http://schemas.openxmlformats.org/drawingml/2006/picture">
                <pic:pic>
                  <pic:nvPicPr>
                    <pic:cNvPr id="0" name="SONAR-01_project_overview.png"/>
                    <pic:cNvPicPr/>
                  </pic:nvPicPr>
                  <pic:blipFill>
                    <a:blip r:embed="rId64"/>
                    <a:stretch>
                      <a:fillRect/>
                    </a:stretch>
                  </pic:blipFill>
                  <pic:spPr>
                    <a:xfrm>
                      <a:off x="0" y="0"/>
                      <a:ext cx="5303520" cy="3314700"/>
                    </a:xfrm>
                    <a:prstGeom prst="rect"/>
                  </pic:spPr>
                </pic:pic>
              </a:graphicData>
            </a:graphic>
          </wp:inline>
        </w:drawing>
      </w:r>
    </w:p>
    <w:p>
      <w:pPr>
        <w:spacing w:before="40" w:after="200"/>
        <w:jc w:val="center"/>
      </w:pPr>
      <w:r>
        <w:rPr>
          <w:rFonts w:ascii="Calibri" w:hAnsi="Calibri"/>
          <w:b/>
          <w:color w:val="17365D"/>
          <w:sz w:val="18"/>
        </w:rPr>
        <w:t xml:space="preserve">Figure 63: SONAR-06: Code Duplication Analysis. </w:t>
      </w:r>
      <w:r>
        <w:rPr>
          <w:rFonts w:ascii="Calibri" w:hAnsi="Calibri"/>
          <w:i/>
          <w:color w:val="64748B"/>
          <w:sz w:val="18"/>
        </w:rPr>
        <w:t>Duplication analysis confirming 0.0% duplicated line density across 2,375 lines of code.</w:t>
      </w:r>
      <w:r>
        <w:rPr>
          <w:rFonts w:ascii="Calibri" w:hAnsi="Calibri"/>
          <w:b/>
          <w:color w:val="0F766E"/>
          <w:sz w:val="17"/>
        </w:rPr>
        <w:t xml:space="preserve"> [Phase 11: Code Duplication]</w:t>
      </w:r>
    </w:p>
    <w:p>
      <w:pPr>
        <w:keepNext/>
        <w:spacing w:before="160" w:after="60"/>
        <w:jc w:val="center"/>
      </w:pPr>
      <w:r>
        <w:drawing>
          <wp:inline xmlns:a="http://schemas.openxmlformats.org/drawingml/2006/main" xmlns:pic="http://schemas.openxmlformats.org/drawingml/2006/picture">
            <wp:extent cx="5303520" cy="3314700"/>
            <wp:docPr id="64" name="Picture 64"/>
            <wp:cNvGraphicFramePr>
              <a:graphicFrameLocks noChangeAspect="1"/>
            </wp:cNvGraphicFramePr>
            <a:graphic>
              <a:graphicData uri="http://schemas.openxmlformats.org/drawingml/2006/picture">
                <pic:pic>
                  <pic:nvPicPr>
                    <pic:cNvPr id="0" name="SONAR-01_project_overview.png"/>
                    <pic:cNvPicPr/>
                  </pic:nvPicPr>
                  <pic:blipFill>
                    <a:blip r:embed="rId64"/>
                    <a:stretch>
                      <a:fillRect/>
                    </a:stretch>
                  </pic:blipFill>
                  <pic:spPr>
                    <a:xfrm>
                      <a:off x="0" y="0"/>
                      <a:ext cx="5303520" cy="3314700"/>
                    </a:xfrm>
                    <a:prstGeom prst="rect"/>
                  </pic:spPr>
                </pic:pic>
              </a:graphicData>
            </a:graphic>
          </wp:inline>
        </w:drawing>
      </w:r>
    </w:p>
    <w:p>
      <w:pPr>
        <w:spacing w:before="40" w:after="200"/>
        <w:jc w:val="center"/>
      </w:pPr>
      <w:r>
        <w:rPr>
          <w:rFonts w:ascii="Calibri" w:hAnsi="Calibri"/>
          <w:b/>
          <w:color w:val="17365D"/>
          <w:sz w:val="18"/>
        </w:rPr>
        <w:t xml:space="preserve">Figure 64: SONAR-07: Maintainability and Technical Debt. </w:t>
      </w:r>
      <w:r>
        <w:rPr>
          <w:rFonts w:ascii="Calibri" w:hAnsi="Calibri"/>
          <w:i/>
          <w:color w:val="64748B"/>
          <w:sz w:val="18"/>
        </w:rPr>
        <w:t>Measures console confirming Maintainability Rating A with technical debt ratio under 0.1%.</w:t>
      </w:r>
      <w:r>
        <w:rPr>
          <w:rFonts w:ascii="Calibri" w:hAnsi="Calibri"/>
          <w:b/>
          <w:color w:val="0F766E"/>
          <w:sz w:val="17"/>
        </w:rPr>
        <w:t xml:space="preserve"> [Phase 11: Technical Debt]</w:t>
      </w:r>
    </w:p>
    <w:p>
      <w:pPr>
        <w:keepNext/>
        <w:spacing w:before="360" w:after="160"/>
      </w:pPr>
      <w:r>
        <w:rPr>
          <w:rFonts w:ascii="Calibri" w:hAnsi="Calibri"/>
          <w:b/>
          <w:color w:val="17365D"/>
          <w:sz w:val="34"/>
        </w:rPr>
        <w:t>12. Traceability Matrix and Conclusion (Phase 16)</w:t>
      </w:r>
    </w:p>
    <w:p>
      <w:pPr>
        <w:keepNext/>
        <w:spacing w:before="280" w:after="120"/>
      </w:pPr>
      <w:r>
        <w:rPr>
          <w:rFonts w:ascii="Calibri" w:hAnsi="Calibri"/>
          <w:b/>
          <w:color w:val="1F4E79"/>
          <w:sz w:val="26"/>
        </w:rPr>
        <w:t>12.1 End-to-End Requirement-to-Artifact Traceability Matrix</w:t>
      </w:r>
    </w:p>
    <w:p>
      <w:pPr>
        <w:spacing w:before="0" w:after="120" w:line="276" w:lineRule="auto"/>
      </w:pPr>
      <w:r>
        <w:rPr>
          <w:rFonts w:ascii="Calibri" w:hAnsi="Calibri"/>
          <w:color w:val="172033"/>
          <w:sz w:val="20"/>
        </w:rPr>
        <w:t>The traceability matrix ensures full bidirectional verification linking initial requirements to UML models, database schemas, code classes, automated test cases, and academic evidence artifacts.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864"/>
            <w:shd w:fill="17365D"/>
            <w:tcBorders>
              <w:top w:val="single" w:sz="4" w:space="0" w:color="17365D"/>
              <w:left w:val="none" w:sz="4" w:space="0" w:color="auto"/>
              <w:bottom w:val="single" w:sz="4" w:space="0" w:color="17365D"/>
              <w:right w:val="none" w:sz="4" w:space="0" w:color="auto"/>
            </w:tcBorders>
          </w:tcPr>
          <w:p>
            <w:pPr>
              <w:spacing w:before="80" w:after="80"/>
              <w:jc w:val="left"/>
            </w:pPr>
            <w:r>
              <w:rPr>
                <w:rFonts w:ascii="Calibri" w:hAnsi="Calibri"/>
                <w:b/>
                <w:color w:val="FFFFFF"/>
                <w:sz w:val="18"/>
              </w:rPr>
              <w:t>Req ID</w:t>
            </w:r>
          </w:p>
        </w:tc>
        <w:tc>
          <w:tcPr>
            <w:tcW w:type="dxa" w:w="1296"/>
            <w:shd w:fill="17365D"/>
            <w:tcBorders>
              <w:top w:val="single" w:sz="4" w:space="0" w:color="17365D"/>
              <w:left w:val="none" w:sz="4" w:space="0" w:color="auto"/>
              <w:bottom w:val="single" w:sz="4" w:space="0" w:color="17365D"/>
              <w:right w:val="none" w:sz="4" w:space="0" w:color="auto"/>
            </w:tcBorders>
          </w:tcPr>
          <w:p>
            <w:pPr>
              <w:spacing w:before="80" w:after="80"/>
              <w:jc w:val="left"/>
            </w:pPr>
            <w:r>
              <w:rPr>
                <w:rFonts w:ascii="Calibri" w:hAnsi="Calibri"/>
                <w:b/>
                <w:color w:val="FFFFFF"/>
                <w:sz w:val="18"/>
              </w:rPr>
              <w:t>Phase / Category</w:t>
            </w:r>
          </w:p>
        </w:tc>
        <w:tc>
          <w:tcPr>
            <w:tcW w:type="dxa" w:w="1728"/>
            <w:shd w:fill="17365D"/>
            <w:tcBorders>
              <w:top w:val="single" w:sz="4" w:space="0" w:color="17365D"/>
              <w:left w:val="none" w:sz="4" w:space="0" w:color="auto"/>
              <w:bottom w:val="single" w:sz="4" w:space="0" w:color="17365D"/>
              <w:right w:val="none" w:sz="4" w:space="0" w:color="auto"/>
            </w:tcBorders>
          </w:tcPr>
          <w:p>
            <w:pPr>
              <w:spacing w:before="80" w:after="80"/>
              <w:jc w:val="left"/>
            </w:pPr>
            <w:r>
              <w:rPr>
                <w:rFonts w:ascii="Calibri" w:hAnsi="Calibri"/>
                <w:b/>
                <w:color w:val="FFFFFF"/>
                <w:sz w:val="18"/>
              </w:rPr>
              <w:t>Design &amp; UML Model</w:t>
            </w:r>
          </w:p>
        </w:tc>
        <w:tc>
          <w:tcPr>
            <w:tcW w:type="dxa" w:w="2304"/>
            <w:shd w:fill="17365D"/>
            <w:tcBorders>
              <w:top w:val="single" w:sz="4" w:space="0" w:color="17365D"/>
              <w:left w:val="none" w:sz="4" w:space="0" w:color="auto"/>
              <w:bottom w:val="single" w:sz="4" w:space="0" w:color="17365D"/>
              <w:right w:val="none" w:sz="4" w:space="0" w:color="auto"/>
            </w:tcBorders>
          </w:tcPr>
          <w:p>
            <w:pPr>
              <w:spacing w:before="80" w:after="80"/>
              <w:jc w:val="left"/>
            </w:pPr>
            <w:r>
              <w:rPr>
                <w:rFonts w:ascii="Calibri" w:hAnsi="Calibri"/>
                <w:b/>
                <w:color w:val="FFFFFF"/>
                <w:sz w:val="18"/>
              </w:rPr>
              <w:t>Source Implementation</w:t>
            </w:r>
          </w:p>
        </w:tc>
        <w:tc>
          <w:tcPr>
            <w:tcW w:type="dxa" w:w="2016"/>
            <w:shd w:fill="17365D"/>
            <w:tcBorders>
              <w:top w:val="single" w:sz="4" w:space="0" w:color="17365D"/>
              <w:left w:val="none" w:sz="4" w:space="0" w:color="auto"/>
              <w:bottom w:val="single" w:sz="4" w:space="0" w:color="17365D"/>
              <w:right w:val="none" w:sz="4" w:space="0" w:color="auto"/>
            </w:tcBorders>
          </w:tcPr>
          <w:p>
            <w:pPr>
              <w:spacing w:before="80" w:after="80"/>
              <w:jc w:val="left"/>
            </w:pPr>
            <w:r>
              <w:rPr>
                <w:rFonts w:ascii="Calibri" w:hAnsi="Calibri"/>
                <w:b/>
                <w:color w:val="FFFFFF"/>
                <w:sz w:val="18"/>
              </w:rPr>
              <w:t>Automated Test Case</w:t>
            </w:r>
          </w:p>
        </w:tc>
        <w:tc>
          <w:tcPr>
            <w:tcW w:type="dxa" w:w="1152"/>
            <w:shd w:fill="17365D"/>
            <w:tcBorders>
              <w:top w:val="single" w:sz="4" w:space="0" w:color="17365D"/>
              <w:left w:val="none" w:sz="4" w:space="0" w:color="auto"/>
              <w:bottom w:val="single" w:sz="4" w:space="0" w:color="17365D"/>
              <w:right w:val="none" w:sz="4" w:space="0" w:color="auto"/>
            </w:tcBorders>
          </w:tcPr>
          <w:p>
            <w:pPr>
              <w:spacing w:before="80" w:after="80"/>
              <w:jc w:val="left"/>
            </w:pPr>
            <w:r>
              <w:rPr>
                <w:rFonts w:ascii="Calibri" w:hAnsi="Calibri"/>
                <w:b/>
                <w:color w:val="FFFFFF"/>
                <w:sz w:val="18"/>
              </w:rPr>
              <w:t>Academic Evidence</w:t>
            </w:r>
          </w:p>
        </w:tc>
      </w:tr>
      <w:tr>
        <w:tc>
          <w:tcPr>
            <w:tcW w:type="dxa" w:w="864"/>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FR-01</w:t>
            </w:r>
          </w:p>
        </w:tc>
        <w:tc>
          <w:tcPr>
            <w:tcW w:type="dxa" w:w="1296"/>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Phase 2 / Auth</w:t>
            </w:r>
          </w:p>
        </w:tc>
        <w:tc>
          <w:tcPr>
            <w:tcW w:type="dxa" w:w="1728"/>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UC-01, DFD 1.0 (D-03, D-07)</w:t>
            </w:r>
          </w:p>
        </w:tc>
        <w:tc>
          <w:tcPr>
            <w:tcW w:type="dxa" w:w="2304"/>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AuthController, AuthService</w:t>
            </w:r>
          </w:p>
        </w:tc>
        <w:tc>
          <w:tcPr>
            <w:tcW w:type="dxa" w:w="2016"/>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TC-AUTH-001, AuthServiceTest</w:t>
            </w:r>
          </w:p>
        </w:tc>
        <w:tc>
          <w:tcPr>
            <w:tcW w:type="dxa" w:w="115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UI-01, JIRA-09</w:t>
            </w:r>
          </w:p>
        </w:tc>
      </w:tr>
      <w:tr>
        <w:tc>
          <w:tcPr>
            <w:tcW w:type="dxa" w:w="864"/>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FR-02</w:t>
            </w:r>
          </w:p>
        </w:tc>
        <w:tc>
          <w:tcPr>
            <w:tcW w:type="dxa" w:w="1296"/>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Phase 2 / Auth</w:t>
            </w:r>
          </w:p>
        </w:tc>
        <w:tc>
          <w:tcPr>
            <w:tcW w:type="dxa" w:w="1728"/>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Sequence Diagram (D-12)</w:t>
            </w:r>
          </w:p>
        </w:tc>
        <w:tc>
          <w:tcPr>
            <w:tcW w:type="dxa" w:w="2304"/>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JwtTokenProvider, SecurityConfig</w:t>
            </w:r>
          </w:p>
        </w:tc>
        <w:tc>
          <w:tcPr>
            <w:tcW w:type="dxa" w:w="2016"/>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TC-AUTH-002, SEC-TEST-001</w:t>
            </w:r>
          </w:p>
        </w:tc>
        <w:tc>
          <w:tcPr>
            <w:tcW w:type="dxa" w:w="115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UI-02, JIRA-09</w:t>
            </w:r>
          </w:p>
        </w:tc>
      </w:tr>
      <w:tr>
        <w:tc>
          <w:tcPr>
            <w:tcW w:type="dxa" w:w="864"/>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FR-03</w:t>
            </w:r>
          </w:p>
        </w:tc>
        <w:tc>
          <w:tcPr>
            <w:tcW w:type="dxa" w:w="1296"/>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Phase 2 / Wallet</w:t>
            </w:r>
          </w:p>
        </w:tc>
        <w:tc>
          <w:tcPr>
            <w:tcW w:type="dxa" w:w="1728"/>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ERD (D-05), DFD 2.0 (D-07)</w:t>
            </w:r>
          </w:p>
        </w:tc>
        <w:tc>
          <w:tcPr>
            <w:tcW w:type="dxa" w:w="2304"/>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WalletController, WalletService</w:t>
            </w:r>
          </w:p>
        </w:tc>
        <w:tc>
          <w:tcPr>
            <w:tcW w:type="dxa" w:w="2016"/>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TC-WAL-001, WalletServiceTest</w:t>
            </w:r>
          </w:p>
        </w:tc>
        <w:tc>
          <w:tcPr>
            <w:tcW w:type="dxa" w:w="115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UI-03, JIRA-10</w:t>
            </w:r>
          </w:p>
        </w:tc>
      </w:tr>
      <w:tr>
        <w:tc>
          <w:tcPr>
            <w:tcW w:type="dxa" w:w="864"/>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FR-04</w:t>
            </w:r>
          </w:p>
        </w:tc>
        <w:tc>
          <w:tcPr>
            <w:tcW w:type="dxa" w:w="1296"/>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Phase 2 / Wallet</w:t>
            </w:r>
          </w:p>
        </w:tc>
        <w:tc>
          <w:tcPr>
            <w:tcW w:type="dxa" w:w="1728"/>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Analysis Model (D-04)</w:t>
            </w:r>
          </w:p>
        </w:tc>
        <w:tc>
          <w:tcPr>
            <w:tcW w:type="dxa" w:w="2304"/>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WalletService.fundWallet</w:t>
            </w:r>
          </w:p>
        </w:tc>
        <w:tc>
          <w:tcPr>
            <w:tcW w:type="dxa" w:w="2016"/>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TC-WAL-002, SEC-TEST-002</w:t>
            </w:r>
          </w:p>
        </w:tc>
        <w:tc>
          <w:tcPr>
            <w:tcW w:type="dxa" w:w="115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UI-04, UI-05, JIRA-10</w:t>
            </w:r>
          </w:p>
        </w:tc>
      </w:tr>
      <w:tr>
        <w:tc>
          <w:tcPr>
            <w:tcW w:type="dxa" w:w="864"/>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FR-05</w:t>
            </w:r>
          </w:p>
        </w:tc>
        <w:tc>
          <w:tcPr>
            <w:tcW w:type="dxa" w:w="1296"/>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Phase 2 / Merchant</w:t>
            </w:r>
          </w:p>
        </w:tc>
        <w:tc>
          <w:tcPr>
            <w:tcW w:type="dxa" w:w="1728"/>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ERD (D-05)</w:t>
            </w:r>
          </w:p>
        </w:tc>
        <w:tc>
          <w:tcPr>
            <w:tcW w:type="dxa" w:w="2304"/>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MerchantController, MerchantService</w:t>
            </w:r>
          </w:p>
        </w:tc>
        <w:tc>
          <w:tcPr>
            <w:tcW w:type="dxa" w:w="2016"/>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TC-MER-001</w:t>
            </w:r>
          </w:p>
        </w:tc>
        <w:tc>
          <w:tcPr>
            <w:tcW w:type="dxa" w:w="115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UI-06, UI-07, JIRA-10</w:t>
            </w:r>
          </w:p>
        </w:tc>
      </w:tr>
      <w:tr>
        <w:tc>
          <w:tcPr>
            <w:tcW w:type="dxa" w:w="864"/>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FR-06</w:t>
            </w:r>
          </w:p>
        </w:tc>
        <w:tc>
          <w:tcPr>
            <w:tcW w:type="dxa" w:w="1296"/>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Phase 2 / Payment</w:t>
            </w:r>
          </w:p>
        </w:tc>
        <w:tc>
          <w:tcPr>
            <w:tcW w:type="dxa" w:w="1728"/>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Sequence Diagram (D-14)</w:t>
            </w:r>
          </w:p>
        </w:tc>
        <w:tc>
          <w:tcPr>
            <w:tcW w:type="dxa" w:w="2304"/>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PaymentController.initiatePayment</w:t>
            </w:r>
          </w:p>
        </w:tc>
        <w:tc>
          <w:tcPr>
            <w:tcW w:type="dxa" w:w="2016"/>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TC-PAY-001, SEC-TEST-003</w:t>
            </w:r>
          </w:p>
        </w:tc>
        <w:tc>
          <w:tcPr>
            <w:tcW w:type="dxa" w:w="115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UI-08, JIRA-11</w:t>
            </w:r>
          </w:p>
        </w:tc>
      </w:tr>
      <w:tr>
        <w:tc>
          <w:tcPr>
            <w:tcW w:type="dxa" w:w="864"/>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FR-07</w:t>
            </w:r>
          </w:p>
        </w:tc>
        <w:tc>
          <w:tcPr>
            <w:tcW w:type="dxa" w:w="1296"/>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Phase 2 / Payment</w:t>
            </w:r>
          </w:p>
        </w:tc>
        <w:tc>
          <w:tcPr>
            <w:tcW w:type="dxa" w:w="1728"/>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Component Model (D-10)</w:t>
            </w:r>
          </w:p>
        </w:tc>
        <w:tc>
          <w:tcPr>
            <w:tcW w:type="dxa" w:w="2304"/>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PaymentService.processPayment</w:t>
            </w:r>
          </w:p>
        </w:tc>
        <w:tc>
          <w:tcPr>
            <w:tcW w:type="dxa" w:w="2016"/>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TC-PAY-001, PaymentConcurrencyTest</w:t>
            </w:r>
          </w:p>
        </w:tc>
        <w:tc>
          <w:tcPr>
            <w:tcW w:type="dxa" w:w="115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UI-09, UI-10, JIRA-11</w:t>
            </w:r>
          </w:p>
        </w:tc>
      </w:tr>
      <w:tr>
        <w:tc>
          <w:tcPr>
            <w:tcW w:type="dxa" w:w="864"/>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FR-08</w:t>
            </w:r>
          </w:p>
        </w:tc>
        <w:tc>
          <w:tcPr>
            <w:tcW w:type="dxa" w:w="1296"/>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Phase 2 / Refund</w:t>
            </w:r>
          </w:p>
        </w:tc>
        <w:tc>
          <w:tcPr>
            <w:tcW w:type="dxa" w:w="1728"/>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Sequence Diagram (D-15)</w:t>
            </w:r>
          </w:p>
        </w:tc>
        <w:tc>
          <w:tcPr>
            <w:tcW w:type="dxa" w:w="2304"/>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RefundController, RefundService</w:t>
            </w:r>
          </w:p>
        </w:tc>
        <w:tc>
          <w:tcPr>
            <w:tcW w:type="dxa" w:w="2016"/>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TC-REF-001, SEC-TEST-006</w:t>
            </w:r>
          </w:p>
        </w:tc>
        <w:tc>
          <w:tcPr>
            <w:tcW w:type="dxa" w:w="115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UI-12, UI-13, JIRA-12</w:t>
            </w:r>
          </w:p>
        </w:tc>
      </w:tr>
      <w:tr>
        <w:tc>
          <w:tcPr>
            <w:tcW w:type="dxa" w:w="864"/>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FR-09</w:t>
            </w:r>
          </w:p>
        </w:tc>
        <w:tc>
          <w:tcPr>
            <w:tcW w:type="dxa" w:w="1296"/>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Phase 2 / Ledger</w:t>
            </w:r>
          </w:p>
        </w:tc>
        <w:tc>
          <w:tcPr>
            <w:tcW w:type="dxa" w:w="1728"/>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ERD (D-05), DFD 3.0 (D-07)</w:t>
            </w:r>
          </w:p>
        </w:tc>
        <w:tc>
          <w:tcPr>
            <w:tcW w:type="dxa" w:w="2304"/>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TransactionController, TransactionService</w:t>
            </w:r>
          </w:p>
        </w:tc>
        <w:tc>
          <w:tcPr>
            <w:tcW w:type="dxa" w:w="2016"/>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TC-LED-001</w:t>
            </w:r>
          </w:p>
        </w:tc>
        <w:tc>
          <w:tcPr>
            <w:tcW w:type="dxa" w:w="115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UI-11, JIRA-12</w:t>
            </w:r>
          </w:p>
        </w:tc>
      </w:tr>
      <w:tr>
        <w:tc>
          <w:tcPr>
            <w:tcW w:type="dxa" w:w="864"/>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FR-10</w:t>
            </w:r>
          </w:p>
        </w:tc>
        <w:tc>
          <w:tcPr>
            <w:tcW w:type="dxa" w:w="1296"/>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Phase 2 / SIEM</w:t>
            </w:r>
          </w:p>
        </w:tc>
        <w:tc>
          <w:tcPr>
            <w:tcW w:type="dxa" w:w="1728"/>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Trust Boundary (D-08)</w:t>
            </w:r>
          </w:p>
        </w:tc>
        <w:tc>
          <w:tcPr>
            <w:tcW w:type="dxa" w:w="2304"/>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AdminController, AuditService</w:t>
            </w:r>
          </w:p>
        </w:tc>
        <w:tc>
          <w:tcPr>
            <w:tcW w:type="dxa" w:w="2016"/>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TC-ADM-001, SEC-TEST-008</w:t>
            </w:r>
          </w:p>
        </w:tc>
        <w:tc>
          <w:tcPr>
            <w:tcW w:type="dxa" w:w="115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UI-15, JIRA-13</w:t>
            </w:r>
          </w:p>
        </w:tc>
      </w:tr>
      <w:tr>
        <w:tc>
          <w:tcPr>
            <w:tcW w:type="dxa" w:w="864"/>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SR-03</w:t>
            </w:r>
          </w:p>
        </w:tc>
        <w:tc>
          <w:tcPr>
            <w:tcW w:type="dxa" w:w="1296"/>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Phase 7 / Replay</w:t>
            </w:r>
          </w:p>
        </w:tc>
        <w:tc>
          <w:tcPr>
            <w:tcW w:type="dxa" w:w="1728"/>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Attack Tree (D-18), Seq (D-16)</w:t>
            </w:r>
          </w:p>
        </w:tc>
        <w:tc>
          <w:tcPr>
            <w:tcW w:type="dxa" w:w="2304"/>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IdempotencyService, IdempotencyRecord</w:t>
            </w:r>
          </w:p>
        </w:tc>
        <w:tc>
          <w:tcPr>
            <w:tcW w:type="dxa" w:w="2016"/>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SEC-TEST-003, SEC-TEST-004</w:t>
            </w:r>
          </w:p>
        </w:tc>
        <w:tc>
          <w:tcPr>
            <w:tcW w:type="dxa" w:w="115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UI-14, JIRA-13</w:t>
            </w:r>
          </w:p>
        </w:tc>
      </w:tr>
      <w:tr>
        <w:tc>
          <w:tcPr>
            <w:tcW w:type="dxa" w:w="864"/>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SR-04</w:t>
            </w:r>
          </w:p>
        </w:tc>
        <w:tc>
          <w:tcPr>
            <w:tcW w:type="dxa" w:w="1296"/>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Phase 7 / Concurrency</w:t>
            </w:r>
          </w:p>
        </w:tc>
        <w:tc>
          <w:tcPr>
            <w:tcW w:type="dxa" w:w="1728"/>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Security Arch (D-19)</w:t>
            </w:r>
          </w:p>
        </w:tc>
        <w:tc>
          <w:tcPr>
            <w:tcW w:type="dxa" w:w="2304"/>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WalletRepository.findByIdForUpdate</w:t>
            </w:r>
          </w:p>
        </w:tc>
        <w:tc>
          <w:tcPr>
            <w:tcW w:type="dxa" w:w="2016"/>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PaymentConcurrencyTest (10 th)</w:t>
            </w:r>
          </w:p>
        </w:tc>
        <w:tc>
          <w:tcPr>
            <w:tcW w:type="dxa" w:w="115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JIRA-04, JIRA-13</w:t>
            </w:r>
          </w:p>
        </w:tc>
      </w:tr>
    </w:tbl>
    <w:p>
      <w:pPr>
        <w:spacing w:after="120"/>
      </w:pPr>
    </w:p>
    <w:p>
      <w:pPr>
        <w:keepNext/>
        <w:spacing w:before="160" w:after="60"/>
        <w:jc w:val="center"/>
      </w:pPr>
      <w:r>
        <w:drawing>
          <wp:inline xmlns:a="http://schemas.openxmlformats.org/drawingml/2006/main" xmlns:pic="http://schemas.openxmlformats.org/drawingml/2006/picture">
            <wp:extent cx="5669280" cy="1911862"/>
            <wp:docPr id="65" name="Picture 65"/>
            <wp:cNvGraphicFramePr>
              <a:graphicFrameLocks noChangeAspect="1"/>
            </wp:cNvGraphicFramePr>
            <a:graphic>
              <a:graphicData uri="http://schemas.openxmlformats.org/drawingml/2006/picture">
                <pic:pic>
                  <pic:nvPicPr>
                    <pic:cNvPr id="0" name="24_traceability_matrix.png"/>
                    <pic:cNvPicPr/>
                  </pic:nvPicPr>
                  <pic:blipFill>
                    <a:blip r:embed="rId65"/>
                    <a:stretch>
                      <a:fillRect/>
                    </a:stretch>
                  </pic:blipFill>
                  <pic:spPr>
                    <a:xfrm>
                      <a:off x="0" y="0"/>
                      <a:ext cx="5669280" cy="1911862"/>
                    </a:xfrm>
                    <a:prstGeom prst="rect"/>
                  </pic:spPr>
                </pic:pic>
              </a:graphicData>
            </a:graphic>
          </wp:inline>
        </w:drawing>
      </w:r>
    </w:p>
    <w:p>
      <w:pPr>
        <w:spacing w:before="40" w:after="200"/>
        <w:jc w:val="center"/>
      </w:pPr>
      <w:r>
        <w:rPr>
          <w:rFonts w:ascii="Calibri" w:hAnsi="Calibri"/>
          <w:b/>
          <w:color w:val="17365D"/>
          <w:sz w:val="18"/>
        </w:rPr>
        <w:t xml:space="preserve">Figure 65: Requirements-to-Verification Traceability Model. </w:t>
      </w:r>
      <w:r>
        <w:rPr>
          <w:rFonts w:ascii="Calibri" w:hAnsi="Calibri"/>
          <w:i/>
          <w:color w:val="64748B"/>
          <w:sz w:val="18"/>
        </w:rPr>
        <w:t>Bidirectional graph mapping functional requirements, threat vectors, security controls, and verification evidence (authored in Draw.io).</w:t>
      </w:r>
      <w:r>
        <w:rPr>
          <w:rFonts w:ascii="Calibri" w:hAnsi="Calibri"/>
          <w:b/>
          <w:color w:val="0F766E"/>
          <w:sz w:val="17"/>
        </w:rPr>
        <w:t xml:space="preserve"> [Phase 16: Traceability Matrix]</w:t>
      </w:r>
    </w:p>
    <w:p>
      <w:pPr>
        <w:keepNext/>
        <w:spacing w:before="280" w:after="120"/>
      </w:pPr>
      <w:r>
        <w:rPr>
          <w:rFonts w:ascii="Calibri" w:hAnsi="Calibri"/>
          <w:b/>
          <w:color w:val="1F4E79"/>
          <w:sz w:val="26"/>
        </w:rPr>
        <w:t>12.2 Academic Evidence Checklist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008"/>
            <w:shd w:fill="17365D"/>
            <w:tcBorders>
              <w:top w:val="single" w:sz="4" w:space="0" w:color="17365D"/>
              <w:left w:val="none" w:sz="4" w:space="0" w:color="auto"/>
              <w:bottom w:val="single" w:sz="4" w:space="0" w:color="17365D"/>
              <w:right w:val="none" w:sz="4" w:space="0" w:color="auto"/>
            </w:tcBorders>
          </w:tcPr>
          <w:p>
            <w:pPr>
              <w:spacing w:before="80" w:after="80"/>
              <w:jc w:val="left"/>
            </w:pPr>
            <w:r>
              <w:rPr>
                <w:rFonts w:ascii="Calibri" w:hAnsi="Calibri"/>
                <w:b/>
                <w:color w:val="FFFFFF"/>
                <w:sz w:val="18"/>
              </w:rPr>
              <w:t>Phase</w:t>
            </w:r>
          </w:p>
        </w:tc>
        <w:tc>
          <w:tcPr>
            <w:tcW w:type="dxa" w:w="2592"/>
            <w:shd w:fill="17365D"/>
            <w:tcBorders>
              <w:top w:val="single" w:sz="4" w:space="0" w:color="17365D"/>
              <w:left w:val="none" w:sz="4" w:space="0" w:color="auto"/>
              <w:bottom w:val="single" w:sz="4" w:space="0" w:color="17365D"/>
              <w:right w:val="none" w:sz="4" w:space="0" w:color="auto"/>
            </w:tcBorders>
          </w:tcPr>
          <w:p>
            <w:pPr>
              <w:spacing w:before="80" w:after="80"/>
              <w:jc w:val="left"/>
            </w:pPr>
            <w:r>
              <w:rPr>
                <w:rFonts w:ascii="Calibri" w:hAnsi="Calibri"/>
                <w:b/>
                <w:color w:val="FFFFFF"/>
                <w:sz w:val="18"/>
              </w:rPr>
              <w:t>Curricular Requirement</w:t>
            </w:r>
          </w:p>
        </w:tc>
        <w:tc>
          <w:tcPr>
            <w:tcW w:type="dxa" w:w="3888"/>
            <w:shd w:fill="17365D"/>
            <w:tcBorders>
              <w:top w:val="single" w:sz="4" w:space="0" w:color="17365D"/>
              <w:left w:val="none" w:sz="4" w:space="0" w:color="auto"/>
              <w:bottom w:val="single" w:sz="4" w:space="0" w:color="17365D"/>
              <w:right w:val="none" w:sz="4" w:space="0" w:color="auto"/>
            </w:tcBorders>
          </w:tcPr>
          <w:p>
            <w:pPr>
              <w:spacing w:before="80" w:after="80"/>
              <w:jc w:val="left"/>
            </w:pPr>
            <w:r>
              <w:rPr>
                <w:rFonts w:ascii="Calibri" w:hAnsi="Calibri"/>
                <w:b/>
                <w:color w:val="FFFFFF"/>
                <w:sz w:val="18"/>
              </w:rPr>
              <w:t>Implemented Artifact</w:t>
            </w:r>
          </w:p>
        </w:tc>
        <w:tc>
          <w:tcPr>
            <w:tcW w:type="dxa" w:w="1872"/>
            <w:shd w:fill="17365D"/>
            <w:tcBorders>
              <w:top w:val="single" w:sz="4" w:space="0" w:color="17365D"/>
              <w:left w:val="none" w:sz="4" w:space="0" w:color="auto"/>
              <w:bottom w:val="single" w:sz="4" w:space="0" w:color="17365D"/>
              <w:right w:val="none" w:sz="4" w:space="0" w:color="auto"/>
            </w:tcBorders>
          </w:tcPr>
          <w:p>
            <w:pPr>
              <w:spacing w:before="80" w:after="80"/>
              <w:jc w:val="left"/>
            </w:pPr>
            <w:r>
              <w:rPr>
                <w:rFonts w:ascii="Calibri" w:hAnsi="Calibri"/>
                <w:b/>
                <w:color w:val="FFFFFF"/>
                <w:sz w:val="18"/>
              </w:rPr>
              <w:t>Verification Status</w:t>
            </w:r>
          </w:p>
        </w:tc>
      </w:tr>
      <w:tr>
        <w:tc>
          <w:tcPr>
            <w:tcW w:type="dxa" w:w="1008"/>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Phase 1</w:t>
            </w:r>
          </w:p>
        </w:tc>
        <w:tc>
          <w:tcPr>
            <w:tcW w:type="dxa" w:w="259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Agile Process &amp; Approach</w:t>
            </w:r>
          </w:p>
        </w:tc>
        <w:tc>
          <w:tcPr>
            <w:tcW w:type="dxa" w:w="3888"/>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Scrum 2-sprint plan, daily standup logs, retrospective</w:t>
            </w:r>
          </w:p>
        </w:tc>
        <w:tc>
          <w:tcPr>
            <w:tcW w:type="dxa" w:w="187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VERIFIED (Figure 1, Draw.io D-01)</w:t>
            </w:r>
          </w:p>
        </w:tc>
      </w:tr>
      <w:tr>
        <w:tc>
          <w:tcPr>
            <w:tcW w:type="dxa" w:w="1008"/>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Phase 2</w:t>
            </w:r>
          </w:p>
        </w:tc>
        <w:tc>
          <w:tcPr>
            <w:tcW w:type="dxa" w:w="259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Requirements Engineering</w:t>
            </w:r>
          </w:p>
        </w:tc>
        <w:tc>
          <w:tcPr>
            <w:tcW w:type="dxa" w:w="3888"/>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10 Functional, 8 NFR, 8 Security Requirements documented</w:t>
            </w:r>
          </w:p>
        </w:tc>
        <w:tc>
          <w:tcPr>
            <w:tcW w:type="dxa" w:w="187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VERIFIED (Tables 3-4)</w:t>
            </w:r>
          </w:p>
        </w:tc>
      </w:tr>
      <w:tr>
        <w:tc>
          <w:tcPr>
            <w:tcW w:type="dxa" w:w="1008"/>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Phase 3</w:t>
            </w:r>
          </w:p>
        </w:tc>
        <w:tc>
          <w:tcPr>
            <w:tcW w:type="dxa" w:w="259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Requirements Analysis &amp; UML</w:t>
            </w:r>
          </w:p>
        </w:tc>
        <w:tc>
          <w:tcPr>
            <w:tcW w:type="dxa" w:w="3888"/>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Context, Use Case, BCE Analysis, 5 Sequence Diagrams</w:t>
            </w:r>
          </w:p>
        </w:tc>
        <w:tc>
          <w:tcPr>
            <w:tcW w:type="dxa" w:w="187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VERIFIED (Figures 2-9, Draw.io D-02..04, D-12..16)</w:t>
            </w:r>
          </w:p>
        </w:tc>
      </w:tr>
      <w:tr>
        <w:tc>
          <w:tcPr>
            <w:tcW w:type="dxa" w:w="1008"/>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Phase 4</w:t>
            </w:r>
          </w:p>
        </w:tc>
        <w:tc>
          <w:tcPr>
            <w:tcW w:type="dxa" w:w="259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Data &amp; Information Flow</w:t>
            </w:r>
          </w:p>
        </w:tc>
        <w:tc>
          <w:tcPr>
            <w:tcW w:type="dxa" w:w="3888"/>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3NF ERD, DFD Level 0, DFD Level 1, Trust Perimeter</w:t>
            </w:r>
          </w:p>
        </w:tc>
        <w:tc>
          <w:tcPr>
            <w:tcW w:type="dxa" w:w="187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VERIFIED (Figures 10-13, Draw.io D-05..08)</w:t>
            </w:r>
          </w:p>
        </w:tc>
      </w:tr>
      <w:tr>
        <w:tc>
          <w:tcPr>
            <w:tcW w:type="dxa" w:w="1008"/>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Phase 5</w:t>
            </w:r>
          </w:p>
        </w:tc>
        <w:tc>
          <w:tcPr>
            <w:tcW w:type="dxa" w:w="259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Software Architecture</w:t>
            </w:r>
          </w:p>
        </w:tc>
        <w:tc>
          <w:tcPr>
            <w:tcW w:type="dxa" w:w="3888"/>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Layered Architecture, Component, Physical Deployment</w:t>
            </w:r>
          </w:p>
        </w:tc>
        <w:tc>
          <w:tcPr>
            <w:tcW w:type="dxa" w:w="187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VERIFIED (Figures 14-16, Draw.io D-09..11)</w:t>
            </w:r>
          </w:p>
        </w:tc>
      </w:tr>
      <w:tr>
        <w:tc>
          <w:tcPr>
            <w:tcW w:type="dxa" w:w="1008"/>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Phase 6</w:t>
            </w:r>
          </w:p>
        </w:tc>
        <w:tc>
          <w:tcPr>
            <w:tcW w:type="dxa" w:w="259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User Interface Design</w:t>
            </w:r>
          </w:p>
        </w:tc>
        <w:tc>
          <w:tcPr>
            <w:tcW w:type="dxa" w:w="3888"/>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15 High-res real Playwright UI screenshots (UI-01..15)</w:t>
            </w:r>
          </w:p>
        </w:tc>
        <w:tc>
          <w:tcPr>
            <w:tcW w:type="dxa" w:w="187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VERIFIED (Figures 20-34)</w:t>
            </w:r>
          </w:p>
        </w:tc>
      </w:tr>
      <w:tr>
        <w:tc>
          <w:tcPr>
            <w:tcW w:type="dxa" w:w="1008"/>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Phase 7</w:t>
            </w:r>
          </w:p>
        </w:tc>
        <w:tc>
          <w:tcPr>
            <w:tcW w:type="dxa" w:w="259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Threat Modeling (STRIDE)</w:t>
            </w:r>
          </w:p>
        </w:tc>
        <w:tc>
          <w:tcPr>
            <w:tcW w:type="dxa" w:w="3888"/>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Asset CIA, STRIDE matrix, DREAD qualitative scoring</w:t>
            </w:r>
          </w:p>
        </w:tc>
        <w:tc>
          <w:tcPr>
            <w:tcW w:type="dxa" w:w="187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VERIFIED (Figure 17, Draw.io D-17)</w:t>
            </w:r>
          </w:p>
        </w:tc>
      </w:tr>
      <w:tr>
        <w:tc>
          <w:tcPr>
            <w:tcW w:type="dxa" w:w="1008"/>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Phase 8</w:t>
            </w:r>
          </w:p>
        </w:tc>
        <w:tc>
          <w:tcPr>
            <w:tcW w:type="dxa" w:w="259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Attack Tree Analysis</w:t>
            </w:r>
          </w:p>
        </w:tc>
        <w:tc>
          <w:tcPr>
            <w:tcW w:type="dxa" w:w="3888"/>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Double spending attack tree &amp; refined security architecture</w:t>
            </w:r>
          </w:p>
        </w:tc>
        <w:tc>
          <w:tcPr>
            <w:tcW w:type="dxa" w:w="187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VERIFIED (Figures 18-19, Draw.io D-18..19)</w:t>
            </w:r>
          </w:p>
        </w:tc>
      </w:tr>
      <w:tr>
        <w:tc>
          <w:tcPr>
            <w:tcW w:type="dxa" w:w="1008"/>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Phase 9</w:t>
            </w:r>
          </w:p>
        </w:tc>
        <w:tc>
          <w:tcPr>
            <w:tcW w:type="dxa" w:w="259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Product Backlog &amp; Jira</w:t>
            </w:r>
          </w:p>
        </w:tc>
        <w:tc>
          <w:tcPr>
            <w:tcW w:type="dxa" w:w="3888"/>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13 Stories in Jira, product-backlog.csv, 8 Epics</w:t>
            </w:r>
          </w:p>
        </w:tc>
        <w:tc>
          <w:tcPr>
            <w:tcW w:type="dxa" w:w="187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VERIFIED (Table 5, Figure 36)</w:t>
            </w:r>
          </w:p>
        </w:tc>
      </w:tr>
      <w:tr>
        <w:tc>
          <w:tcPr>
            <w:tcW w:type="dxa" w:w="1008"/>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Phase 10</w:t>
            </w:r>
          </w:p>
        </w:tc>
        <w:tc>
          <w:tcPr>
            <w:tcW w:type="dxa" w:w="259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Sprint Metrics &amp; Scrum</w:t>
            </w:r>
          </w:p>
        </w:tc>
        <w:tc>
          <w:tcPr>
            <w:tcW w:type="dxa" w:w="3888"/>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16 Authentic Jira figures (JIRA-01..16), burndown curves</w:t>
            </w:r>
          </w:p>
        </w:tc>
        <w:tc>
          <w:tcPr>
            <w:tcW w:type="dxa" w:w="187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VERIFIED (Figures 35-50)</w:t>
            </w:r>
          </w:p>
        </w:tc>
      </w:tr>
      <w:tr>
        <w:tc>
          <w:tcPr>
            <w:tcW w:type="dxa" w:w="1008"/>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Phase 11</w:t>
            </w:r>
          </w:p>
        </w:tc>
        <w:tc>
          <w:tcPr>
            <w:tcW w:type="dxa" w:w="259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Secure Build Environment</w:t>
            </w:r>
          </w:p>
        </w:tc>
        <w:tc>
          <w:tcPr>
            <w:tcW w:type="dxa" w:w="3888"/>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Maven, JaCoCo, SonarQube LTS integration (7 figures)</w:t>
            </w:r>
          </w:p>
        </w:tc>
        <w:tc>
          <w:tcPr>
            <w:tcW w:type="dxa" w:w="187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VERIFIED (Figures 58-64)</w:t>
            </w:r>
          </w:p>
        </w:tc>
      </w:tr>
      <w:tr>
        <w:tc>
          <w:tcPr>
            <w:tcW w:type="dxa" w:w="1008"/>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Phase 12</w:t>
            </w:r>
          </w:p>
        </w:tc>
        <w:tc>
          <w:tcPr>
            <w:tcW w:type="dxa" w:w="259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Secure Coding &amp; Refactoring</w:t>
            </w:r>
          </w:p>
        </w:tc>
        <w:tc>
          <w:tcPr>
            <w:tcW w:type="dxa" w:w="3888"/>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Pessimistic DB row locking, BCrypt cost 12, Idempotency</w:t>
            </w:r>
          </w:p>
        </w:tc>
        <w:tc>
          <w:tcPr>
            <w:tcW w:type="dxa" w:w="187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VERIFIED (Table 6)</w:t>
            </w:r>
          </w:p>
        </w:tc>
      </w:tr>
      <w:tr>
        <w:tc>
          <w:tcPr>
            <w:tcW w:type="dxa" w:w="1008"/>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Phase 13</w:t>
            </w:r>
          </w:p>
        </w:tc>
        <w:tc>
          <w:tcPr>
            <w:tcW w:type="dxa" w:w="259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Docker &amp; Kubernetes</w:t>
            </w:r>
          </w:p>
        </w:tc>
        <w:tc>
          <w:tcPr>
            <w:tcW w:type="dxa" w:w="3888"/>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Multi-stage Dockerfile, 11 K8s YAMLs in dwpg namespace</w:t>
            </w:r>
          </w:p>
        </w:tc>
        <w:tc>
          <w:tcPr>
            <w:tcW w:type="dxa" w:w="187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VERIFIED (Figures 51-54, Draw.io D-20..21)</w:t>
            </w:r>
          </w:p>
        </w:tc>
      </w:tr>
      <w:tr>
        <w:tc>
          <w:tcPr>
            <w:tcW w:type="dxa" w:w="1008"/>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Phase 14</w:t>
            </w:r>
          </w:p>
        </w:tc>
        <w:tc>
          <w:tcPr>
            <w:tcW w:type="dxa" w:w="259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CI/CD &amp; Security Testing</w:t>
            </w:r>
          </w:p>
        </w:tc>
        <w:tc>
          <w:tcPr>
            <w:tcW w:type="dxa" w:w="3888"/>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GitHub Actions ci.yml, 42 automated tests (100% pass)</w:t>
            </w:r>
          </w:p>
        </w:tc>
        <w:tc>
          <w:tcPr>
            <w:tcW w:type="dxa" w:w="187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VERIFIED (Figures 55-56, Draw.io D-22..23, Table 6)</w:t>
            </w:r>
          </w:p>
        </w:tc>
      </w:tr>
      <w:tr>
        <w:tc>
          <w:tcPr>
            <w:tcW w:type="dxa" w:w="1008"/>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Phase 15</w:t>
            </w:r>
          </w:p>
        </w:tc>
        <w:tc>
          <w:tcPr>
            <w:tcW w:type="dxa" w:w="259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Logging, SIEM &amp; Hardening</w:t>
            </w:r>
          </w:p>
        </w:tc>
        <w:tc>
          <w:tcPr>
            <w:tcW w:type="dxa" w:w="3888"/>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Centralized AuditService, PAN scrubbing, NetworkPolicy</w:t>
            </w:r>
          </w:p>
        </w:tc>
        <w:tc>
          <w:tcPr>
            <w:tcW w:type="dxa" w:w="1872"/>
            <w:shd w:fill="FFFFFF"/>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VERIFIED (Figure 34)</w:t>
            </w:r>
          </w:p>
        </w:tc>
      </w:tr>
      <w:tr>
        <w:tc>
          <w:tcPr>
            <w:tcW w:type="dxa" w:w="1008"/>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Phase 16</w:t>
            </w:r>
          </w:p>
        </w:tc>
        <w:tc>
          <w:tcPr>
            <w:tcW w:type="dxa" w:w="259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Final Security Review</w:t>
            </w:r>
          </w:p>
        </w:tc>
        <w:tc>
          <w:tcPr>
            <w:tcW w:type="dxa" w:w="3888"/>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Traceability matrix, compliance report, zero vulnerabilities</w:t>
            </w:r>
          </w:p>
        </w:tc>
        <w:tc>
          <w:tcPr>
            <w:tcW w:type="dxa" w:w="1872"/>
            <w:shd w:fill="F8FAFC"/>
            <w:tcBorders>
              <w:top w:val="single" w:sz="4" w:space="0" w:color="CBD5E1"/>
              <w:left w:val="none" w:sz="4" w:space="0" w:color="auto"/>
              <w:bottom w:val="single" w:sz="4" w:space="0" w:color="CBD5E1"/>
              <w:right w:val="none" w:sz="4" w:space="0" w:color="auto"/>
            </w:tcBorders>
          </w:tcPr>
          <w:p>
            <w:pPr>
              <w:spacing w:before="60" w:after="60"/>
              <w:jc w:val="left"/>
            </w:pPr>
            <w:r>
              <w:rPr>
                <w:rFonts w:ascii="Calibri" w:hAnsi="Calibri"/>
                <w:color w:val="172033"/>
                <w:sz w:val="17"/>
              </w:rPr>
              <w:t>VERIFIED (Figure 65, Draw.io D-24)</w:t>
            </w:r>
          </w:p>
        </w:tc>
      </w:tr>
    </w:tbl>
    <w:p>
      <w:pPr>
        <w:spacing w:after="120"/>
      </w:pPr>
    </w:p>
    <w:p>
      <w:pPr>
        <w:keepNext/>
        <w:spacing w:before="280" w:after="120"/>
      </w:pPr>
      <w:r>
        <w:rPr>
          <w:rFonts w:ascii="Calibri" w:hAnsi="Calibri"/>
          <w:b/>
          <w:color w:val="1F4E79"/>
          <w:sz w:val="26"/>
        </w:rPr>
        <w:t>12.3 Closing Summary</w:t>
      </w:r>
    </w:p>
    <w:p>
      <w:pPr>
        <w:spacing w:before="0" w:after="120" w:line="276" w:lineRule="auto"/>
      </w:pPr>
      <w:r>
        <w:rPr>
          <w:rFonts w:ascii="Calibri" w:hAnsi="Calibri"/>
          <w:color w:val="172033"/>
          <w:sz w:val="20"/>
        </w:rPr>
        <w:t>The Digital Wallet and Payment Gateway Simulator represents a fully engineered, robustly tested, and empirically validated academic capstone submission. Every single line of production code, database constraint, Kubernetes manifest, and security control was developed to solve real-world financial vulnerabilities: eliminate double-spending, trap replay attacks, maintain immutable audit ledgers, and guarantee non-negative balance invariants under heavy parallel load. The project achieved a perfect 100% pass rate across 42 automated backend and security tests, satisfied all SonarQube Quality Gate parameters with zero vulnerabilities, and successfully proved the efficacy of embedding security across all 16 phases of the Secure Software Engineering lifecycle.</w:t>
      </w:r>
    </w:p>
    <w:p>
      <w:pPr>
        <w:keepNext/>
        <w:spacing w:before="280" w:after="120"/>
      </w:pPr>
      <w:r>
        <w:rPr>
          <w:rFonts w:ascii="Calibri" w:hAnsi="Calibri"/>
          <w:b/>
          <w:color w:val="1F4E79"/>
          <w:sz w:val="26"/>
        </w:rPr>
        <w:t>12.4 Future Work</w:t>
      </w:r>
    </w:p>
    <w:p>
      <w:pPr>
        <w:spacing w:before="0" w:after="120" w:line="276" w:lineRule="auto"/>
      </w:pPr>
      <w:r>
        <w:rPr>
          <w:rFonts w:ascii="Calibri" w:hAnsi="Calibri"/>
          <w:color w:val="172033"/>
          <w:sz w:val="20"/>
        </w:rPr>
        <w:t>1. Hardware Security Module (HSM) Integration: Transitioning the HMAC secret and merchant private keys from Kubernetes Secrets to dedicated cloud or physical HSMs (e.g. AWS CloudHSM or HashiCorp Vault with PKCS#11).</w:t>
      </w:r>
    </w:p>
    <w:p>
      <w:pPr>
        <w:spacing w:before="0" w:after="120" w:line="276" w:lineRule="auto"/>
      </w:pPr>
      <w:r>
        <w:rPr>
          <w:rFonts w:ascii="Calibri" w:hAnsi="Calibri"/>
          <w:color w:val="172033"/>
          <w:sz w:val="20"/>
        </w:rPr>
        <w:t>2. Distributed Idempotency via Redis: Upgrading the relational idempotency cache to a low-latency Redis cluster with atomic SETNX distributed locking to handle horizontal scaling across multi-region gateway clusters.</w:t>
      </w:r>
    </w:p>
    <w:p>
      <w:pPr>
        <w:spacing w:before="0" w:after="120" w:line="276" w:lineRule="auto"/>
      </w:pPr>
      <w:r>
        <w:rPr>
          <w:rFonts w:ascii="Calibri" w:hAnsi="Calibri"/>
          <w:color w:val="172033"/>
          <w:sz w:val="20"/>
        </w:rPr>
        <w:t>3. Real-Time Fraud ML Inference: Embedding an ONNX-runtime machine learning microservice that calculates behavioral anomaly risk scores on payment initiation prior to locking.</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6"/>
      </w:rPr>
      <w:t>Amrita Vishwa Vidyapeetham — Department of Cyber Security | Confidential &amp; Academic Evaluation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DIGITAL WALLET AND PAYMENT GATEWAY SIMULATOR | 24CYS401 CAPSTONE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