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Interface Design &amp; Security Interaction Rationale</w:t>
      </w:r>
    </w:p>
    <w:p>
      <w:r>
        <w:t>Phase 6 Deliverable: UI Design - 24CYS401 Lab Examination</w:t>
      </w:r>
    </w:p>
    <w:p>
      <w:pPr>
        <w:pStyle w:val="Heading1"/>
      </w:pPr>
      <w:r>
        <w:t>1. UI Design Principles &amp; Usability Engineering</w:t>
      </w:r>
    </w:p>
    <w:p>
      <w:r>
        <w:t>The DWPG user interface is designed using Nielsen Norman Group usability heuristics combined with Security Usability (SecUX) principles. In financial applications, ambiguous UI states cause user panic, accidental duplicate submissions, or security misconfigurations. The interface strictly enforces:</w:t>
        <w:br/>
        <w:t>1. Visibility of System Status: Clear real-time balance indicators and loading spinners during atomic payment execution.</w:t>
        <w:br/>
        <w:t>2. Error Prevention: Confirmation modals before funds transfer, client-side amount validation, and automatic Idempotency-Key injection.</w:t>
        <w:br/>
        <w:t>3. Recognition Over Recall: Displaying merchant names alongside merchant IDs to avoid misdirected payments.</w:t>
        <w:br/>
        <w:t>4. Defense in Depth: The UI never acts as the security boundary; all validations are repeated server-side.</w:t>
      </w:r>
    </w:p>
    <w:p>
      <w:pPr>
        <w:pStyle w:val="Heading1"/>
      </w:pPr>
      <w:r>
        <w:t>2. Detailed Screen Analysis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r>
              <w:rPr>
                <w:b/>
                <w:color w:val="FFFFFF"/>
              </w:rPr>
              <w:t>Screen Name</w:t>
            </w:r>
          </w:p>
        </w:tc>
        <w:tc>
          <w:tcPr>
            <w:tcW w:type="dxa" w:w="2340"/>
            <w:shd w:fill="1A365D"/>
          </w:tcPr>
          <w:p>
            <w:r>
              <w:rPr>
                <w:b/>
                <w:color w:val="FFFFFF"/>
              </w:rPr>
              <w:t>Primary User &amp; Goal</w:t>
            </w:r>
          </w:p>
        </w:tc>
        <w:tc>
          <w:tcPr>
            <w:tcW w:type="dxa" w:w="2340"/>
            <w:shd w:fill="1A365D"/>
          </w:tcPr>
          <w:p>
            <w:r>
              <w:rPr>
                <w:b/>
                <w:color w:val="FFFFFF"/>
              </w:rPr>
              <w:t>Interactive Inputs &amp; Controls</w:t>
            </w:r>
          </w:p>
        </w:tc>
        <w:tc>
          <w:tcPr>
            <w:tcW w:type="dxa" w:w="2340"/>
            <w:shd w:fill="1A365D"/>
          </w:tcPr>
          <w:p>
            <w:r>
              <w:rPr>
                <w:b/>
                <w:color w:val="FFFFFF"/>
              </w:rPr>
              <w:t>Security &amp; Error Handling Considerations</w:t>
            </w:r>
          </w:p>
        </w:tc>
      </w:tr>
      <w:tr>
        <w:tc>
          <w:tcPr>
            <w:tcW w:type="dxa" w:w="2340"/>
          </w:tcPr>
          <w:p>
            <w:r>
              <w:rPr>
                <w:sz w:val="19"/>
              </w:rPr>
              <w:t>Login / Registration</w:t>
            </w:r>
          </w:p>
        </w:tc>
        <w:tc>
          <w:tcPr>
            <w:tcW w:type="dxa" w:w="2340"/>
          </w:tcPr>
          <w:p>
            <w:r>
              <w:rPr>
                <w:sz w:val="19"/>
              </w:rPr>
              <w:t>All Users; Authenticate and acquire JWT token</w:t>
            </w:r>
          </w:p>
        </w:tc>
        <w:tc>
          <w:tcPr>
            <w:tcW w:type="dxa" w:w="2340"/>
          </w:tcPr>
          <w:p>
            <w:r>
              <w:rPr>
                <w:sz w:val="19"/>
              </w:rPr>
              <w:t>Username, email, password fields; Submit button; Show/Hide toggle</w:t>
            </w:r>
          </w:p>
        </w:tc>
        <w:tc>
          <w:tcPr>
            <w:tcW w:type="dxa" w:w="2340"/>
          </w:tcPr>
          <w:p>
            <w:r>
              <w:rPr>
                <w:sz w:val="19"/>
              </w:rPr>
              <w:t>Masked passwords; generic error messaging on bad credentials; auto-logout on token expiration.</w:t>
            </w:r>
          </w:p>
        </w:tc>
      </w:tr>
      <w:tr>
        <w:tc>
          <w:tcPr>
            <w:tcW w:type="dxa" w:w="2340"/>
          </w:tcPr>
          <w:p>
            <w:r>
              <w:rPr>
                <w:sz w:val="19"/>
              </w:rPr>
              <w:t>Wallet Dashboard</w:t>
            </w:r>
          </w:p>
        </w:tc>
        <w:tc>
          <w:tcPr>
            <w:tcW w:type="dxa" w:w="2340"/>
          </w:tcPr>
          <w:p>
            <w:r>
              <w:rPr>
                <w:sz w:val="19"/>
              </w:rPr>
              <w:t>End User; View real-time balance and recent transactions</w:t>
            </w:r>
          </w:p>
        </w:tc>
        <w:tc>
          <w:tcPr>
            <w:tcW w:type="dxa" w:w="2340"/>
          </w:tcPr>
          <w:p>
            <w:r>
              <w:rPr>
                <w:sz w:val="19"/>
              </w:rPr>
              <w:t>Balance card, Top-up button, Pay button, Transaction table</w:t>
            </w:r>
          </w:p>
        </w:tc>
        <w:tc>
          <w:tcPr>
            <w:tcW w:type="dxa" w:w="2340"/>
          </w:tcPr>
          <w:p>
            <w:r>
              <w:rPr>
                <w:sz w:val="19"/>
              </w:rPr>
              <w:t>Server-verified balance display (never cached locally); authorization check prevents viewing foreign wallets.</w:t>
            </w:r>
          </w:p>
        </w:tc>
      </w:tr>
      <w:tr>
        <w:tc>
          <w:tcPr>
            <w:tcW w:type="dxa" w:w="2340"/>
          </w:tcPr>
          <w:p>
            <w:r>
              <w:rPr>
                <w:sz w:val="19"/>
              </w:rPr>
              <w:t>Payment Form</w:t>
            </w:r>
          </w:p>
        </w:tc>
        <w:tc>
          <w:tcPr>
            <w:tcW w:type="dxa" w:w="2340"/>
          </w:tcPr>
          <w:p>
            <w:r>
              <w:rPr>
                <w:sz w:val="19"/>
              </w:rPr>
              <w:t>End User; Execute simulated payment to merchant</w:t>
            </w:r>
          </w:p>
        </w:tc>
        <w:tc>
          <w:tcPr>
            <w:tcW w:type="dxa" w:w="2340"/>
          </w:tcPr>
          <w:p>
            <w:r>
              <w:rPr>
                <w:sz w:val="19"/>
              </w:rPr>
              <w:t>Merchant ID, Amount ($), Order reference, Confirmation modal</w:t>
            </w:r>
          </w:p>
        </w:tc>
        <w:tc>
          <w:tcPr>
            <w:tcW w:type="dxa" w:w="2340"/>
          </w:tcPr>
          <w:p>
            <w:r>
              <w:rPr>
                <w:sz w:val="19"/>
              </w:rPr>
              <w:t>Automatic UUIDv4 Idempotency-Key generation; disabled submit button during in-flight request to prevent double clicks.</w:t>
            </w:r>
          </w:p>
        </w:tc>
      </w:tr>
      <w:tr>
        <w:tc>
          <w:tcPr>
            <w:tcW w:type="dxa" w:w="2340"/>
          </w:tcPr>
          <w:p>
            <w:r>
              <w:rPr>
                <w:sz w:val="19"/>
              </w:rPr>
              <w:t>Merchant Portal</w:t>
            </w:r>
          </w:p>
        </w:tc>
        <w:tc>
          <w:tcPr>
            <w:tcW w:type="dxa" w:w="2340"/>
          </w:tcPr>
          <w:p>
            <w:r>
              <w:rPr>
                <w:sz w:val="19"/>
              </w:rPr>
              <w:t>Merchant; Manage merchant account &amp; issue refunds</w:t>
            </w:r>
          </w:p>
        </w:tc>
        <w:tc>
          <w:tcPr>
            <w:tcW w:type="dxa" w:w="2340"/>
          </w:tcPr>
          <w:p>
            <w:r>
              <w:rPr>
                <w:sz w:val="19"/>
              </w:rPr>
              <w:t>Refund payment ID input, refund amount, reason dropdown</w:t>
            </w:r>
          </w:p>
        </w:tc>
        <w:tc>
          <w:tcPr>
            <w:tcW w:type="dxa" w:w="2340"/>
          </w:tcPr>
          <w:p>
            <w:r>
              <w:rPr>
                <w:sz w:val="19"/>
              </w:rPr>
              <w:t>State validation checks payment == CONFIRMED; thwarts duplicate refund clicks via modal confirmation.</w:t>
            </w:r>
          </w:p>
        </w:tc>
      </w:tr>
      <w:tr>
        <w:tc>
          <w:tcPr>
            <w:tcW w:type="dxa" w:w="2340"/>
          </w:tcPr>
          <w:p>
            <w:r>
              <w:rPr>
                <w:sz w:val="19"/>
              </w:rPr>
              <w:t>Transaction Ledger</w:t>
            </w:r>
          </w:p>
        </w:tc>
        <w:tc>
          <w:tcPr>
            <w:tcW w:type="dxa" w:w="2340"/>
          </w:tcPr>
          <w:p>
            <w:r>
              <w:rPr>
                <w:sz w:val="19"/>
              </w:rPr>
              <w:t>User &amp; Merchant; Audit chronological balance changes</w:t>
            </w:r>
          </w:p>
        </w:tc>
        <w:tc>
          <w:tcPr>
            <w:tcW w:type="dxa" w:w="2340"/>
          </w:tcPr>
          <w:p>
            <w:r>
              <w:rPr>
                <w:sz w:val="19"/>
              </w:rPr>
              <w:t>Paginated table, date range filters, export CSV button</w:t>
            </w:r>
          </w:p>
        </w:tc>
        <w:tc>
          <w:tcPr>
            <w:tcW w:type="dxa" w:w="2340"/>
          </w:tcPr>
          <w:p>
            <w:r>
              <w:rPr>
                <w:sz w:val="19"/>
              </w:rPr>
              <w:t>Read-only immutable presentation; strict user ID scoping (BOLA protection).</w:t>
            </w:r>
          </w:p>
        </w:tc>
      </w:tr>
      <w:tr>
        <w:tc>
          <w:tcPr>
            <w:tcW w:type="dxa" w:w="2340"/>
          </w:tcPr>
          <w:p>
            <w:r>
              <w:rPr>
                <w:sz w:val="19"/>
              </w:rPr>
              <w:t>Admin Audit View</w:t>
            </w:r>
          </w:p>
        </w:tc>
        <w:tc>
          <w:tcPr>
            <w:tcW w:type="dxa" w:w="2340"/>
          </w:tcPr>
          <w:p>
            <w:r>
              <w:rPr>
                <w:sz w:val="19"/>
              </w:rPr>
              <w:t>Administrator; Inspect security events and alerts</w:t>
            </w:r>
          </w:p>
        </w:tc>
        <w:tc>
          <w:tcPr>
            <w:tcW w:type="dxa" w:w="2340"/>
          </w:tcPr>
          <w:p>
            <w:r>
              <w:rPr>
                <w:sz w:val="19"/>
              </w:rPr>
              <w:t>Audit log table, severity filter, replay alert banner</w:t>
            </w:r>
          </w:p>
        </w:tc>
        <w:tc>
          <w:tcPr>
            <w:tcW w:type="dxa" w:w="2340"/>
          </w:tcPr>
          <w:p>
            <w:r>
              <w:rPr>
                <w:sz w:val="19"/>
              </w:rPr>
              <w:t>Requires ROLE_ADMIN authority; sensitive credentials sanitized before rendering.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2C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