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C57"/>
          <w:sz w:val="40"/>
        </w:rPr>
        <w:t>Software Requirements Specification (SRS)</w:t>
      </w:r>
    </w:p>
    <w:p>
      <w:pPr>
        <w:spacing w:after="280"/>
      </w:pPr>
      <w:r>
        <w:rPr>
          <w:i/>
          <w:color w:val="505050"/>
          <w:sz w:val="24"/>
        </w:rPr>
        <w:t>Phase 2 Deliverable: Requirements Engineering - 24CYS401 Lab Examination</w:t>
      </w:r>
    </w:p>
    <w:p>
      <w:pPr>
        <w:pStyle w:val="Heading1"/>
      </w:pPr>
      <w:r>
        <w:t>1. Introduction and Scope</w:t>
      </w:r>
    </w:p>
    <w:p>
      <w:r>
        <w:t>This Software Requirements Specification defines the operational, architectural, and security mandates for the Digital Wallet and Payment Gateway Simulator (DWPG). The primary objective is to provide a hardened, defense-in-depth platform demonstrating secure software engineering principles, financial transaction integrity, atomic state transitions, idempotency, and defense against concurrent race conditions.</w:t>
      </w:r>
    </w:p>
    <w:p>
      <w:pPr>
        <w:pStyle w:val="Heading1"/>
      </w:pPr>
      <w:r>
        <w:t>2. Stakeholder Profiles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</w:tcPr>
          <w:p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3120"/>
            <w:shd w:fill="1A365D"/>
          </w:tcPr>
          <w:p>
            <w:r>
              <w:rPr>
                <w:b/>
                <w:color w:val="FFFFFF"/>
              </w:rPr>
              <w:t>Role in Ecosystem</w:t>
            </w:r>
          </w:p>
        </w:tc>
        <w:tc>
          <w:tcPr>
            <w:tcW w:type="dxa" w:w="3120"/>
            <w:shd w:fill="1A365D"/>
          </w:tcPr>
          <w:p>
            <w:r>
              <w:rPr>
                <w:b/>
                <w:color w:val="FFFFFF"/>
              </w:rPr>
              <w:t>Security &amp; Operational Concerns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Student / End-User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Creates wallet, adds simulated funds, conducts payments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Confidentiality of balance, prevention of unauthorized debits or account takeover.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Merchant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Receives payments, fulfills orders, issues refunds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Authenticity of incoming payments, non-repudiation, authorized refund management.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System Administrator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Maintains system health, monitors security alerts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Access to immutable audit logs, detection of replay attacks and brute force attempts.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Payment Gateway Simulator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Orchestrates atomic financial workflows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Enforcement of idempotency, concurrency serialization, zero data loss.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Persistence Subsystem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Stores relational data and state transitions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ACID guarantees, row-level locking, foreign key integrity.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Security &amp; Audit Subsystem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Logs security-critical actions and alerts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Tamper-resistance, non-repudiation, sensitive data scrubbing.</w:t>
            </w:r>
          </w:p>
        </w:tc>
      </w:tr>
    </w:tbl>
    <w:p>
      <w:pPr>
        <w:spacing w:after="240"/>
      </w:pPr>
    </w:p>
    <w:p>
      <w:pPr>
        <w:pStyle w:val="Heading1"/>
      </w:pPr>
      <w:r>
        <w:t>3. Functional Requirements</w:t>
      </w:r>
    </w:p>
    <w:p>
      <w:r>
        <w:rPr>
          <w:b/>
        </w:rPr>
        <w:t xml:space="preserve">• FR-001: User Registration: </w:t>
      </w:r>
      <w:r>
        <w:t>The system shall register new users with email, username, and salted hashed passwords.</w:t>
      </w:r>
    </w:p>
    <w:p>
      <w:r>
        <w:rPr>
          <w:b/>
        </w:rPr>
        <w:t xml:space="preserve">• FR-002: User Authentication: </w:t>
      </w:r>
      <w:r>
        <w:t>The system shall authenticate credentials and generate signed, time-bound JWT tokens.</w:t>
      </w:r>
    </w:p>
    <w:p>
      <w:r>
        <w:rPr>
          <w:b/>
        </w:rPr>
        <w:t xml:space="preserve">• FR-003: Wallet Creation: </w:t>
      </w:r>
      <w:r>
        <w:t>The system shall provision a personal digital wallet upon successful user registration.</w:t>
      </w:r>
    </w:p>
    <w:p>
      <w:r>
        <w:rPr>
          <w:b/>
        </w:rPr>
        <w:t xml:space="preserve">• FR-004: Add Simulated Funds: </w:t>
      </w:r>
      <w:r>
        <w:t>The system shall allow users to deposit simulated funds up to a configurable maximum ceiling.</w:t>
      </w:r>
    </w:p>
    <w:p>
      <w:r>
        <w:rPr>
          <w:b/>
        </w:rPr>
        <w:t xml:space="preserve">• FR-005: Merchant Registration: </w:t>
      </w:r>
      <w:r>
        <w:t>The system shall enable users to register merchant businesses and obtain merchant identifiers.</w:t>
      </w:r>
    </w:p>
    <w:p>
      <w:r>
        <w:rPr>
          <w:b/>
        </w:rPr>
        <w:t xml:space="preserve">• FR-006: Payment Initiation: </w:t>
      </w:r>
      <w:r>
        <w:t>The system shall allow users to initiate payments to merchants with amount and order reference.</w:t>
      </w:r>
    </w:p>
    <w:p>
      <w:r>
        <w:rPr>
          <w:b/>
        </w:rPr>
        <w:t xml:space="preserve">• FR-007: Payment Confirmation: </w:t>
      </w:r>
      <w:r>
        <w:t>The system shall atomically debit the user and credit the merchant upon payment authorization.</w:t>
      </w:r>
    </w:p>
    <w:p>
      <w:r>
        <w:rPr>
          <w:b/>
        </w:rPr>
        <w:t xml:space="preserve">• FR-008: Refund Processing: </w:t>
      </w:r>
      <w:r>
        <w:t>The system shall allow merchants to refund completed transactions, reversing wallet balances.</w:t>
      </w:r>
    </w:p>
    <w:p>
      <w:r>
        <w:rPr>
          <w:b/>
        </w:rPr>
        <w:t xml:space="preserve">• FR-009: Transaction History: </w:t>
      </w:r>
      <w:r>
        <w:t>The system shall maintain a chronological, paginated ledger of all debit, credit, and refund transactions.</w:t>
      </w:r>
    </w:p>
    <w:p>
      <w:r>
        <w:rPr>
          <w:b/>
        </w:rPr>
        <w:t xml:space="preserve">• FR-010: Wallet Balance Query: </w:t>
      </w:r>
      <w:r>
        <w:t>The system shall return real-time verified wallet balances.</w:t>
      </w:r>
    </w:p>
    <w:p>
      <w:r>
        <w:rPr>
          <w:b/>
        </w:rPr>
        <w:t xml:space="preserve">• FR-011: Audit Trail Query: </w:t>
      </w:r>
      <w:r>
        <w:t>The system shall allow administrators to search and inspect security audit events.</w:t>
      </w:r>
    </w:p>
    <w:p>
      <w:r>
        <w:rPr>
          <w:b/>
        </w:rPr>
        <w:t xml:space="preserve">• FR-012: Security Alert Review: </w:t>
      </w:r>
      <w:r>
        <w:t>The system shall expose an administrative API for monitoring replay and double-spend incidents.</w:t>
      </w:r>
    </w:p>
    <w:p>
      <w:pPr>
        <w:pStyle w:val="Heading1"/>
      </w:pPr>
      <w:r>
        <w:t>4. Non-Functional Requirements</w:t>
      </w:r>
    </w:p>
    <w:p>
      <w:r>
        <w:rPr>
          <w:b/>
        </w:rPr>
        <w:t xml:space="preserve">• NFR-001: Performance &amp; Latency: </w:t>
      </w:r>
      <w:r>
        <w:t>Core payment transactions must complete within 500ms under standard operational conditions.</w:t>
      </w:r>
    </w:p>
    <w:p>
      <w:r>
        <w:rPr>
          <w:b/>
        </w:rPr>
        <w:t xml:space="preserve">• NFR-002: High Availability: </w:t>
      </w:r>
      <w:r>
        <w:t>The system shall target 99.9% uptime during operational evaluation.</w:t>
      </w:r>
    </w:p>
    <w:p>
      <w:r>
        <w:rPr>
          <w:b/>
        </w:rPr>
        <w:t xml:space="preserve">• NFR-003: Transaction Consistency (ACID): </w:t>
      </w:r>
      <w:r>
        <w:t>Database operations must maintain READ_COMMITTED isolation and roll back cleanly on errors.</w:t>
      </w:r>
    </w:p>
    <w:p>
      <w:r>
        <w:rPr>
          <w:b/>
        </w:rPr>
        <w:t xml:space="preserve">• NFR-004: Container Portability: </w:t>
      </w:r>
      <w:r>
        <w:t>The application must run reliably in multi-stage Docker containers and Kubernetes clusters.</w:t>
      </w:r>
    </w:p>
    <w:p>
      <w:r>
        <w:rPr>
          <w:b/>
        </w:rPr>
        <w:t xml:space="preserve">• NFR-005: Code Maintainability: </w:t>
      </w:r>
      <w:r>
        <w:t>Codebase must pass SonarQube quality gates with 0 critical security issues and zero code smells.</w:t>
      </w:r>
    </w:p>
    <w:p>
      <w:r>
        <w:rPr>
          <w:b/>
        </w:rPr>
        <w:t xml:space="preserve">• NFR-006: Audit Immutability: </w:t>
      </w:r>
      <w:r>
        <w:t>Audit records must be append-only with strict protection against retroactive modification.</w:t>
      </w:r>
    </w:p>
    <w:p>
      <w:pPr>
        <w:pStyle w:val="Heading1"/>
      </w:pPr>
      <w:r>
        <w:t>5. Security Requirements &amp; CIA Classification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Security Requirement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CIA Focus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Enforcement Mechanism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SEC-001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Password Storage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Confidentiality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BCrypt (Factor 12) salted hashing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SEC-002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Session Security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Confidentiality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HMAC-SHA256 Stateless JWT (24-hr expiry)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SEC-003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Role-Based Access Control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Confidentiality / Integrity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Spring Security Method Security (@PreAuthorize)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SEC-004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Object-Level Authorization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Confidentiality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Principal ownership validation on wallet/tx queries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SEC-005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Double-Spending Prevention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Integrity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Pessimistic DB row locking (SELECT ... FOR UPDATE)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SEC-006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Idempotency Protection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Integrity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Unique Idempotency-Key constraint with cached results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SEC-007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Replay Attack Prevention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Integrity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SHA-256 Request payload hash binding &amp; replay traps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SEC-008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Input Validation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Integrity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Jakarta Bean Validation (@NotNull, @Positive, @Size)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SEC-009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Immutable Audit Trail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Integrity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Append-only AuditLog persistence with actor tracking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SEC-010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Sensitive Data Scrubbing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Confidentiality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Log masking filter removing tokens and passwords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